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FC" w:rsidRDefault="002448F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448FC" w:rsidRDefault="002448F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448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48FC" w:rsidRDefault="002448FC">
            <w:pPr>
              <w:pStyle w:val="ConsPlusNormal"/>
            </w:pPr>
            <w:r>
              <w:t>13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48FC" w:rsidRDefault="002448FC">
            <w:pPr>
              <w:pStyle w:val="ConsPlusNormal"/>
              <w:jc w:val="right"/>
            </w:pPr>
            <w:r>
              <w:t>N 270-ФЗ</w:t>
            </w:r>
          </w:p>
        </w:tc>
      </w:tr>
    </w:tbl>
    <w:p w:rsidR="002448FC" w:rsidRDefault="002448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Title"/>
        <w:jc w:val="center"/>
      </w:pPr>
      <w:r>
        <w:t>РОССИЙСКАЯ ФЕДЕРАЦИЯ</w:t>
      </w:r>
    </w:p>
    <w:p w:rsidR="002448FC" w:rsidRDefault="002448FC">
      <w:pPr>
        <w:pStyle w:val="ConsPlusTitle"/>
        <w:jc w:val="center"/>
      </w:pPr>
    </w:p>
    <w:p w:rsidR="002448FC" w:rsidRDefault="002448FC">
      <w:pPr>
        <w:pStyle w:val="ConsPlusTitle"/>
        <w:jc w:val="center"/>
      </w:pPr>
      <w:r>
        <w:t>ФЕДЕРАЛЬНЫЙ ЗАКОН</w:t>
      </w:r>
    </w:p>
    <w:p w:rsidR="002448FC" w:rsidRDefault="002448FC">
      <w:pPr>
        <w:pStyle w:val="ConsPlusTitle"/>
        <w:jc w:val="center"/>
      </w:pPr>
    </w:p>
    <w:p w:rsidR="002448FC" w:rsidRDefault="002448FC">
      <w:pPr>
        <w:pStyle w:val="ConsPlusTitle"/>
        <w:jc w:val="center"/>
      </w:pPr>
      <w:r>
        <w:t>О ВНЕСЕНИИ ИЗМЕНЕНИЙ</w:t>
      </w:r>
    </w:p>
    <w:p w:rsidR="002448FC" w:rsidRDefault="002448FC">
      <w:pPr>
        <w:pStyle w:val="ConsPlusTitle"/>
        <w:jc w:val="center"/>
      </w:pPr>
      <w:r>
        <w:t>В ФЕДЕРАЛЬНЫЙ ЗАКОН "О НАУКЕ И ГОСУДАРСТВЕННОЙ</w:t>
      </w:r>
    </w:p>
    <w:p w:rsidR="002448FC" w:rsidRDefault="002448FC">
      <w:pPr>
        <w:pStyle w:val="ConsPlusTitle"/>
        <w:jc w:val="center"/>
      </w:pPr>
      <w:r>
        <w:t>НАУЧНО-ТЕХНИЧЕСКОЙ ПОЛИТИКЕ" В ЧАСТИ СОВЕРШЕНСТВОВАНИЯ</w:t>
      </w:r>
    </w:p>
    <w:p w:rsidR="002448FC" w:rsidRDefault="002448FC">
      <w:pPr>
        <w:pStyle w:val="ConsPlusTitle"/>
        <w:jc w:val="center"/>
      </w:pPr>
      <w:r>
        <w:t>ФИНАНСОВЫХ ИНСТРУМЕНТОВ И МЕХАНИЗМОВ ПОДДЕРЖКИ НАУЧНОЙ</w:t>
      </w:r>
    </w:p>
    <w:p w:rsidR="002448FC" w:rsidRDefault="002448FC">
      <w:pPr>
        <w:pStyle w:val="ConsPlusTitle"/>
        <w:jc w:val="center"/>
      </w:pPr>
      <w:r>
        <w:t>И НАУЧНО-ТЕХНИЧЕСКОЙ ДЕЯТЕЛЬНОСТИ В РОССИЙСКОЙ ФЕДЕРАЦИИ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jc w:val="right"/>
      </w:pPr>
      <w:r>
        <w:t>Принят</w:t>
      </w:r>
    </w:p>
    <w:p w:rsidR="002448FC" w:rsidRDefault="002448FC">
      <w:pPr>
        <w:pStyle w:val="ConsPlusNormal"/>
        <w:jc w:val="right"/>
      </w:pPr>
      <w:r>
        <w:t>Государственной Думой</w:t>
      </w:r>
    </w:p>
    <w:p w:rsidR="002448FC" w:rsidRDefault="002448FC">
      <w:pPr>
        <w:pStyle w:val="ConsPlusNormal"/>
        <w:jc w:val="right"/>
      </w:pPr>
      <w:r>
        <w:t>3 июля 2015 года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jc w:val="right"/>
      </w:pPr>
      <w:r>
        <w:t>Одобрен</w:t>
      </w:r>
    </w:p>
    <w:p w:rsidR="002448FC" w:rsidRDefault="002448FC">
      <w:pPr>
        <w:pStyle w:val="ConsPlusNormal"/>
        <w:jc w:val="right"/>
      </w:pPr>
      <w:r>
        <w:t>Советом Федерации</w:t>
      </w:r>
    </w:p>
    <w:p w:rsidR="002448FC" w:rsidRDefault="002448FC">
      <w:pPr>
        <w:pStyle w:val="ConsPlusNormal"/>
        <w:jc w:val="right"/>
      </w:pPr>
      <w:r>
        <w:t>8 июля 2015 года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Title"/>
        <w:ind w:firstLine="540"/>
        <w:jc w:val="both"/>
        <w:outlineLvl w:val="0"/>
      </w:pPr>
      <w:r>
        <w:t>Статья 1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ind w:firstLine="540"/>
        <w:jc w:val="both"/>
      </w:pPr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23 августа 1996 года N 127-ФЗ "О науке и государственной научно-технической политике" (Собрание законодательства Российской Федерации, 1996, N 35, ст. 4137; 1998, N 30, ст. 3607; N 51, ст. 6271; 2000, N 2, ст. 162; 2001, N 1, ст. 20; 2004, N 35, ст. 3607; 2005, N 27, ст. 2715; 2006, N 1, ст. 10; N 50, ст. 5280; 2007, N 49, ст. 6069; 2008, N 30, ст. 3616; 2009, N 1, ст. 17; N 7, ст. 786; N 31, ст. 3923; N 52, ст. 6434; 2010, N 19, ст. 2291; N 31, ст. 4167; 2011, N 10, ст. 1281; N 30, ст. 4597, 4602; 2012, N 31, ст. 4324; 2013, N 27, ст. 3477; N 44, ст. 5630; 2014, N 52, ст. 7554; 2015, N 17, ст. 2475) следующие изменения: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статью 2</w:t>
        </w:r>
      </w:hyperlink>
      <w:r>
        <w:t xml:space="preserve"> дополнить частями тринадцатой - пятнадцатой следующего содержания: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"Научный проект и (или) научно-технический проект - комплекс скоординированных и управляемых мероприятий, которые направлены на получение научных и (или) научно-технических результатов и осуществление которых ограничено временем и привлекаемыми ресурсами.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lastRenderedPageBreak/>
        <w:t>Центр коллективного пользования научным оборудованием - структурное подразделение (совокупность структурных подразделений), которое создано научной организацией и (или) образовательной организацией, располагает научным и (или) технологическим оборудованием, квалифицированным персоналом и обеспечивает в интересах третьих лиц выполнение работ и оказание услуг для проведения научных исследований, а также осуществления экспериментальных разработок.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Уникальная научная установка - комплекс научного оборудования, не имеющий аналогов в Российской Федерации, функционирующий как единое целое и созданный научной организацией и (или) образовательной организацией в целях получения научных результатов, достижение которых невозможно при использовании другого оборудования.";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 xml:space="preserve">2) в </w:t>
      </w:r>
      <w:hyperlink r:id="rId7">
        <w:r>
          <w:rPr>
            <w:color w:val="0000FF"/>
          </w:rPr>
          <w:t>абзаце седьмом пункта 6 статьи 4</w:t>
        </w:r>
      </w:hyperlink>
      <w:r>
        <w:t xml:space="preserve"> слова "научной и (или) научно-технической деятельности" заменить словами "научной, научно-технической, инновационной деятельности";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 xml:space="preserve">3) в </w:t>
      </w:r>
      <w:hyperlink r:id="rId8">
        <w:r>
          <w:rPr>
            <w:color w:val="0000FF"/>
          </w:rPr>
          <w:t>статье 5</w:t>
        </w:r>
      </w:hyperlink>
      <w:r>
        <w:t>: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 xml:space="preserve">а) </w:t>
      </w:r>
      <w:hyperlink r:id="rId9">
        <w:r>
          <w:rPr>
            <w:color w:val="0000FF"/>
          </w:rPr>
          <w:t>наименование</w:t>
        </w:r>
      </w:hyperlink>
      <w:r>
        <w:t xml:space="preserve"> дополнить словами "и ее структурные подразделения";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пункт 2</w:t>
        </w:r>
      </w:hyperlink>
      <w:r>
        <w:t xml:space="preserve"> после слова "имеет" дополнить словами "уникальную научную установку,";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 xml:space="preserve">в) </w:t>
      </w:r>
      <w:hyperlink r:id="rId11">
        <w:r>
          <w:rPr>
            <w:color w:val="0000FF"/>
          </w:rPr>
          <w:t>дополнить</w:t>
        </w:r>
      </w:hyperlink>
      <w:r>
        <w:t xml:space="preserve"> пунктом 4.1 следующего содержания: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"4.1. Научные организации вправе создавать центры коллективного пользования научным оборудованием, уникальные научные установки.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Требования к центрам коллективного пользования научным оборудованием и уникальным научным установкам, которые созданы и (или) функционирование которых обеспечивается с привлечением бюджетных средств, и порядок их функционирования устанавливаются Правительством Российской Федерации.";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 xml:space="preserve">4) в </w:t>
      </w:r>
      <w:hyperlink r:id="rId12">
        <w:r>
          <w:rPr>
            <w:color w:val="0000FF"/>
          </w:rPr>
          <w:t>пункте 2 статьи 13</w:t>
        </w:r>
      </w:hyperlink>
      <w:r>
        <w:t xml:space="preserve"> слова "федеральные государственные" исключить;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 xml:space="preserve">5) </w:t>
      </w:r>
      <w:hyperlink r:id="rId13">
        <w:r>
          <w:rPr>
            <w:color w:val="0000FF"/>
          </w:rPr>
          <w:t>статью 15</w:t>
        </w:r>
      </w:hyperlink>
      <w:r>
        <w:t xml:space="preserve"> изложить в следующей редакции: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ind w:firstLine="540"/>
        <w:jc w:val="both"/>
      </w:pPr>
      <w:r>
        <w:t>"Статья 15. Финансовое обеспечение научной, научно-технической, инновационной деятельности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ind w:firstLine="540"/>
        <w:jc w:val="both"/>
      </w:pPr>
      <w:r>
        <w:t xml:space="preserve">1. Финансовое обеспечение научной, научно-технической, инновационной деятельности основывается на его целевой ориентации и множественности источников финансирования и может осуществляться </w:t>
      </w:r>
      <w:r>
        <w:lastRenderedPageBreak/>
        <w:t>Российской Федерацией, субъектами Российской Федерации, муниципальными образованиями, а также физическими лицами и (или) юридическими лицами способами, не противоречащими законодательству Российской Федерации и законодательству субъектов Российской Федерации.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2. Финансовое обеспечение научной, научно-технической, инновационной деятельности осуществляется Российской Федерацией, субъектами Российской Федерации, муниципальными образованиями посредством выделения бюджетных средств научным организациям и образовательным организациям высшего образования, фондам поддержки научной, научно-технической, инновационной деятельности, а также иным организациям, осуществляющим указанную деятельность в рамках конкретных научных, научно-технических программ и проектов, инновационных проектов в соответствии с законодательством Российской Федерации, законодательством субъектов Российской Федерации и муниципальными правовыми актами.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3. Основным источником финансирования фундаментальных научных исследований, поисковых научных исследований являются средства федерального бюджета, а также средства фондов поддержки научной, научно-технической, инновационной деятельности.";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ind w:firstLine="540"/>
        <w:jc w:val="both"/>
      </w:pPr>
      <w:r>
        <w:t xml:space="preserve">6) </w:t>
      </w:r>
      <w:hyperlink r:id="rId14">
        <w:r>
          <w:rPr>
            <w:color w:val="0000FF"/>
          </w:rPr>
          <w:t>статью 15.1</w:t>
        </w:r>
      </w:hyperlink>
      <w:r>
        <w:t xml:space="preserve"> изложить в следующей редакции: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ind w:firstLine="540"/>
        <w:jc w:val="both"/>
      </w:pPr>
      <w:r>
        <w:t>"Статья 15.1. Фонды поддержки научной, научно-технической, инновационной деятельности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ind w:firstLine="540"/>
        <w:jc w:val="both"/>
      </w:pPr>
      <w:r>
        <w:t>1. Фонды поддержки научной, научно-технической, инновационной деятельности создаются в целях финансового обеспечения научной, научно-технической, инновационной деятельности в том числе на условиях софинансирования за счет средств различных источников, не запрещенных законодательством Российской Федерации.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Такие фонды могут создаваться Российской Федерацией, субъектами Российской Федерации, физическими лицами и (или) юридическими лицами в организационно-правовой форме фонда.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Фонд поддержки научной, научно-технической, инновационной деятельности, учредителем которого является Российская Федерация или субъект Российской Федерации, может создаваться также в организационно-правовой форме бюджетного или автономного учреждения (далее - государственный фонд).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 xml:space="preserve">2. Функции и полномочия учредителя государственного фонда, учрежденного Российской Федерацией, осуществляет Правительство </w:t>
      </w:r>
      <w:r>
        <w:lastRenderedPageBreak/>
        <w:t>Российской Федерации. В таком фонде создается коллегиальный орган управления, компетенция которого определяется уставом такого фонда. Руководителя коллегиального органа управления государственного фонда, учрежденного Российской Федерацией, назначает Президент Российской Федерации.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Отдельные функции и полномочия учредителя государственного фонда, учрежденного Российской Федерацией, могут быть переданы Правительством Российской Федерации уполномоченному федеральному органу исполнительной власти.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3. Правовое положение фондов поддержки научной, научно-технической, инновационной деятельности определяется настоящим Федеральным законом с учетом особенностей, установленных для фондов, созданных отдельными федеральными законами.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4. Для достижения целей, указанных в абзаце первом пункта 1 настоящей статьи, фонд поддержки научной, научно-технической, инновационной деятельности: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формирует направления научных исследований и (или) экспериментальных разработок, поддерживаемых таким фондом;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проводит конкурсный отбор научных, научно-технических программ и проектов, инновационных проектов, в том числе направленных на перспективное развитие научных организаций и образовательных организаций высшего образования. Для фондов, созданных отдельными федеральными законами, может быть предусмотрен иной порядок отбора программ и проектов;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проводит экспертизу научных, научно-технических программ и проектов, инновационных проектов, финансовое обеспечение реализации которых полностью или частично будет осуществляться или осуществляется за счет средств такого фонда, при проведении конкурсного отбора и на всех стадиях реализации указанных программ и проектов;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осуществляет финансовое обеспечение научных, научно-технических программ и проектов, инновационных проектов преимущественно за счет грантов, передаваемых физическим лицам и (или) юридическим лицам на реализацию указанных программ и проектов;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обеспечивает контроль за результативностью научных, научно-технических программ и проектов, инновационных проектов, финансовое обеспечение реализации которых осуществляется за счет средств такого фонда, на всех стадиях их реализации;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lastRenderedPageBreak/>
        <w:t>обеспечивает раскрытие информации о своей деятельности;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осуществляет иные функции, определенные учредителем при создании такого фонда.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5. Для проведения экспертизы научных, научно-технических программ и проектов, инновационных проектов при проведении конкурсного отбора и на всех стадиях реализации этих программ и проектов в фондах поддержки научной, научно-технической, инновационной деятельности создаются экспертные органы (в том числе экспертные советы, научно-консультационные советы). Функции, полномочия и состав указанных экспертных органов определяются уставами таких фондов.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6. Фонд поддержки научной, научно-технической, инновационной деятельности осуществляет конкурсный отбор научных, научно-технических программ и проектов, инновационных проектов в целях их последующего финансового обеспечения. Условиями этого отбора предусматриваются обязательства его победителя: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обеспечить возможность осуществления таким фондом контроля за целевым расходованием предоставленных им средств на финансовое обеспечение научных, научно-технических программ и проектов, инновационных проектов и за результативностью данных программ и проектов;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обеспечить доведение до всеобщего сведения информации о результатах реализованных научных, научно-технических программ и проектов, инновационных проектов в установленном таким фондом порядке с учетом требований законодательства Российской Федерации о государственной тайне и об иной охраняемой законом тайне.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7. Фонд поддержки научной, научно-технической, инновационной деятельности размещает на своем сайте в информационно-телекоммуникационной сети "Интернет" и (или) в определенных Правительством Российской Федерации государственных информационных системах: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информацию о проведении и об условиях конкурсного отбора научных, научно-технических программ и проектов, инновационных проектов, включая сведения о направлениях научной, научно-технической, инновационной деятельности и при необходимости о примерной тематике поддерживаемых им научных, научно-технических программ и проектов, инновационных проектов;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 xml:space="preserve">требования к содержанию заявки на участие в конкурсном отборе, порядку ее оформления и представления, а также требования к участникам </w:t>
      </w:r>
      <w:r>
        <w:lastRenderedPageBreak/>
        <w:t>такого отбора;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сведения о порядке рассмотрения заявок на участие в конкурсном отборе и подведения итогов такого отбора;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информацию об экспертизе и итогах конкурсного отбора научных, научно-технических программ и проектов, инновационных проектов;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информацию о результатах реализации научных, научно-технических программ и проектов, инновационных проектов, включая сведения о полученных результатах интеллектуальной деятельности;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аналитические и отчетные материалы о своей деятельности и о поддержанных им направлениях научных исследований и (или) экспериментальных разработок;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иную информацию в соответствии с законодательством Российской Федерации и решениями такого фонда.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8. Указанная в пункте 7 настоящей статьи информация размещается с учетом требований законодательства Российской Федерации о государственной тайне и об иной охраняемой законом тайне.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9. Фонды поддержки научной, научно-технической, инновационной деятельности, финансовое обеспечение которых осуществляется за счет бюджетных средств, если иное не установлено для фондов, созданных отдельными федеральными законами, обязаны разрабатывать среднесрочные и долгосрочные программы поддержки научной, научно-технической, инновационной деятельности, которые должны быть скоординированы с государственными программами Российской Федерации.";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ind w:firstLine="540"/>
        <w:jc w:val="both"/>
      </w:pPr>
      <w:r>
        <w:t xml:space="preserve">7) </w:t>
      </w:r>
      <w:hyperlink r:id="rId15">
        <w:r>
          <w:rPr>
            <w:color w:val="0000FF"/>
          </w:rPr>
          <w:t>пункт 3 статьи 16.5</w:t>
        </w:r>
      </w:hyperlink>
      <w:r>
        <w:t xml:space="preserve"> дополнить абзацем следующего содержания:</w:t>
      </w:r>
    </w:p>
    <w:p w:rsidR="002448FC" w:rsidRDefault="002448FC">
      <w:pPr>
        <w:pStyle w:val="ConsPlusNormal"/>
        <w:spacing w:before="280"/>
        <w:ind w:firstLine="540"/>
        <w:jc w:val="both"/>
      </w:pPr>
      <w:r>
        <w:t>"Правила оценки эффективности, особенности определения целевого характера использования бюджетных средств, направленных на государственную поддержку инновационной деятельности, а также средств из внебюджетных источников, возврат которых обеспечен государственными гарантиями, и применяемые при проведении такой оценки критерии устанавливаются Правительством Российской Федерации.".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Title"/>
        <w:ind w:firstLine="540"/>
        <w:jc w:val="both"/>
        <w:outlineLvl w:val="0"/>
      </w:pPr>
      <w:r>
        <w:t>Статья 2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jc w:val="right"/>
      </w:pPr>
      <w:r>
        <w:t>Президент</w:t>
      </w:r>
    </w:p>
    <w:p w:rsidR="002448FC" w:rsidRDefault="002448FC">
      <w:pPr>
        <w:pStyle w:val="ConsPlusNormal"/>
        <w:jc w:val="right"/>
      </w:pPr>
      <w:r>
        <w:lastRenderedPageBreak/>
        <w:t>Российской Федерации</w:t>
      </w:r>
    </w:p>
    <w:p w:rsidR="002448FC" w:rsidRDefault="002448FC">
      <w:pPr>
        <w:pStyle w:val="ConsPlusNormal"/>
        <w:jc w:val="right"/>
      </w:pPr>
      <w:r>
        <w:t>В.ПУТИН</w:t>
      </w:r>
    </w:p>
    <w:p w:rsidR="002448FC" w:rsidRDefault="002448FC">
      <w:pPr>
        <w:pStyle w:val="ConsPlusNormal"/>
      </w:pPr>
      <w:r>
        <w:t>Москва, Кремль</w:t>
      </w:r>
    </w:p>
    <w:p w:rsidR="002448FC" w:rsidRDefault="002448FC">
      <w:pPr>
        <w:pStyle w:val="ConsPlusNormal"/>
        <w:spacing w:before="280"/>
      </w:pPr>
      <w:r>
        <w:t>13 июля 2015 года</w:t>
      </w:r>
    </w:p>
    <w:p w:rsidR="002448FC" w:rsidRDefault="002448FC">
      <w:pPr>
        <w:pStyle w:val="ConsPlusNormal"/>
        <w:spacing w:before="280"/>
      </w:pPr>
      <w:r>
        <w:t>N 270-ФЗ</w:t>
      </w: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jc w:val="both"/>
      </w:pPr>
    </w:p>
    <w:p w:rsidR="002448FC" w:rsidRDefault="002448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DE1" w:rsidRDefault="00E37DE1">
      <w:bookmarkStart w:id="0" w:name="_GoBack"/>
      <w:bookmarkEnd w:id="0"/>
    </w:p>
    <w:sectPr w:rsidR="00E37DE1" w:rsidSect="00F8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FC"/>
    <w:rsid w:val="002448FC"/>
    <w:rsid w:val="00E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9EAD-55AC-4C68-A067-92A6420A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8FC"/>
    <w:pPr>
      <w:widowControl w:val="0"/>
      <w:autoSpaceDE w:val="0"/>
      <w:autoSpaceDN w:val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448FC"/>
    <w:pPr>
      <w:widowControl w:val="0"/>
      <w:autoSpaceDE w:val="0"/>
      <w:autoSpaceDN w:val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2448FC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2547&amp;dst=100060" TargetMode="External"/><Relationship Id="rId13" Type="http://schemas.openxmlformats.org/officeDocument/2006/relationships/hyperlink" Target="https://login.consultant.ru/link/?req=doc&amp;base=LAW&amp;n=172547&amp;dst=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72547&amp;dst=100047" TargetMode="External"/><Relationship Id="rId12" Type="http://schemas.openxmlformats.org/officeDocument/2006/relationships/hyperlink" Target="https://login.consultant.ru/link/?req=doc&amp;base=LAW&amp;n=172547&amp;dst=7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72547&amp;dst=100013" TargetMode="External"/><Relationship Id="rId11" Type="http://schemas.openxmlformats.org/officeDocument/2006/relationships/hyperlink" Target="https://login.consultant.ru/link/?req=doc&amp;base=LAW&amp;n=172547&amp;dst=100060" TargetMode="External"/><Relationship Id="rId5" Type="http://schemas.openxmlformats.org/officeDocument/2006/relationships/hyperlink" Target="https://login.consultant.ru/link/?req=doc&amp;base=LAW&amp;n=172547" TargetMode="External"/><Relationship Id="rId15" Type="http://schemas.openxmlformats.org/officeDocument/2006/relationships/hyperlink" Target="https://login.consultant.ru/link/?req=doc&amp;base=LAW&amp;n=172547&amp;dst=167" TargetMode="External"/><Relationship Id="rId10" Type="http://schemas.openxmlformats.org/officeDocument/2006/relationships/hyperlink" Target="https://login.consultant.ru/link/?req=doc&amp;base=LAW&amp;n=172547&amp;dst=10029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72547&amp;dst=100060" TargetMode="External"/><Relationship Id="rId14" Type="http://schemas.openxmlformats.org/officeDocument/2006/relationships/hyperlink" Target="https://login.consultant.ru/link/?req=doc&amp;base=LAW&amp;n=172547&amp;dst=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Хамзяева Руфина Альбертовна</dc:creator>
  <cp:keywords/>
  <dc:description/>
  <cp:lastModifiedBy>Хамзяева Руфина Альбертовна</cp:lastModifiedBy>
  <cp:revision>1</cp:revision>
  <dcterms:created xsi:type="dcterms:W3CDTF">2025-04-29T16:00:00Z</dcterms:created>
  <dcterms:modified xsi:type="dcterms:W3CDTF">2025-04-29T16:01:00Z</dcterms:modified>
</cp:coreProperties>
</file>