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7.xml" ContentType="application/vnd.openxmlformats-officedocument.drawingml.chart+xml"/>
  <Override PartName="/word/charts/chart6.xml" ContentType="application/vnd.openxmlformats-officedocument.drawingml.chart+xml"/>
  <Override PartName="/word/charts/chart5.xml" ContentType="application/vnd.openxmlformats-officedocument.drawingml.chart+xml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12" w:lineRule="auto"/>
        <w:rPr>
          <w:rFonts w:ascii="Times New Roman" w:hAnsi="Times New Roman" w:eastAsia="TimesNewRomanPSMT"/>
          <w:sz w:val="28"/>
          <w:szCs w:val="28"/>
        </w:rPr>
      </w:pPr>
      <w:r>
        <w:rPr>
          <w:rFonts w:ascii="Times New Roman" w:hAnsi="Times New Roman" w:eastAsia="TimesNewRomanPSMT"/>
          <w:sz w:val="28"/>
          <w:szCs w:val="28"/>
        </w:rPr>
        <w:t xml:space="preserve">Прогноз потребности в кадрах</w:t>
      </w:r>
      <w:r>
        <w:rPr>
          <w:rFonts w:ascii="Times New Roman" w:hAnsi="Times New Roman" w:eastAsia="TimesNewRomanPSMT"/>
          <w:sz w:val="28"/>
          <w:szCs w:val="28"/>
        </w:rPr>
        <w:t xml:space="preserve"> на региональном рынке труда</w:t>
      </w:r>
      <w:r/>
    </w:p>
    <w:p>
      <w:pPr>
        <w:jc w:val="center"/>
        <w:spacing w:after="0" w:line="312" w:lineRule="auto"/>
        <w:rPr>
          <w:rFonts w:ascii="Times New Roman" w:hAnsi="Times New Roman" w:eastAsia="TimesNewRomanPSMT"/>
          <w:sz w:val="28"/>
          <w:szCs w:val="28"/>
        </w:rPr>
      </w:pPr>
      <w:r>
        <w:rPr>
          <w:rFonts w:ascii="Times New Roman" w:hAnsi="Times New Roman" w:eastAsia="TimesNewRomanPSMT"/>
          <w:sz w:val="28"/>
          <w:szCs w:val="28"/>
        </w:rPr>
        <w:t xml:space="preserve">на период </w:t>
      </w:r>
      <w:r>
        <w:rPr>
          <w:rFonts w:ascii="Times New Roman" w:hAnsi="Times New Roman" w:eastAsia="TimesNewRomanPSMT"/>
          <w:sz w:val="28"/>
          <w:szCs w:val="28"/>
        </w:rPr>
        <w:t xml:space="preserve">с 20</w:t>
      </w:r>
      <w:r>
        <w:rPr>
          <w:rFonts w:ascii="Times New Roman" w:hAnsi="Times New Roman" w:eastAsia="TimesNewRomanPSMT"/>
          <w:sz w:val="28"/>
          <w:szCs w:val="28"/>
        </w:rPr>
        <w:t xml:space="preserve">20</w:t>
      </w:r>
      <w:r>
        <w:rPr>
          <w:rFonts w:ascii="Times New Roman" w:hAnsi="Times New Roman" w:eastAsia="TimesNewRomanPSMT"/>
          <w:sz w:val="28"/>
          <w:szCs w:val="28"/>
        </w:rPr>
        <w:t xml:space="preserve"> по 202</w:t>
      </w:r>
      <w:r>
        <w:rPr>
          <w:rFonts w:ascii="Times New Roman" w:hAnsi="Times New Roman" w:eastAsia="TimesNewRomanPSMT"/>
          <w:sz w:val="28"/>
          <w:szCs w:val="28"/>
        </w:rPr>
        <w:t xml:space="preserve">6</w:t>
      </w:r>
      <w:r>
        <w:rPr>
          <w:rFonts w:ascii="Times New Roman" w:hAnsi="Times New Roman" w:eastAsia="TimesNewRomanPSMT"/>
          <w:sz w:val="28"/>
          <w:szCs w:val="28"/>
        </w:rPr>
        <w:t xml:space="preserve"> годы</w:t>
      </w:r>
      <w:r>
        <w:rPr>
          <w:rFonts w:ascii="Times New Roman" w:hAnsi="Times New Roman" w:eastAsia="TimesNewRomanPSMT"/>
          <w:sz w:val="28"/>
          <w:szCs w:val="28"/>
        </w:rPr>
        <w:t xml:space="preserve"> с учетом инвестиционных проектов и прогноза социально –</w:t>
      </w:r>
      <w:r>
        <w:rPr>
          <w:rFonts w:ascii="Times New Roman" w:hAnsi="Times New Roman" w:eastAsia="TimesNewRomanPSMT"/>
          <w:sz w:val="28"/>
          <w:szCs w:val="28"/>
        </w:rPr>
        <w:t xml:space="preserve"> </w:t>
      </w:r>
      <w:r>
        <w:rPr>
          <w:rFonts w:ascii="Times New Roman" w:hAnsi="Times New Roman" w:eastAsia="TimesNewRomanPSMT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 w:eastAsia="TimesNewRomanPSMT"/>
          <w:sz w:val="28"/>
          <w:szCs w:val="28"/>
        </w:rPr>
        <w:t xml:space="preserve">А</w:t>
      </w:r>
      <w:r>
        <w:rPr>
          <w:rFonts w:ascii="Times New Roman" w:hAnsi="Times New Roman" w:eastAsia="TimesNewRomanPSMT"/>
          <w:sz w:val="28"/>
          <w:szCs w:val="28"/>
        </w:rPr>
        <w:t xml:space="preserve">страханской области</w:t>
      </w:r>
      <w:r/>
    </w:p>
    <w:p>
      <w:pPr>
        <w:jc w:val="center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88"/>
        <w:numPr>
          <w:ilvl w:val="0"/>
          <w:numId w:val="1"/>
        </w:numPr>
        <w:jc w:val="center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Общая информация о мониторинге</w:t>
      </w:r>
      <w:r/>
    </w:p>
    <w:p>
      <w:pPr>
        <w:pStyle w:val="688"/>
        <w:ind w:left="1069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распоряжением Губернатора Астраханской области от 4 апреля </w:t>
      </w:r>
      <w:r>
        <w:rPr>
          <w:rFonts w:ascii="Times New Roman" w:hAnsi="Times New Roman"/>
          <w:bCs/>
          <w:iCs/>
          <w:sz w:val="28"/>
          <w:szCs w:val="28"/>
        </w:rPr>
        <w:t xml:space="preserve">2013 года № 216-р «О перечне поручений в рамках послания Губернатора Астраханской области  </w:t>
      </w:r>
      <w:r>
        <w:rPr>
          <w:rFonts w:ascii="Times New Roman" w:hAnsi="Times New Roman"/>
          <w:bCs/>
          <w:iCs/>
          <w:sz w:val="28"/>
          <w:szCs w:val="28"/>
        </w:rPr>
        <w:t xml:space="preserve">Жилкина</w:t>
      </w:r>
      <w:r>
        <w:rPr>
          <w:rFonts w:ascii="Times New Roman" w:hAnsi="Times New Roman"/>
          <w:bCs/>
          <w:iCs/>
          <w:sz w:val="28"/>
          <w:szCs w:val="28"/>
        </w:rPr>
        <w:t xml:space="preserve"> А.А. «Инвестиционный климат и инвестиционная политика Астраханской области на 2013 год» министерством </w:t>
      </w:r>
      <w:r>
        <w:rPr>
          <w:rFonts w:ascii="Times New Roman" w:hAnsi="Times New Roman"/>
          <w:bCs/>
          <w:iCs/>
          <w:sz w:val="28"/>
          <w:szCs w:val="28"/>
        </w:rPr>
        <w:t xml:space="preserve">социального развития и труда </w:t>
      </w:r>
      <w:r>
        <w:rPr>
          <w:rFonts w:ascii="Times New Roman" w:hAnsi="Times New Roman"/>
          <w:bCs/>
          <w:iCs/>
          <w:sz w:val="28"/>
          <w:szCs w:val="28"/>
        </w:rPr>
        <w:t xml:space="preserve">Астраханской области совместно с подведомственными учреждениями  была продолжена работа по изучению прогнозной потребности работодателей Астраханской о</w:t>
      </w:r>
      <w:r>
        <w:rPr>
          <w:rFonts w:ascii="Times New Roman" w:hAnsi="Times New Roman"/>
          <w:bCs/>
          <w:iCs/>
          <w:sz w:val="28"/>
          <w:szCs w:val="28"/>
        </w:rPr>
        <w:t xml:space="preserve">бласти в кадрах </w:t>
      </w:r>
      <w:r>
        <w:rPr>
          <w:rFonts w:ascii="Times New Roman" w:hAnsi="Times New Roman"/>
          <w:bCs/>
          <w:iCs/>
          <w:sz w:val="28"/>
          <w:szCs w:val="28"/>
        </w:rPr>
        <w:t xml:space="preserve">(далее – Прогноз</w:t>
      </w:r>
      <w:r>
        <w:rPr>
          <w:rFonts w:ascii="Times New Roman" w:hAnsi="Times New Roman"/>
          <w:bCs/>
          <w:iCs/>
          <w:sz w:val="28"/>
          <w:szCs w:val="28"/>
        </w:rPr>
        <w:t xml:space="preserve">) </w:t>
      </w:r>
      <w:r>
        <w:rPr>
          <w:rFonts w:ascii="Times New Roman" w:hAnsi="Times New Roman"/>
          <w:bCs/>
          <w:iCs/>
          <w:sz w:val="28"/>
          <w:szCs w:val="28"/>
        </w:rPr>
        <w:t xml:space="preserve">на период с 20</w:t>
      </w:r>
      <w:r>
        <w:rPr>
          <w:rFonts w:ascii="Times New Roman" w:hAnsi="Times New Roman"/>
          <w:bCs/>
          <w:iCs/>
          <w:sz w:val="28"/>
          <w:szCs w:val="28"/>
        </w:rPr>
        <w:t xml:space="preserve">20</w:t>
      </w:r>
      <w:r>
        <w:rPr>
          <w:rFonts w:ascii="Times New Roman" w:hAnsi="Times New Roman"/>
          <w:bCs/>
          <w:iCs/>
          <w:sz w:val="28"/>
          <w:szCs w:val="28"/>
        </w:rPr>
        <w:t xml:space="preserve"> по 202</w:t>
      </w:r>
      <w:r>
        <w:rPr>
          <w:rFonts w:ascii="Times New Roman" w:hAnsi="Times New Roman"/>
          <w:bCs/>
          <w:iCs/>
          <w:sz w:val="28"/>
          <w:szCs w:val="28"/>
        </w:rPr>
        <w:t xml:space="preserve">6</w:t>
      </w:r>
      <w:r>
        <w:rPr>
          <w:rFonts w:ascii="Times New Roman" w:hAnsi="Times New Roman"/>
          <w:bCs/>
          <w:iCs/>
          <w:sz w:val="28"/>
          <w:szCs w:val="28"/>
        </w:rPr>
        <w:t xml:space="preserve"> годы.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Прогноз разработан в целях определения и регулирования объемов и профилей подгото</w:t>
      </w:r>
      <w:r>
        <w:rPr>
          <w:rFonts w:ascii="Times New Roman" w:hAnsi="Times New Roman"/>
          <w:bCs/>
          <w:iCs/>
          <w:sz w:val="28"/>
          <w:szCs w:val="28"/>
        </w:rPr>
        <w:t xml:space="preserve">вки квалифицированных рабочих и специалистов в системе профессионального образования, определения дополнительной потребности в квалифицированных кадрах с учетом предложений работодателей, инвестиционной стратегии развития региона и ситуации на рынке труда.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Сформирован ежегодный прогноз на перспективу (ближайшие 7 лет) на основании данных</w:t>
      </w:r>
      <w:r>
        <w:rPr>
          <w:rFonts w:ascii="Times New Roman" w:hAnsi="Times New Roman"/>
          <w:bCs/>
          <w:iCs/>
          <w:sz w:val="28"/>
          <w:szCs w:val="28"/>
        </w:rPr>
        <w:t xml:space="preserve">,</w:t>
      </w:r>
      <w:r>
        <w:rPr>
          <w:rFonts w:ascii="Times New Roman" w:hAnsi="Times New Roman"/>
          <w:bCs/>
          <w:iCs/>
          <w:sz w:val="28"/>
          <w:szCs w:val="28"/>
        </w:rPr>
        <w:t xml:space="preserve"> представленных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 подведомственными учреждениями</w:t>
      </w:r>
      <w:r>
        <w:rPr>
          <w:rFonts w:ascii="Times New Roman" w:hAnsi="Times New Roman"/>
          <w:bCs/>
          <w:iCs/>
          <w:sz w:val="28"/>
          <w:szCs w:val="28"/>
        </w:rPr>
        <w:t xml:space="preserve">, построенными  </w:t>
      </w:r>
      <w:r>
        <w:rPr>
          <w:rFonts w:ascii="Times New Roman" w:hAnsi="Times New Roman"/>
          <w:bCs/>
          <w:iCs/>
          <w:sz w:val="28"/>
          <w:szCs w:val="28"/>
        </w:rPr>
        <w:t xml:space="preserve">на оценках работодателей</w:t>
      </w:r>
      <w:r>
        <w:rPr>
          <w:rFonts w:ascii="Times New Roman" w:hAnsi="Times New Roman"/>
          <w:bCs/>
          <w:iCs/>
          <w:sz w:val="28"/>
          <w:szCs w:val="28"/>
        </w:rPr>
        <w:t xml:space="preserve"> перспектив развития своих предприятий/организаций (сохранение, расширение существующих рабочих мест или создание новых).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об</w:t>
      </w:r>
      <w:r>
        <w:rPr>
          <w:rFonts w:ascii="Times New Roman" w:hAnsi="Times New Roman"/>
          <w:bCs/>
          <w:iCs/>
          <w:sz w:val="28"/>
          <w:szCs w:val="28"/>
        </w:rPr>
        <w:t xml:space="preserve">следовании приняли участие </w:t>
      </w:r>
      <w:r>
        <w:rPr>
          <w:rFonts w:ascii="Times New Roman" w:hAnsi="Times New Roman"/>
          <w:bCs/>
          <w:iCs/>
          <w:sz w:val="28"/>
          <w:szCs w:val="28"/>
        </w:rPr>
        <w:t xml:space="preserve">334</w:t>
      </w:r>
      <w:r>
        <w:rPr>
          <w:rFonts w:ascii="Times New Roman" w:hAnsi="Times New Roman"/>
          <w:bCs/>
          <w:iCs/>
          <w:sz w:val="28"/>
          <w:szCs w:val="28"/>
        </w:rPr>
        <w:t xml:space="preserve"> крупных и средних предприяти</w:t>
      </w:r>
      <w:r>
        <w:rPr>
          <w:rFonts w:ascii="Times New Roman" w:hAnsi="Times New Roman"/>
          <w:bCs/>
          <w:iCs/>
          <w:sz w:val="28"/>
          <w:szCs w:val="28"/>
        </w:rPr>
        <w:t xml:space="preserve">я</w:t>
      </w:r>
      <w:r>
        <w:rPr>
          <w:rFonts w:ascii="Times New Roman" w:hAnsi="Times New Roman"/>
          <w:bCs/>
          <w:iCs/>
          <w:sz w:val="28"/>
          <w:szCs w:val="28"/>
        </w:rPr>
        <w:t xml:space="preserve"> и организаци</w:t>
      </w:r>
      <w:r>
        <w:rPr>
          <w:rFonts w:ascii="Times New Roman" w:hAnsi="Times New Roman"/>
          <w:bCs/>
          <w:iCs/>
          <w:sz w:val="28"/>
          <w:szCs w:val="28"/>
        </w:rPr>
        <w:t xml:space="preserve">и</w:t>
      </w:r>
      <w:r>
        <w:rPr>
          <w:rFonts w:ascii="Times New Roman" w:hAnsi="Times New Roman"/>
          <w:bCs/>
          <w:iCs/>
          <w:sz w:val="28"/>
          <w:szCs w:val="28"/>
        </w:rPr>
        <w:t xml:space="preserve"> области,</w:t>
      </w:r>
      <w:r>
        <w:rPr>
          <w:rFonts w:ascii="Times New Roman" w:hAnsi="Times New Roman"/>
          <w:bCs/>
          <w:iCs/>
          <w:sz w:val="28"/>
          <w:szCs w:val="28"/>
        </w:rPr>
        <w:t xml:space="preserve"> с общей численностью занятых </w:t>
      </w:r>
      <w:r>
        <w:rPr>
          <w:rFonts w:ascii="Times New Roman" w:hAnsi="Times New Roman"/>
          <w:bCs/>
          <w:iCs/>
          <w:sz w:val="28"/>
          <w:szCs w:val="28"/>
        </w:rPr>
        <w:t xml:space="preserve">32,7</w:t>
      </w:r>
      <w:r>
        <w:rPr>
          <w:rFonts w:ascii="Times New Roman" w:hAnsi="Times New Roman"/>
          <w:bCs/>
          <w:iCs/>
          <w:sz w:val="28"/>
          <w:szCs w:val="28"/>
        </w:rPr>
        <w:t xml:space="preserve"> тысяч</w:t>
      </w:r>
      <w:r>
        <w:rPr>
          <w:rFonts w:ascii="Times New Roman" w:hAnsi="Times New Roman"/>
          <w:bCs/>
          <w:iCs/>
          <w:sz w:val="28"/>
          <w:szCs w:val="28"/>
        </w:rPr>
        <w:t xml:space="preserve">и</w:t>
      </w:r>
      <w:r>
        <w:rPr>
          <w:rFonts w:ascii="Times New Roman" w:hAnsi="Times New Roman"/>
          <w:bCs/>
          <w:iCs/>
          <w:sz w:val="28"/>
          <w:szCs w:val="28"/>
        </w:rPr>
        <w:t xml:space="preserve"> человек, что со</w:t>
      </w:r>
      <w:r>
        <w:rPr>
          <w:rFonts w:ascii="Times New Roman" w:hAnsi="Times New Roman"/>
          <w:bCs/>
          <w:iCs/>
          <w:sz w:val="28"/>
          <w:szCs w:val="28"/>
        </w:rPr>
        <w:t xml:space="preserve">ставляет </w:t>
      </w:r>
      <w:r>
        <w:rPr>
          <w:rFonts w:ascii="Times New Roman" w:hAnsi="Times New Roman"/>
          <w:bCs/>
          <w:iCs/>
          <w:sz w:val="28"/>
          <w:szCs w:val="28"/>
        </w:rPr>
        <w:t xml:space="preserve">почти 7</w:t>
      </w:r>
      <w:r>
        <w:rPr>
          <w:rFonts w:ascii="Times New Roman" w:hAnsi="Times New Roman"/>
          <w:bCs/>
          <w:iCs/>
          <w:sz w:val="28"/>
          <w:szCs w:val="28"/>
        </w:rPr>
        <w:t xml:space="preserve">% от численности населения, занятого в экономике Астраханской области. 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территориальном разрезе наибольший процент охвата занятых в экономике области (от числа занятых</w:t>
      </w:r>
      <w:r>
        <w:rPr>
          <w:rFonts w:ascii="Times New Roman" w:hAnsi="Times New Roman"/>
          <w:bCs/>
          <w:iCs/>
          <w:sz w:val="28"/>
          <w:szCs w:val="28"/>
        </w:rPr>
        <w:t xml:space="preserve"> в опрошенных организациях</w:t>
      </w:r>
      <w:r>
        <w:rPr>
          <w:rFonts w:ascii="Times New Roman" w:hAnsi="Times New Roman"/>
          <w:bCs/>
          <w:iCs/>
          <w:sz w:val="28"/>
          <w:szCs w:val="28"/>
        </w:rPr>
        <w:t xml:space="preserve">) приходится на </w:t>
      </w:r>
      <w:r>
        <w:rPr>
          <w:rFonts w:ascii="Times New Roman" w:hAnsi="Times New Roman"/>
          <w:bCs/>
          <w:iCs/>
          <w:sz w:val="28"/>
          <w:szCs w:val="28"/>
        </w:rPr>
        <w:t xml:space="preserve">муниципальные образования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: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«</w:t>
      </w:r>
      <w:r>
        <w:rPr>
          <w:rFonts w:ascii="Times New Roman" w:hAnsi="Times New Roman"/>
          <w:bCs/>
          <w:iCs/>
          <w:sz w:val="28"/>
          <w:szCs w:val="28"/>
        </w:rPr>
        <w:t xml:space="preserve">Наримановский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район» </w:t>
      </w:r>
      <w:r>
        <w:rPr>
          <w:rFonts w:ascii="Times New Roman" w:hAnsi="Times New Roman"/>
          <w:bCs/>
          <w:iCs/>
          <w:sz w:val="28"/>
          <w:szCs w:val="28"/>
        </w:rPr>
        <w:t xml:space="preserve">–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13,3</w:t>
      </w:r>
      <w:r>
        <w:rPr>
          <w:rFonts w:ascii="Times New Roman" w:hAnsi="Times New Roman"/>
          <w:bCs/>
          <w:iCs/>
          <w:sz w:val="28"/>
          <w:szCs w:val="28"/>
        </w:rPr>
        <w:t xml:space="preserve">%, </w:t>
      </w:r>
      <w:r>
        <w:rPr>
          <w:rFonts w:ascii="Times New Roman" w:hAnsi="Times New Roman"/>
          <w:bCs/>
          <w:iCs/>
          <w:sz w:val="28"/>
          <w:szCs w:val="28"/>
        </w:rPr>
        <w:t xml:space="preserve">Советский</w:t>
      </w:r>
      <w:r>
        <w:rPr>
          <w:rFonts w:ascii="Times New Roman" w:hAnsi="Times New Roman"/>
          <w:bCs/>
          <w:iCs/>
          <w:sz w:val="28"/>
          <w:szCs w:val="28"/>
        </w:rPr>
        <w:t xml:space="preserve"> район муниципального образования «Город Астрахань»</w:t>
      </w:r>
      <w:r>
        <w:rPr>
          <w:rFonts w:ascii="Times New Roman" w:hAnsi="Times New Roman"/>
          <w:bCs/>
          <w:iCs/>
          <w:sz w:val="28"/>
          <w:szCs w:val="28"/>
        </w:rPr>
        <w:t xml:space="preserve"> – </w:t>
      </w:r>
      <w:r>
        <w:rPr>
          <w:rFonts w:ascii="Times New Roman" w:hAnsi="Times New Roman"/>
          <w:bCs/>
          <w:iCs/>
          <w:sz w:val="28"/>
          <w:szCs w:val="28"/>
        </w:rPr>
        <w:t xml:space="preserve">13,3</w:t>
      </w:r>
      <w:r>
        <w:rPr>
          <w:rFonts w:ascii="Times New Roman" w:hAnsi="Times New Roman"/>
          <w:bCs/>
          <w:iCs/>
          <w:sz w:val="28"/>
          <w:szCs w:val="28"/>
        </w:rPr>
        <w:t xml:space="preserve">%, </w:t>
      </w:r>
      <w:r>
        <w:rPr>
          <w:rFonts w:ascii="Times New Roman" w:hAnsi="Times New Roman"/>
          <w:bCs/>
          <w:iCs/>
          <w:sz w:val="28"/>
          <w:szCs w:val="28"/>
        </w:rPr>
        <w:t xml:space="preserve">муниципальные образования: «</w:t>
      </w:r>
      <w:r>
        <w:rPr>
          <w:rFonts w:ascii="Times New Roman" w:hAnsi="Times New Roman"/>
          <w:bCs/>
          <w:iCs/>
          <w:sz w:val="28"/>
          <w:szCs w:val="28"/>
        </w:rPr>
        <w:t xml:space="preserve">Камызякский</w:t>
      </w:r>
      <w:r>
        <w:rPr>
          <w:rFonts w:ascii="Times New Roman" w:hAnsi="Times New Roman"/>
          <w:bCs/>
          <w:iCs/>
          <w:sz w:val="28"/>
          <w:szCs w:val="28"/>
        </w:rPr>
        <w:t xml:space="preserve"> район» – 10,6%, Ленинский</w:t>
      </w:r>
      <w:r>
        <w:rPr>
          <w:rFonts w:ascii="Times New Roman" w:hAnsi="Times New Roman"/>
          <w:bCs/>
          <w:iCs/>
          <w:sz w:val="28"/>
          <w:szCs w:val="28"/>
        </w:rPr>
        <w:t xml:space="preserve"> район муниципального образования «Город Астрахань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– </w:t>
      </w:r>
      <w:r>
        <w:rPr>
          <w:rFonts w:ascii="Times New Roman" w:hAnsi="Times New Roman"/>
          <w:bCs/>
          <w:iCs/>
          <w:sz w:val="28"/>
          <w:szCs w:val="28"/>
        </w:rPr>
        <w:t xml:space="preserve">10,6</w:t>
      </w:r>
      <w:r>
        <w:rPr>
          <w:rFonts w:ascii="Times New Roman" w:hAnsi="Times New Roman"/>
          <w:bCs/>
          <w:iCs/>
          <w:sz w:val="28"/>
          <w:szCs w:val="28"/>
        </w:rPr>
        <w:t xml:space="preserve">%. </w:t>
      </w:r>
      <w:r>
        <w:rPr>
          <w:rFonts w:ascii="Times New Roman" w:hAnsi="Times New Roman"/>
          <w:bCs/>
          <w:iCs/>
          <w:sz w:val="28"/>
          <w:szCs w:val="28"/>
        </w:rPr>
        <w:t xml:space="preserve">Наименьший </w:t>
      </w:r>
      <w:r>
        <w:rPr>
          <w:rFonts w:ascii="Times New Roman" w:hAnsi="Times New Roman"/>
          <w:bCs/>
          <w:iCs/>
          <w:sz w:val="28"/>
          <w:szCs w:val="28"/>
        </w:rPr>
        <w:t xml:space="preserve">–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в </w:t>
      </w:r>
      <w:r>
        <w:rPr>
          <w:rFonts w:ascii="Times New Roman" w:hAnsi="Times New Roman"/>
          <w:bCs/>
          <w:iCs/>
          <w:sz w:val="28"/>
          <w:szCs w:val="28"/>
        </w:rPr>
        <w:t xml:space="preserve">муниципальных образованиях «</w:t>
      </w:r>
      <w:r>
        <w:rPr>
          <w:rFonts w:ascii="Times New Roman" w:hAnsi="Times New Roman"/>
          <w:bCs/>
          <w:iCs/>
          <w:sz w:val="28"/>
          <w:szCs w:val="28"/>
        </w:rPr>
        <w:t xml:space="preserve">Приволжский</w:t>
      </w:r>
      <w:r>
        <w:rPr>
          <w:rFonts w:ascii="Times New Roman" w:hAnsi="Times New Roman"/>
          <w:bCs/>
          <w:iCs/>
          <w:sz w:val="28"/>
          <w:szCs w:val="28"/>
        </w:rPr>
        <w:t xml:space="preserve"> район»</w:t>
      </w:r>
      <w:r>
        <w:rPr>
          <w:rFonts w:ascii="Times New Roman" w:hAnsi="Times New Roman"/>
          <w:bCs/>
          <w:iCs/>
          <w:sz w:val="28"/>
          <w:szCs w:val="28"/>
        </w:rPr>
        <w:t xml:space="preserve"> – 0,</w:t>
      </w:r>
      <w:r>
        <w:rPr>
          <w:rFonts w:ascii="Times New Roman" w:hAnsi="Times New Roman"/>
          <w:bCs/>
          <w:iCs/>
          <w:sz w:val="28"/>
          <w:szCs w:val="28"/>
        </w:rPr>
        <w:t xml:space="preserve">6</w:t>
      </w:r>
      <w:r>
        <w:rPr>
          <w:rFonts w:ascii="Times New Roman" w:hAnsi="Times New Roman"/>
          <w:bCs/>
          <w:iCs/>
          <w:sz w:val="28"/>
          <w:szCs w:val="28"/>
        </w:rPr>
        <w:t xml:space="preserve">%, </w:t>
      </w:r>
      <w:r>
        <w:rPr>
          <w:rFonts w:ascii="Times New Roman" w:hAnsi="Times New Roman"/>
          <w:bCs/>
          <w:iCs/>
          <w:sz w:val="28"/>
          <w:szCs w:val="28"/>
        </w:rPr>
        <w:t xml:space="preserve">«</w:t>
      </w:r>
      <w:r>
        <w:rPr>
          <w:rFonts w:ascii="Times New Roman" w:hAnsi="Times New Roman"/>
          <w:bCs/>
          <w:iCs/>
          <w:sz w:val="28"/>
          <w:szCs w:val="28"/>
        </w:rPr>
        <w:t xml:space="preserve">Енотаевский</w:t>
      </w:r>
      <w:r>
        <w:rPr>
          <w:rFonts w:ascii="Times New Roman" w:hAnsi="Times New Roman"/>
          <w:bCs/>
          <w:iCs/>
          <w:sz w:val="28"/>
          <w:szCs w:val="28"/>
        </w:rPr>
        <w:t xml:space="preserve"> район</w:t>
      </w:r>
      <w:r>
        <w:rPr>
          <w:rFonts w:ascii="Times New Roman" w:hAnsi="Times New Roman"/>
          <w:bCs/>
          <w:iCs/>
          <w:sz w:val="28"/>
          <w:szCs w:val="28"/>
        </w:rPr>
        <w:t xml:space="preserve">»</w:t>
      </w:r>
      <w:r>
        <w:rPr>
          <w:rFonts w:ascii="Times New Roman" w:hAnsi="Times New Roman"/>
          <w:bCs/>
          <w:iCs/>
          <w:sz w:val="28"/>
          <w:szCs w:val="28"/>
        </w:rPr>
        <w:t xml:space="preserve"> – </w:t>
      </w:r>
      <w:r>
        <w:rPr>
          <w:rFonts w:ascii="Times New Roman" w:hAnsi="Times New Roman"/>
          <w:bCs/>
          <w:iCs/>
          <w:sz w:val="28"/>
          <w:szCs w:val="28"/>
        </w:rPr>
        <w:t xml:space="preserve">2,7</w:t>
      </w:r>
      <w:r>
        <w:rPr>
          <w:rFonts w:ascii="Times New Roman" w:hAnsi="Times New Roman"/>
          <w:bCs/>
          <w:iCs/>
          <w:sz w:val="28"/>
          <w:szCs w:val="28"/>
        </w:rPr>
        <w:t xml:space="preserve">%, </w:t>
      </w:r>
      <w:r>
        <w:rPr>
          <w:rFonts w:ascii="Times New Roman" w:hAnsi="Times New Roman"/>
          <w:bCs/>
          <w:iCs/>
          <w:sz w:val="28"/>
          <w:szCs w:val="28"/>
        </w:rPr>
        <w:t xml:space="preserve">Трусовский</w:t>
      </w:r>
      <w:r>
        <w:rPr>
          <w:rFonts w:ascii="Times New Roman" w:hAnsi="Times New Roman"/>
          <w:bCs/>
          <w:iCs/>
          <w:sz w:val="28"/>
          <w:szCs w:val="28"/>
        </w:rPr>
        <w:t xml:space="preserve"> район муниципального образования «Город Астрахань»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– </w:t>
      </w:r>
      <w:r>
        <w:rPr>
          <w:rFonts w:ascii="Times New Roman" w:hAnsi="Times New Roman"/>
          <w:bCs/>
          <w:iCs/>
          <w:sz w:val="28"/>
          <w:szCs w:val="28"/>
        </w:rPr>
        <w:t xml:space="preserve">2,8</w:t>
      </w:r>
      <w:r>
        <w:rPr>
          <w:rFonts w:ascii="Times New Roman" w:hAnsi="Times New Roman"/>
          <w:bCs/>
          <w:iCs/>
          <w:sz w:val="28"/>
          <w:szCs w:val="28"/>
        </w:rPr>
        <w:t xml:space="preserve">% </w:t>
      </w:r>
      <w:r>
        <w:rPr>
          <w:rFonts w:ascii="Times New Roman" w:hAnsi="Times New Roman"/>
          <w:bCs/>
          <w:iCs/>
          <w:sz w:val="28"/>
          <w:szCs w:val="28"/>
        </w:rPr>
        <w:t xml:space="preserve">соответственно</w:t>
      </w:r>
      <w:r>
        <w:rPr>
          <w:rFonts w:ascii="Times New Roman" w:hAnsi="Times New Roman"/>
          <w:bCs/>
          <w:iCs/>
          <w:sz w:val="28"/>
          <w:szCs w:val="28"/>
        </w:rPr>
        <w:t xml:space="preserve"> (диаграмма 1)</w:t>
      </w:r>
      <w:r>
        <w:rPr>
          <w:rFonts w:ascii="Times New Roman" w:hAnsi="Times New Roman"/>
          <w:bCs/>
          <w:iCs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right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Диаграмма 1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drawing>
          <wp:inline distT="0" distB="0" distL="0" distR="0">
            <wp:extent cx="6052782" cy="4394579"/>
            <wp:effectExtent l="0" t="0" r="24765" b="25400"/>
            <wp:docPr id="1" name="Диаграмма 4" hidden="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Наибольший охват работодателей </w:t>
      </w:r>
      <w:r>
        <w:rPr>
          <w:rFonts w:ascii="Times New Roman" w:hAnsi="Times New Roman"/>
          <w:bCs/>
          <w:iCs/>
          <w:sz w:val="28"/>
          <w:szCs w:val="28"/>
        </w:rPr>
        <w:t xml:space="preserve">по численности занятых </w:t>
      </w:r>
      <w:r>
        <w:rPr>
          <w:rFonts w:ascii="Times New Roman" w:hAnsi="Times New Roman"/>
          <w:bCs/>
          <w:iCs/>
          <w:sz w:val="28"/>
          <w:szCs w:val="28"/>
        </w:rPr>
        <w:t xml:space="preserve">обследованием был обеспечен в таких о</w:t>
      </w:r>
      <w:r>
        <w:rPr>
          <w:rFonts w:ascii="Times New Roman" w:hAnsi="Times New Roman"/>
          <w:bCs/>
          <w:iCs/>
          <w:sz w:val="28"/>
          <w:szCs w:val="28"/>
        </w:rPr>
        <w:t xml:space="preserve">траслях, как</w:t>
      </w:r>
      <w:r>
        <w:rPr>
          <w:rFonts w:ascii="Times New Roman" w:hAnsi="Times New Roman"/>
          <w:bCs/>
          <w:iCs/>
          <w:sz w:val="28"/>
          <w:szCs w:val="28"/>
        </w:rPr>
        <w:t xml:space="preserve"> «Деятельность в области здравоохранения и социальных услуг» (31,6%),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«Образование» (</w:t>
      </w:r>
      <w:r>
        <w:rPr>
          <w:rFonts w:ascii="Times New Roman" w:hAnsi="Times New Roman"/>
          <w:bCs/>
          <w:iCs/>
          <w:sz w:val="28"/>
          <w:szCs w:val="28"/>
        </w:rPr>
        <w:t xml:space="preserve">25,7</w:t>
      </w:r>
      <w:r>
        <w:rPr>
          <w:rFonts w:ascii="Times New Roman" w:hAnsi="Times New Roman"/>
          <w:bCs/>
          <w:iCs/>
          <w:sz w:val="28"/>
          <w:szCs w:val="28"/>
        </w:rPr>
        <w:t xml:space="preserve">%),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«</w:t>
      </w:r>
      <w:r>
        <w:rPr>
          <w:rFonts w:ascii="Times New Roman" w:hAnsi="Times New Roman"/>
          <w:bCs/>
          <w:iCs/>
          <w:sz w:val="28"/>
          <w:szCs w:val="28"/>
        </w:rPr>
        <w:t xml:space="preserve">Обрабатывающие производства</w:t>
      </w:r>
      <w:r>
        <w:rPr>
          <w:rFonts w:ascii="Times New Roman" w:hAnsi="Times New Roman"/>
          <w:bCs/>
          <w:iCs/>
          <w:sz w:val="28"/>
          <w:szCs w:val="28"/>
        </w:rPr>
        <w:t xml:space="preserve">»</w:t>
      </w:r>
      <w:r>
        <w:rPr>
          <w:rFonts w:ascii="Times New Roman" w:hAnsi="Times New Roman"/>
          <w:bCs/>
          <w:iCs/>
          <w:sz w:val="28"/>
          <w:szCs w:val="28"/>
        </w:rPr>
        <w:t xml:space="preserve"> (</w:t>
      </w:r>
      <w:r>
        <w:rPr>
          <w:rFonts w:ascii="Times New Roman" w:hAnsi="Times New Roman"/>
          <w:bCs/>
          <w:iCs/>
          <w:sz w:val="28"/>
          <w:szCs w:val="28"/>
        </w:rPr>
        <w:t xml:space="preserve">9,7</w:t>
      </w:r>
      <w:r>
        <w:rPr>
          <w:rFonts w:ascii="Times New Roman" w:hAnsi="Times New Roman"/>
          <w:bCs/>
          <w:iCs/>
          <w:sz w:val="28"/>
          <w:szCs w:val="28"/>
        </w:rPr>
        <w:t xml:space="preserve">%)</w:t>
      </w:r>
      <w:r>
        <w:rPr>
          <w:rFonts w:ascii="Times New Roman" w:hAnsi="Times New Roman"/>
          <w:bCs/>
          <w:iCs/>
          <w:sz w:val="28"/>
          <w:szCs w:val="28"/>
        </w:rPr>
        <w:t xml:space="preserve">.</w:t>
      </w:r>
      <w:r>
        <w:rPr>
          <w:rFonts w:ascii="Times New Roman" w:hAnsi="Times New Roman"/>
          <w:bCs/>
          <w:iCs/>
          <w:sz w:val="28"/>
          <w:szCs w:val="28"/>
        </w:rPr>
        <w:t xml:space="preserve"> Наиболее низкий процент участия в мони</w:t>
      </w:r>
      <w:r>
        <w:rPr>
          <w:rFonts w:ascii="Times New Roman" w:hAnsi="Times New Roman"/>
          <w:bCs/>
          <w:iCs/>
          <w:sz w:val="28"/>
          <w:szCs w:val="28"/>
        </w:rPr>
        <w:t xml:space="preserve">торинге </w:t>
      </w:r>
      <w:r>
        <w:rPr>
          <w:rFonts w:ascii="Times New Roman" w:hAnsi="Times New Roman"/>
          <w:bCs/>
          <w:iCs/>
          <w:sz w:val="28"/>
          <w:szCs w:val="28"/>
        </w:rPr>
        <w:t xml:space="preserve"> наблюдается по видам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экономической деятельности: </w:t>
      </w:r>
      <w:r>
        <w:rPr>
          <w:rFonts w:ascii="Times New Roman" w:hAnsi="Times New Roman"/>
          <w:bCs/>
          <w:iCs/>
          <w:sz w:val="28"/>
          <w:szCs w:val="28"/>
        </w:rPr>
        <w:t xml:space="preserve">«Деятельность гостиниц и предприятий общественного питания»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(14%) и «Деятельность в области информации и связи» (22%)</w:t>
      </w:r>
      <w:r>
        <w:rPr>
          <w:rFonts w:ascii="Times New Roman" w:hAnsi="Times New Roman"/>
          <w:bCs/>
          <w:iCs/>
          <w:sz w:val="28"/>
          <w:szCs w:val="28"/>
        </w:rPr>
        <w:t xml:space="preserve">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П</w:t>
      </w:r>
      <w:r>
        <w:rPr>
          <w:rFonts w:ascii="Times New Roman" w:hAnsi="Times New Roman"/>
          <w:bCs/>
          <w:iCs/>
          <w:sz w:val="28"/>
          <w:szCs w:val="28"/>
        </w:rPr>
        <w:t xml:space="preserve">рактически </w:t>
      </w:r>
      <w:r>
        <w:rPr>
          <w:rFonts w:ascii="Times New Roman" w:hAnsi="Times New Roman"/>
          <w:bCs/>
          <w:iCs/>
          <w:sz w:val="28"/>
          <w:szCs w:val="28"/>
        </w:rPr>
        <w:t xml:space="preserve">не </w:t>
      </w:r>
      <w:r>
        <w:rPr>
          <w:rFonts w:ascii="Times New Roman" w:hAnsi="Times New Roman"/>
          <w:bCs/>
          <w:iCs/>
          <w:sz w:val="28"/>
          <w:szCs w:val="28"/>
        </w:rPr>
        <w:t xml:space="preserve">охваче</w:t>
      </w:r>
      <w:r>
        <w:rPr>
          <w:rFonts w:ascii="Times New Roman" w:hAnsi="Times New Roman"/>
          <w:bCs/>
          <w:iCs/>
          <w:sz w:val="28"/>
          <w:szCs w:val="28"/>
        </w:rPr>
        <w:t xml:space="preserve">н</w:t>
      </w:r>
      <w:r>
        <w:rPr>
          <w:rFonts w:ascii="Times New Roman" w:hAnsi="Times New Roman"/>
          <w:bCs/>
          <w:iCs/>
          <w:sz w:val="28"/>
          <w:szCs w:val="28"/>
        </w:rPr>
        <w:t xml:space="preserve">н</w:t>
      </w:r>
      <w:r>
        <w:rPr>
          <w:rFonts w:ascii="Times New Roman" w:hAnsi="Times New Roman"/>
          <w:bCs/>
          <w:iCs/>
          <w:sz w:val="28"/>
          <w:szCs w:val="28"/>
        </w:rPr>
        <w:t xml:space="preserve">ыми</w:t>
      </w:r>
      <w:r>
        <w:rPr>
          <w:rFonts w:ascii="Times New Roman" w:hAnsi="Times New Roman"/>
          <w:bCs/>
          <w:iCs/>
          <w:sz w:val="28"/>
          <w:szCs w:val="28"/>
        </w:rPr>
        <w:t xml:space="preserve"> мониторингом </w:t>
      </w:r>
      <w:r>
        <w:rPr>
          <w:rFonts w:ascii="Times New Roman" w:hAnsi="Times New Roman"/>
          <w:bCs/>
          <w:iCs/>
          <w:sz w:val="28"/>
          <w:szCs w:val="28"/>
        </w:rPr>
        <w:t xml:space="preserve">оказались </w:t>
      </w:r>
      <w:r>
        <w:rPr>
          <w:rFonts w:ascii="Times New Roman" w:hAnsi="Times New Roman"/>
          <w:bCs/>
          <w:iCs/>
          <w:sz w:val="28"/>
          <w:szCs w:val="28"/>
        </w:rPr>
        <w:t xml:space="preserve">так</w:t>
      </w:r>
      <w:r>
        <w:rPr>
          <w:rFonts w:ascii="Times New Roman" w:hAnsi="Times New Roman"/>
          <w:bCs/>
          <w:iCs/>
          <w:sz w:val="28"/>
          <w:szCs w:val="28"/>
        </w:rPr>
        <w:t xml:space="preserve">ие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группы </w:t>
      </w:r>
      <w:r>
        <w:rPr>
          <w:rFonts w:ascii="Times New Roman" w:hAnsi="Times New Roman"/>
          <w:bCs/>
          <w:iCs/>
          <w:sz w:val="28"/>
          <w:szCs w:val="28"/>
        </w:rPr>
        <w:t xml:space="preserve">вид</w:t>
      </w:r>
      <w:r>
        <w:rPr>
          <w:rFonts w:ascii="Times New Roman" w:hAnsi="Times New Roman"/>
          <w:bCs/>
          <w:iCs/>
          <w:sz w:val="28"/>
          <w:szCs w:val="28"/>
        </w:rPr>
        <w:t xml:space="preserve">ов</w:t>
      </w:r>
      <w:r>
        <w:rPr>
          <w:rFonts w:ascii="Times New Roman" w:hAnsi="Times New Roman"/>
          <w:bCs/>
          <w:iCs/>
          <w:sz w:val="28"/>
          <w:szCs w:val="28"/>
        </w:rPr>
        <w:t xml:space="preserve"> экономической деятельнос</w:t>
      </w:r>
      <w:r>
        <w:rPr>
          <w:rFonts w:ascii="Times New Roman" w:hAnsi="Times New Roman"/>
          <w:bCs/>
          <w:iCs/>
          <w:sz w:val="28"/>
          <w:szCs w:val="28"/>
        </w:rPr>
        <w:t xml:space="preserve">ти, как </w:t>
      </w:r>
      <w:r>
        <w:rPr>
          <w:rFonts w:ascii="Times New Roman" w:hAnsi="Times New Roman"/>
          <w:bCs/>
          <w:iCs/>
          <w:sz w:val="28"/>
          <w:szCs w:val="28"/>
        </w:rPr>
        <w:t xml:space="preserve">«Деятельность гостиниц и предприятий общественного питания», «Деятельность в области информации и связи», </w:t>
      </w:r>
      <w:r>
        <w:rPr>
          <w:rFonts w:ascii="Times New Roman" w:hAnsi="Times New Roman"/>
          <w:bCs/>
          <w:iCs/>
          <w:sz w:val="28"/>
          <w:szCs w:val="28"/>
        </w:rPr>
        <w:t xml:space="preserve">«Ф</w:t>
      </w:r>
      <w:r>
        <w:rPr>
          <w:rFonts w:ascii="Times New Roman" w:hAnsi="Times New Roman"/>
          <w:bCs/>
          <w:iCs/>
          <w:sz w:val="28"/>
          <w:szCs w:val="28"/>
        </w:rPr>
        <w:t xml:space="preserve">инансовая деятельность</w:t>
      </w:r>
      <w:r>
        <w:rPr>
          <w:rFonts w:ascii="Times New Roman" w:hAnsi="Times New Roman"/>
          <w:bCs/>
          <w:iCs/>
          <w:sz w:val="28"/>
          <w:szCs w:val="28"/>
        </w:rPr>
        <w:t xml:space="preserve">»,</w:t>
      </w:r>
      <w:r>
        <w:rPr>
          <w:rFonts w:ascii="Times New Roman" w:hAnsi="Times New Roman"/>
          <w:bCs/>
          <w:iCs/>
          <w:sz w:val="28"/>
          <w:szCs w:val="28"/>
        </w:rPr>
        <w:t xml:space="preserve"> «Деятельность по операциям с недвижимым имуществом», «Предоставление прочих видов услуг» </w:t>
      </w:r>
      <w:r>
        <w:rPr>
          <w:rFonts w:ascii="Times New Roman" w:hAnsi="Times New Roman"/>
          <w:bCs/>
          <w:iCs/>
          <w:sz w:val="28"/>
          <w:szCs w:val="28"/>
        </w:rPr>
        <w:t xml:space="preserve">(диаграмма 2).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right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Диаграмма 2</w:t>
      </w:r>
      <w:r/>
    </w:p>
    <w:p>
      <w:pPr>
        <w:contextualSpacing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  <w:lang w:eastAsia="ru-RU"/>
        </w:rPr>
        <w:drawing>
          <wp:inline distT="0" distB="0" distL="0" distR="0">
            <wp:extent cx="6005015" cy="4394579"/>
            <wp:effectExtent l="0" t="0" r="0" b="6350"/>
            <wp:docPr id="2" name="Диаграмма 7" hidden="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pStyle w:val="688"/>
        <w:numPr>
          <w:ilvl w:val="0"/>
          <w:numId w:val="1"/>
        </w:numPr>
        <w:jc w:val="center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Текущая и перспективная потребность работодателей в кадрах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По данным </w:t>
      </w:r>
      <w:r>
        <w:rPr>
          <w:rFonts w:ascii="Times New Roman" w:hAnsi="Times New Roman"/>
          <w:bCs/>
          <w:iCs/>
          <w:sz w:val="28"/>
          <w:szCs w:val="28"/>
        </w:rPr>
        <w:t xml:space="preserve">Росстата</w:t>
      </w:r>
      <w:r>
        <w:rPr>
          <w:rFonts w:ascii="Times New Roman" w:hAnsi="Times New Roman"/>
          <w:bCs/>
          <w:iCs/>
          <w:sz w:val="28"/>
          <w:szCs w:val="28"/>
        </w:rPr>
        <w:t xml:space="preserve"> по состоянию на 1 января 20</w:t>
      </w:r>
      <w:r>
        <w:rPr>
          <w:rFonts w:ascii="Times New Roman" w:hAnsi="Times New Roman"/>
          <w:bCs/>
          <w:iCs/>
          <w:sz w:val="28"/>
          <w:szCs w:val="28"/>
        </w:rPr>
        <w:t xml:space="preserve">20</w:t>
      </w:r>
      <w:r>
        <w:rPr>
          <w:rFonts w:ascii="Times New Roman" w:hAnsi="Times New Roman"/>
          <w:bCs/>
          <w:iCs/>
          <w:sz w:val="28"/>
          <w:szCs w:val="28"/>
        </w:rPr>
        <w:t xml:space="preserve"> года численность постоянного населения Астраханской области составила </w:t>
      </w:r>
      <w:r>
        <w:rPr>
          <w:rFonts w:ascii="Times New Roman" w:hAnsi="Times New Roman"/>
          <w:bCs/>
          <w:iCs/>
          <w:sz w:val="28"/>
          <w:szCs w:val="28"/>
        </w:rPr>
        <w:t xml:space="preserve">1 005,78 </w:t>
      </w:r>
      <w:r>
        <w:rPr>
          <w:rFonts w:ascii="Times New Roman" w:hAnsi="Times New Roman"/>
          <w:bCs/>
          <w:iCs/>
          <w:sz w:val="28"/>
          <w:szCs w:val="28"/>
        </w:rPr>
        <w:t xml:space="preserve">тыс. человек, что на </w:t>
      </w:r>
      <w:r>
        <w:rPr>
          <w:rFonts w:ascii="Times New Roman" w:hAnsi="Times New Roman"/>
          <w:bCs/>
          <w:iCs/>
          <w:sz w:val="28"/>
          <w:szCs w:val="28"/>
        </w:rPr>
        <w:t xml:space="preserve">8,3 </w:t>
      </w:r>
      <w:r>
        <w:rPr>
          <w:rFonts w:ascii="Times New Roman" w:hAnsi="Times New Roman"/>
          <w:bCs/>
          <w:iCs/>
          <w:sz w:val="28"/>
          <w:szCs w:val="28"/>
        </w:rPr>
        <w:t xml:space="preserve">тысячи человек меньше, чем на 1 января 201</w:t>
      </w:r>
      <w:r>
        <w:rPr>
          <w:rFonts w:ascii="Times New Roman" w:hAnsi="Times New Roman"/>
          <w:bCs/>
          <w:iCs/>
          <w:sz w:val="28"/>
          <w:szCs w:val="28"/>
        </w:rPr>
        <w:t xml:space="preserve">9</w:t>
      </w:r>
      <w:r>
        <w:rPr>
          <w:rFonts w:ascii="Times New Roman" w:hAnsi="Times New Roman"/>
          <w:bCs/>
          <w:iCs/>
          <w:sz w:val="28"/>
          <w:szCs w:val="28"/>
        </w:rPr>
        <w:t xml:space="preserve"> года.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Согласно прогнозу министерства экономического развития </w:t>
      </w:r>
      <w:r>
        <w:rPr>
          <w:rFonts w:ascii="Times New Roman" w:hAnsi="Times New Roman"/>
          <w:bCs/>
          <w:iCs/>
          <w:sz w:val="28"/>
          <w:szCs w:val="28"/>
        </w:rPr>
        <w:t xml:space="preserve">Астраханской области  в среднесрочном прогнозном периоде до 2022 года ожидается поэтапное сокращение естественной убыли населения за счет реализации комплекса мероприятий, направленных на повышение показателей рождаемости и снижения показателей смертности.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Исходя из перспектив демографической ситуации, прогнозируется снижение численности работающих лиц старше трудоспособного возраста. К 2022 году </w:t>
      </w:r>
      <w:r>
        <w:rPr>
          <w:rFonts w:ascii="Times New Roman" w:hAnsi="Times New Roman"/>
          <w:bCs/>
          <w:iCs/>
          <w:sz w:val="28"/>
          <w:szCs w:val="28"/>
        </w:rPr>
        <w:t xml:space="preserve">прогнозируется, что </w:t>
      </w:r>
      <w:r>
        <w:rPr>
          <w:rFonts w:ascii="Times New Roman" w:hAnsi="Times New Roman"/>
          <w:bCs/>
          <w:iCs/>
          <w:sz w:val="28"/>
          <w:szCs w:val="28"/>
        </w:rPr>
        <w:t xml:space="preserve">их доля составит 6,8% от численности трудовых ресурсов. 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По оценочным данным численность трудовых ресурсов имеет небольшую тенденцию к росту и составит</w:t>
      </w:r>
      <w:r>
        <w:rPr>
          <w:rFonts w:ascii="Times New Roman" w:hAnsi="Times New Roman"/>
          <w:bCs/>
          <w:iCs/>
          <w:sz w:val="28"/>
          <w:szCs w:val="28"/>
        </w:rPr>
        <w:t xml:space="preserve"> в 2022 году 605,4 тыс. человек. При этом прогнозная численность иностранной рабочей силы не предусматривает увеличения, что обусловлено усилением мер государственного регулирования, направленных на замещение иностранных работников российскими гражданами.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Преобладающую часть в численности трудовых ресурсо</w:t>
      </w:r>
      <w:r>
        <w:rPr>
          <w:rFonts w:ascii="Times New Roman" w:hAnsi="Times New Roman"/>
          <w:bCs/>
          <w:iCs/>
          <w:sz w:val="28"/>
          <w:szCs w:val="28"/>
        </w:rPr>
        <w:t xml:space="preserve">в Астраханской области составят занятые в экономике, доля которых составляет до 78%. При этом численность населения, не занятого в экономике, будет иметь тенденцию к снижению,  в том числе за счет легализации трудовых отношений граждан занятых неформально.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Доля учащихся в трудоспособном возрасте, обучающихся с отрывом от производства, составляет в пределах 7,0%.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Рынок труда области характеризуется уровнем участия в рабочей силе (в возрасте от 15 и старше), который по итогам 2019 года составил 61,8%, а также уровнем занятости населения – 57,1%. 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2019 году основная часть выбытия рабочей силы на предприятиях и в орг</w:t>
      </w:r>
      <w:r>
        <w:rPr>
          <w:rFonts w:ascii="Times New Roman" w:hAnsi="Times New Roman"/>
          <w:bCs/>
          <w:iCs/>
          <w:sz w:val="28"/>
          <w:szCs w:val="28"/>
        </w:rPr>
        <w:t xml:space="preserve">анизациях области (около 75%) приходилась на граждан, увольняющихся в силу различных обстоятельств по собственному желанию. Доля выбывших работников в связи с сокращением численности работников сократилась по сравнению с предыдущим годом и составила 3,9%.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результате проведенного обследования получены прогнозные данные о потребности работодателей в</w:t>
      </w:r>
      <w:r>
        <w:rPr>
          <w:rFonts w:ascii="Times New Roman" w:hAnsi="Times New Roman"/>
          <w:bCs/>
          <w:iCs/>
          <w:sz w:val="28"/>
          <w:szCs w:val="28"/>
        </w:rPr>
        <w:t xml:space="preserve"> кадрах</w:t>
      </w:r>
      <w:r>
        <w:rPr>
          <w:rFonts w:ascii="Times New Roman" w:hAnsi="Times New Roman"/>
          <w:bCs/>
          <w:iCs/>
          <w:sz w:val="28"/>
          <w:szCs w:val="28"/>
        </w:rPr>
        <w:t xml:space="preserve">, которая составит в 20</w:t>
      </w:r>
      <w:r>
        <w:rPr>
          <w:rFonts w:ascii="Times New Roman" w:hAnsi="Times New Roman"/>
          <w:bCs/>
          <w:iCs/>
          <w:sz w:val="28"/>
          <w:szCs w:val="28"/>
        </w:rPr>
        <w:t xml:space="preserve">20</w:t>
      </w:r>
      <w:r>
        <w:rPr>
          <w:rFonts w:ascii="Times New Roman" w:hAnsi="Times New Roman"/>
          <w:bCs/>
          <w:iCs/>
          <w:sz w:val="28"/>
          <w:szCs w:val="28"/>
        </w:rPr>
        <w:t xml:space="preserve">-202</w:t>
      </w:r>
      <w:r>
        <w:rPr>
          <w:rFonts w:ascii="Times New Roman" w:hAnsi="Times New Roman"/>
          <w:bCs/>
          <w:iCs/>
          <w:sz w:val="28"/>
          <w:szCs w:val="28"/>
        </w:rPr>
        <w:t xml:space="preserve">6</w:t>
      </w:r>
      <w:r>
        <w:rPr>
          <w:rFonts w:ascii="Times New Roman" w:hAnsi="Times New Roman"/>
          <w:bCs/>
          <w:iCs/>
          <w:sz w:val="28"/>
          <w:szCs w:val="28"/>
        </w:rPr>
        <w:t xml:space="preserve"> годах </w:t>
      </w:r>
      <w:r>
        <w:rPr>
          <w:rFonts w:ascii="Times New Roman" w:hAnsi="Times New Roman"/>
          <w:bCs/>
          <w:iCs/>
          <w:sz w:val="28"/>
          <w:szCs w:val="28"/>
        </w:rPr>
        <w:t xml:space="preserve">почти</w:t>
      </w: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  <w:r>
        <w:rPr>
          <w:rFonts w:ascii="Times New Roman" w:hAnsi="Times New Roman"/>
          <w:bCs/>
          <w:iCs/>
          <w:sz w:val="28"/>
          <w:szCs w:val="28"/>
        </w:rPr>
        <w:t xml:space="preserve">1631</w:t>
      </w:r>
      <w:r>
        <w:rPr>
          <w:rFonts w:ascii="Times New Roman" w:hAnsi="Times New Roman"/>
          <w:bCs/>
          <w:iCs/>
          <w:sz w:val="28"/>
          <w:szCs w:val="28"/>
        </w:rPr>
        <w:t xml:space="preserve">1</w:t>
      </w:r>
      <w:r>
        <w:rPr>
          <w:rFonts w:ascii="Times New Roman" w:hAnsi="Times New Roman"/>
          <w:bCs/>
          <w:iCs/>
          <w:sz w:val="28"/>
          <w:szCs w:val="28"/>
        </w:rPr>
        <w:t xml:space="preserve"> тысяч</w:t>
      </w:r>
      <w:r>
        <w:rPr>
          <w:rFonts w:ascii="Times New Roman" w:hAnsi="Times New Roman"/>
          <w:bCs/>
          <w:iCs/>
          <w:sz w:val="28"/>
          <w:szCs w:val="28"/>
        </w:rPr>
        <w:t xml:space="preserve">и</w:t>
      </w:r>
      <w:r>
        <w:rPr>
          <w:rFonts w:ascii="Times New Roman" w:hAnsi="Times New Roman"/>
          <w:bCs/>
          <w:iCs/>
          <w:sz w:val="28"/>
          <w:szCs w:val="28"/>
        </w:rPr>
        <w:t xml:space="preserve"> человек, </w:t>
      </w:r>
      <w:r>
        <w:rPr>
          <w:rFonts w:ascii="Times New Roman" w:hAnsi="Times New Roman"/>
          <w:bCs/>
          <w:iCs/>
          <w:sz w:val="28"/>
          <w:szCs w:val="28"/>
        </w:rPr>
        <w:t xml:space="preserve">при этом </w:t>
      </w:r>
      <w:r>
        <w:rPr>
          <w:rFonts w:ascii="Times New Roman" w:hAnsi="Times New Roman"/>
          <w:bCs/>
          <w:iCs/>
          <w:sz w:val="28"/>
          <w:szCs w:val="28"/>
        </w:rPr>
        <w:t xml:space="preserve">ежегодная потребнос</w:t>
      </w:r>
      <w:r>
        <w:rPr>
          <w:rFonts w:ascii="Times New Roman" w:hAnsi="Times New Roman"/>
          <w:bCs/>
          <w:iCs/>
          <w:sz w:val="28"/>
          <w:szCs w:val="28"/>
        </w:rPr>
        <w:t xml:space="preserve">ть в среднем </w:t>
      </w:r>
      <w:r>
        <w:rPr>
          <w:rFonts w:ascii="Times New Roman" w:hAnsi="Times New Roman"/>
          <w:bCs/>
          <w:iCs/>
          <w:sz w:val="28"/>
          <w:szCs w:val="28"/>
        </w:rPr>
        <w:t xml:space="preserve">–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2</w:t>
      </w:r>
      <w:r>
        <w:rPr>
          <w:rFonts w:ascii="Times New Roman" w:hAnsi="Times New Roman"/>
          <w:bCs/>
          <w:iCs/>
          <w:sz w:val="28"/>
          <w:szCs w:val="28"/>
        </w:rPr>
        <w:t xml:space="preserve">330</w:t>
      </w:r>
      <w:r>
        <w:rPr>
          <w:rFonts w:ascii="Times New Roman" w:hAnsi="Times New Roman"/>
          <w:bCs/>
          <w:iCs/>
          <w:sz w:val="28"/>
          <w:szCs w:val="28"/>
        </w:rPr>
        <w:t xml:space="preserve"> тыс. человек, в том числе</w:t>
      </w:r>
      <w:r>
        <w:rPr>
          <w:rFonts w:ascii="Times New Roman" w:hAnsi="Times New Roman"/>
          <w:bCs/>
          <w:iCs/>
          <w:sz w:val="28"/>
          <w:szCs w:val="28"/>
        </w:rPr>
        <w:t xml:space="preserve"> (диаграмма </w:t>
      </w:r>
      <w:r>
        <w:rPr>
          <w:rFonts w:ascii="Times New Roman" w:hAnsi="Times New Roman"/>
          <w:bCs/>
          <w:iCs/>
          <w:sz w:val="28"/>
          <w:szCs w:val="28"/>
        </w:rPr>
        <w:t xml:space="preserve">3</w:t>
      </w:r>
      <w:r>
        <w:rPr>
          <w:rFonts w:ascii="Times New Roman" w:hAnsi="Times New Roman"/>
          <w:bCs/>
          <w:iCs/>
          <w:sz w:val="28"/>
          <w:szCs w:val="28"/>
        </w:rPr>
        <w:t xml:space="preserve">):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>
        <w:rPr>
          <w:rFonts w:ascii="Times New Roman" w:hAnsi="Times New Roman"/>
          <w:bCs/>
          <w:iCs/>
          <w:sz w:val="28"/>
          <w:szCs w:val="28"/>
        </w:rPr>
        <w:t xml:space="preserve">в 2020 году – 3243 чел;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в 2021 году – 2353 чел;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в 2022 году – 2192 чел;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в 2023 году – 2091 чел;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в 2024 году – 2094 чел;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в 2025 году – 1983 чел.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в 202</w:t>
      </w:r>
      <w:r>
        <w:rPr>
          <w:rFonts w:ascii="Times New Roman" w:hAnsi="Times New Roman"/>
          <w:bCs/>
          <w:iCs/>
          <w:sz w:val="28"/>
          <w:szCs w:val="28"/>
        </w:rPr>
        <w:t xml:space="preserve">6</w:t>
      </w:r>
      <w:r>
        <w:rPr>
          <w:rFonts w:ascii="Times New Roman" w:hAnsi="Times New Roman"/>
          <w:bCs/>
          <w:iCs/>
          <w:sz w:val="28"/>
          <w:szCs w:val="28"/>
        </w:rPr>
        <w:t xml:space="preserve"> году – </w:t>
      </w:r>
      <w:r>
        <w:rPr>
          <w:rFonts w:ascii="Times New Roman" w:hAnsi="Times New Roman"/>
          <w:bCs/>
          <w:iCs/>
          <w:sz w:val="28"/>
          <w:szCs w:val="28"/>
        </w:rPr>
        <w:t xml:space="preserve">2355</w:t>
      </w:r>
      <w:r>
        <w:rPr>
          <w:rFonts w:ascii="Times New Roman" w:hAnsi="Times New Roman"/>
          <w:bCs/>
          <w:iCs/>
          <w:sz w:val="28"/>
          <w:szCs w:val="28"/>
        </w:rPr>
        <w:t xml:space="preserve"> чел</w:t>
      </w:r>
      <w:r>
        <w:rPr>
          <w:rFonts w:ascii="Times New Roman" w:hAnsi="Times New Roman"/>
          <w:bCs/>
          <w:iCs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</w:t>
      </w:r>
      <w:r>
        <w:rPr>
          <w:rFonts w:ascii="Times New Roman" w:hAnsi="Times New Roman"/>
          <w:bCs/>
          <w:iCs/>
          <w:sz w:val="28"/>
          <w:szCs w:val="28"/>
        </w:rPr>
        <w:t xml:space="preserve">отребуется </w:t>
      </w:r>
      <w:r>
        <w:rPr>
          <w:rFonts w:ascii="Times New Roman" w:hAnsi="Times New Roman"/>
          <w:bCs/>
          <w:iCs/>
          <w:sz w:val="28"/>
          <w:szCs w:val="28"/>
        </w:rPr>
        <w:t xml:space="preserve">4606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человек</w:t>
      </w:r>
      <w:r>
        <w:rPr>
          <w:rFonts w:ascii="Times New Roman" w:hAnsi="Times New Roman"/>
          <w:bCs/>
          <w:iCs/>
          <w:sz w:val="28"/>
          <w:szCs w:val="28"/>
        </w:rPr>
        <w:t xml:space="preserve"> из числа</w:t>
      </w:r>
      <w:r>
        <w:rPr>
          <w:rFonts w:ascii="Times New Roman" w:hAnsi="Times New Roman"/>
          <w:bCs/>
          <w:iCs/>
          <w:sz w:val="28"/>
          <w:szCs w:val="28"/>
        </w:rPr>
        <w:t xml:space="preserve"> неквалифицированных работников или </w:t>
      </w:r>
      <w:r>
        <w:rPr>
          <w:rFonts w:ascii="Times New Roman" w:hAnsi="Times New Roman"/>
          <w:bCs/>
          <w:iCs/>
          <w:sz w:val="28"/>
          <w:szCs w:val="28"/>
        </w:rPr>
        <w:t xml:space="preserve">28,2</w:t>
      </w:r>
      <w:r>
        <w:rPr>
          <w:rFonts w:ascii="Times New Roman" w:hAnsi="Times New Roman"/>
          <w:bCs/>
          <w:iCs/>
          <w:sz w:val="28"/>
          <w:szCs w:val="28"/>
        </w:rPr>
        <w:t xml:space="preserve">% от общей потребности в кадрах (ежегодная потребность </w:t>
      </w:r>
      <w:r>
        <w:rPr>
          <w:rFonts w:ascii="Times New Roman" w:hAnsi="Times New Roman"/>
          <w:bCs/>
          <w:iCs/>
          <w:sz w:val="28"/>
          <w:szCs w:val="28"/>
        </w:rPr>
        <w:t xml:space="preserve">–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658</w:t>
      </w:r>
      <w:r>
        <w:rPr>
          <w:rFonts w:ascii="Times New Roman" w:hAnsi="Times New Roman"/>
          <w:bCs/>
          <w:iCs/>
          <w:sz w:val="28"/>
          <w:szCs w:val="28"/>
        </w:rPr>
        <w:t xml:space="preserve"> человек).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В</w:t>
      </w:r>
      <w:r>
        <w:rPr>
          <w:rFonts w:ascii="Times New Roman" w:hAnsi="Times New Roman"/>
          <w:bCs/>
          <w:iCs/>
          <w:sz w:val="28"/>
          <w:szCs w:val="28"/>
        </w:rPr>
        <w:t xml:space="preserve"> регионе постоянно востребованы рабочие неквалифицированного труда, т. </w:t>
      </w:r>
      <w:r>
        <w:rPr>
          <w:rFonts w:ascii="Times New Roman" w:hAnsi="Times New Roman"/>
          <w:bCs/>
          <w:iCs/>
          <w:sz w:val="28"/>
          <w:szCs w:val="28"/>
        </w:rPr>
        <w:t xml:space="preserve">е.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професси</w:t>
      </w:r>
      <w:r>
        <w:rPr>
          <w:rFonts w:ascii="Times New Roman" w:hAnsi="Times New Roman"/>
          <w:bCs/>
          <w:iCs/>
          <w:sz w:val="28"/>
          <w:szCs w:val="28"/>
        </w:rPr>
        <w:t xml:space="preserve">и</w:t>
      </w:r>
      <w:r>
        <w:rPr>
          <w:rFonts w:ascii="Times New Roman" w:hAnsi="Times New Roman"/>
          <w:bCs/>
          <w:iCs/>
          <w:sz w:val="28"/>
          <w:szCs w:val="28"/>
        </w:rPr>
        <w:t xml:space="preserve"> не требующие профессиональной подготовки: </w:t>
      </w:r>
      <w:r>
        <w:rPr>
          <w:rFonts w:ascii="Times New Roman" w:hAnsi="Times New Roman"/>
          <w:bCs/>
          <w:iCs/>
          <w:sz w:val="28"/>
          <w:szCs w:val="28"/>
        </w:rPr>
        <w:t xml:space="preserve">сторожа, </w:t>
      </w:r>
      <w:r>
        <w:rPr>
          <w:rFonts w:ascii="Times New Roman" w:hAnsi="Times New Roman"/>
          <w:bCs/>
          <w:iCs/>
          <w:sz w:val="28"/>
          <w:szCs w:val="28"/>
        </w:rPr>
        <w:t xml:space="preserve">дворники, </w:t>
      </w:r>
      <w:r>
        <w:rPr>
          <w:rFonts w:ascii="Times New Roman" w:hAnsi="Times New Roman"/>
          <w:bCs/>
          <w:iCs/>
          <w:sz w:val="28"/>
          <w:szCs w:val="28"/>
        </w:rPr>
        <w:t xml:space="preserve">подсобные рабочие, кухонные рабочие,  кастелянши, гардеробщики, </w:t>
      </w:r>
      <w:r>
        <w:rPr>
          <w:rFonts w:ascii="Times New Roman" w:hAnsi="Times New Roman"/>
          <w:bCs/>
          <w:iCs/>
          <w:sz w:val="28"/>
          <w:szCs w:val="28"/>
        </w:rPr>
        <w:t xml:space="preserve">и др.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right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Диаграмма </w:t>
      </w:r>
      <w:r>
        <w:rPr>
          <w:rFonts w:ascii="Times New Roman" w:hAnsi="Times New Roman"/>
          <w:bCs/>
          <w:iCs/>
          <w:sz w:val="28"/>
          <w:szCs w:val="28"/>
        </w:rPr>
        <w:t xml:space="preserve">3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drawing>
          <wp:inline distT="0" distB="0" distL="0" distR="0">
            <wp:extent cx="6093725" cy="4067032"/>
            <wp:effectExtent l="0" t="0" r="2540" b="0"/>
            <wp:docPr id="3" name="Диаграмма 8" hidden="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/>
    </w:p>
    <w:p>
      <w:pPr>
        <w:contextualSpacing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Анализ общей потребности работодателей Астраханской области в кадрах свидетельствует о том, что высокий уровень спроса на рабочую силу наблюдается в </w:t>
      </w:r>
      <w:r>
        <w:rPr>
          <w:rFonts w:ascii="Times New Roman" w:hAnsi="Times New Roman"/>
          <w:bCs/>
          <w:iCs/>
          <w:sz w:val="28"/>
          <w:szCs w:val="28"/>
        </w:rPr>
        <w:t xml:space="preserve">20</w:t>
      </w:r>
      <w:r>
        <w:rPr>
          <w:rFonts w:ascii="Times New Roman" w:hAnsi="Times New Roman"/>
          <w:bCs/>
          <w:iCs/>
          <w:sz w:val="28"/>
          <w:szCs w:val="28"/>
        </w:rPr>
        <w:t xml:space="preserve">20 и 2021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год</w:t>
      </w:r>
      <w:r>
        <w:rPr>
          <w:rFonts w:ascii="Times New Roman" w:hAnsi="Times New Roman"/>
          <w:bCs/>
          <w:iCs/>
          <w:sz w:val="28"/>
          <w:szCs w:val="28"/>
        </w:rPr>
        <w:t xml:space="preserve">ах</w:t>
      </w:r>
      <w:r>
        <w:rPr>
          <w:rFonts w:ascii="Times New Roman" w:hAnsi="Times New Roman"/>
          <w:bCs/>
          <w:iCs/>
          <w:sz w:val="28"/>
          <w:szCs w:val="28"/>
        </w:rPr>
        <w:t xml:space="preserve"> –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3,2 и 2,1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тыс. человек</w:t>
      </w:r>
      <w:r>
        <w:rPr>
          <w:rFonts w:ascii="Times New Roman" w:hAnsi="Times New Roman"/>
          <w:bCs/>
          <w:iCs/>
          <w:sz w:val="28"/>
          <w:szCs w:val="28"/>
        </w:rPr>
        <w:t xml:space="preserve"> соответственно</w:t>
      </w:r>
      <w:r>
        <w:rPr>
          <w:rFonts w:ascii="Times New Roman" w:hAnsi="Times New Roman"/>
          <w:bCs/>
          <w:iCs/>
          <w:sz w:val="28"/>
          <w:szCs w:val="28"/>
        </w:rPr>
        <w:t xml:space="preserve">. В </w:t>
      </w:r>
      <w:r>
        <w:rPr>
          <w:rFonts w:ascii="Times New Roman" w:hAnsi="Times New Roman"/>
          <w:bCs/>
          <w:iCs/>
          <w:sz w:val="28"/>
          <w:szCs w:val="28"/>
        </w:rPr>
        <w:t xml:space="preserve">остальные</w:t>
      </w:r>
      <w:r>
        <w:rPr>
          <w:rFonts w:ascii="Times New Roman" w:hAnsi="Times New Roman"/>
          <w:bCs/>
          <w:iCs/>
          <w:sz w:val="28"/>
          <w:szCs w:val="28"/>
        </w:rPr>
        <w:t xml:space="preserve"> годы спрос </w:t>
      </w:r>
      <w:r>
        <w:rPr>
          <w:rFonts w:ascii="Times New Roman" w:hAnsi="Times New Roman"/>
          <w:bCs/>
          <w:iCs/>
          <w:sz w:val="28"/>
          <w:szCs w:val="28"/>
        </w:rPr>
        <w:t xml:space="preserve">имеет небольшую общую тенденцию к снижению до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2,0</w:t>
      </w:r>
      <w:r>
        <w:rPr>
          <w:rFonts w:ascii="Times New Roman" w:hAnsi="Times New Roman"/>
          <w:bCs/>
          <w:iCs/>
          <w:sz w:val="28"/>
          <w:szCs w:val="28"/>
        </w:rPr>
        <w:t xml:space="preserve"> тыс. человек в 20</w:t>
      </w:r>
      <w:r>
        <w:rPr>
          <w:rFonts w:ascii="Times New Roman" w:hAnsi="Times New Roman"/>
          <w:bCs/>
          <w:iCs/>
          <w:sz w:val="28"/>
          <w:szCs w:val="28"/>
        </w:rPr>
        <w:t xml:space="preserve">2</w:t>
      </w:r>
      <w:r>
        <w:rPr>
          <w:rFonts w:ascii="Times New Roman" w:hAnsi="Times New Roman"/>
          <w:bCs/>
          <w:iCs/>
          <w:sz w:val="28"/>
          <w:szCs w:val="28"/>
        </w:rPr>
        <w:t xml:space="preserve">5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году</w:t>
      </w:r>
      <w:r>
        <w:rPr>
          <w:rFonts w:ascii="Times New Roman" w:hAnsi="Times New Roman"/>
          <w:bCs/>
          <w:iCs/>
          <w:sz w:val="28"/>
          <w:szCs w:val="28"/>
        </w:rPr>
        <w:t xml:space="preserve">, затем заметно возрастает к</w:t>
      </w:r>
      <w:r>
        <w:rPr>
          <w:rFonts w:ascii="Times New Roman" w:hAnsi="Times New Roman"/>
          <w:bCs/>
          <w:iCs/>
          <w:sz w:val="28"/>
          <w:szCs w:val="28"/>
        </w:rPr>
        <w:t xml:space="preserve"> 202</w:t>
      </w:r>
      <w:r>
        <w:rPr>
          <w:rFonts w:ascii="Times New Roman" w:hAnsi="Times New Roman"/>
          <w:bCs/>
          <w:iCs/>
          <w:sz w:val="28"/>
          <w:szCs w:val="28"/>
        </w:rPr>
        <w:t xml:space="preserve">6</w:t>
      </w:r>
      <w:r>
        <w:rPr>
          <w:rFonts w:ascii="Times New Roman" w:hAnsi="Times New Roman"/>
          <w:bCs/>
          <w:iCs/>
          <w:sz w:val="28"/>
          <w:szCs w:val="28"/>
        </w:rPr>
        <w:t xml:space="preserve"> году</w:t>
      </w:r>
      <w:r>
        <w:rPr>
          <w:rFonts w:ascii="Times New Roman" w:hAnsi="Times New Roman"/>
          <w:bCs/>
          <w:iCs/>
          <w:sz w:val="28"/>
          <w:szCs w:val="28"/>
        </w:rPr>
        <w:t xml:space="preserve"> до 2,4 тыс. человек</w:t>
      </w:r>
      <w:r>
        <w:rPr>
          <w:rFonts w:ascii="Times New Roman" w:hAnsi="Times New Roman"/>
          <w:bCs/>
          <w:iCs/>
          <w:sz w:val="28"/>
          <w:szCs w:val="28"/>
        </w:rPr>
        <w:t xml:space="preserve">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Согласно информации министерства экономического развития Астраханской области </w:t>
      </w:r>
      <w:r>
        <w:rPr>
          <w:rFonts w:ascii="Times New Roman" w:hAnsi="Times New Roman"/>
          <w:bCs/>
          <w:iCs/>
          <w:sz w:val="28"/>
          <w:szCs w:val="28"/>
        </w:rPr>
        <w:t xml:space="preserve">на период до 2026 года в Астраханской области не планируется реализация крупных инвестиционных проектов, связанных с существенным увеличением потребности в кадрах.</w:t>
      </w:r>
      <w:r>
        <w:rPr>
          <w:rFonts w:ascii="Times New Roman" w:hAnsi="Times New Roman"/>
          <w:bCs/>
          <w:iCs/>
          <w:sz w:val="28"/>
          <w:szCs w:val="28"/>
        </w:rPr>
        <w:t xml:space="preserve"> Самым значимым можно считать </w:t>
      </w:r>
      <w:r>
        <w:rPr>
          <w:rFonts w:ascii="Times New Roman" w:hAnsi="Times New Roman"/>
          <w:bCs/>
          <w:iCs/>
          <w:sz w:val="28"/>
          <w:szCs w:val="28"/>
        </w:rPr>
        <w:t xml:space="preserve">инвестпроект</w:t>
      </w:r>
      <w:r>
        <w:rPr>
          <w:rFonts w:ascii="Times New Roman" w:hAnsi="Times New Roman"/>
          <w:bCs/>
          <w:iCs/>
          <w:sz w:val="28"/>
          <w:szCs w:val="28"/>
        </w:rPr>
        <w:t xml:space="preserve"> ООО «Агропромышленный комплекс Астраханский» (выращивание и переработка томатов) с плановой датой реализации 2024 год, по которому предполагается привлечение 838 работников.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Возможно</w:t>
      </w:r>
      <w:r>
        <w:rPr>
          <w:rFonts w:ascii="Times New Roman" w:hAnsi="Times New Roman"/>
          <w:bCs/>
          <w:iCs/>
          <w:sz w:val="28"/>
          <w:szCs w:val="28"/>
        </w:rPr>
        <w:t xml:space="preserve">,</w:t>
      </w:r>
      <w:r>
        <w:rPr>
          <w:rFonts w:ascii="Times New Roman" w:hAnsi="Times New Roman"/>
          <w:bCs/>
          <w:iCs/>
          <w:sz w:val="28"/>
          <w:szCs w:val="28"/>
        </w:rPr>
        <w:t xml:space="preserve"> с этим связано то, что многие работодатели не готовы прогнозировать свою потребность в кадрах на среднесрочную перспективу. Но, можно предположить, что реальная потребность в персонале через 3 – 5 лет может оказаться выше прогнозируемой</w:t>
      </w:r>
      <w:r>
        <w:rPr>
          <w:rFonts w:ascii="Times New Roman" w:hAnsi="Times New Roman"/>
          <w:bCs/>
          <w:iCs/>
          <w:sz w:val="28"/>
          <w:szCs w:val="28"/>
        </w:rPr>
        <w:t xml:space="preserve"> (диаграмма </w:t>
      </w:r>
      <w:r>
        <w:rPr>
          <w:rFonts w:ascii="Times New Roman" w:hAnsi="Times New Roman"/>
          <w:bCs/>
          <w:iCs/>
          <w:sz w:val="28"/>
          <w:szCs w:val="28"/>
        </w:rPr>
        <w:t xml:space="preserve">4</w:t>
      </w:r>
      <w:r>
        <w:rPr>
          <w:rFonts w:ascii="Times New Roman" w:hAnsi="Times New Roman"/>
          <w:bCs/>
          <w:iCs/>
          <w:sz w:val="28"/>
          <w:szCs w:val="28"/>
        </w:rPr>
        <w:t xml:space="preserve">).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right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Диаграмма </w:t>
      </w:r>
      <w:r>
        <w:rPr>
          <w:rFonts w:ascii="Times New Roman" w:hAnsi="Times New Roman"/>
          <w:bCs/>
          <w:iCs/>
          <w:sz w:val="28"/>
          <w:szCs w:val="28"/>
        </w:rPr>
        <w:t xml:space="preserve">4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/>
    </w:p>
    <w:p>
      <w:pPr>
        <w:contextualSpacing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drawing>
          <wp:inline distT="0" distB="0" distL="0" distR="0">
            <wp:extent cx="6080078" cy="4183039"/>
            <wp:effectExtent l="0" t="0" r="0" b="8255"/>
            <wp:docPr id="4" name="Диаграмма 6" hidden="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На потребность в кадрах в регионе </w:t>
      </w:r>
      <w:r>
        <w:rPr>
          <w:rFonts w:ascii="Times New Roman" w:hAnsi="Times New Roman"/>
          <w:bCs/>
          <w:iCs/>
          <w:sz w:val="28"/>
          <w:szCs w:val="28"/>
        </w:rPr>
        <w:t xml:space="preserve">продолжает </w:t>
      </w:r>
      <w:r>
        <w:rPr>
          <w:rFonts w:ascii="Times New Roman" w:hAnsi="Times New Roman"/>
          <w:bCs/>
          <w:iCs/>
          <w:sz w:val="28"/>
          <w:szCs w:val="28"/>
        </w:rPr>
        <w:t xml:space="preserve">оказывать </w:t>
      </w:r>
      <w:r>
        <w:rPr>
          <w:rFonts w:ascii="Times New Roman" w:hAnsi="Times New Roman"/>
          <w:bCs/>
          <w:iCs/>
          <w:sz w:val="28"/>
          <w:szCs w:val="28"/>
        </w:rPr>
        <w:t xml:space="preserve">значительное влияние сезонный фактор. Поэтому</w:t>
      </w:r>
      <w:r>
        <w:rPr>
          <w:rFonts w:ascii="Times New Roman" w:hAnsi="Times New Roman"/>
          <w:bCs/>
          <w:iCs/>
          <w:sz w:val="28"/>
          <w:szCs w:val="28"/>
        </w:rPr>
        <w:t xml:space="preserve"> территориальная структура  </w:t>
      </w:r>
      <w:r>
        <w:rPr>
          <w:rFonts w:ascii="Times New Roman" w:hAnsi="Times New Roman"/>
          <w:bCs/>
          <w:iCs/>
          <w:sz w:val="28"/>
          <w:szCs w:val="28"/>
        </w:rPr>
        <w:t xml:space="preserve">потребности в кадр</w:t>
      </w:r>
      <w:r>
        <w:rPr>
          <w:rFonts w:ascii="Times New Roman" w:hAnsi="Times New Roman"/>
          <w:bCs/>
          <w:iCs/>
          <w:sz w:val="28"/>
          <w:szCs w:val="28"/>
        </w:rPr>
        <w:t xml:space="preserve">ах смещена в пользу районов области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(диаграмма </w:t>
      </w:r>
      <w:r>
        <w:rPr>
          <w:rFonts w:ascii="Times New Roman" w:hAnsi="Times New Roman"/>
          <w:bCs/>
          <w:iCs/>
          <w:sz w:val="28"/>
          <w:szCs w:val="28"/>
        </w:rPr>
        <w:t xml:space="preserve">5</w:t>
      </w:r>
      <w:r>
        <w:rPr>
          <w:rFonts w:ascii="Times New Roman" w:hAnsi="Times New Roman"/>
          <w:bCs/>
          <w:iCs/>
          <w:sz w:val="28"/>
          <w:szCs w:val="28"/>
        </w:rPr>
        <w:t xml:space="preserve">).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В связи с окончанием сезонных работ число вакансий, заявляемых сельскими работодателями в осенне-зимний период,  значительно сокращается. </w:t>
      </w:r>
      <w:r>
        <w:rPr>
          <w:rFonts w:ascii="Times New Roman" w:hAnsi="Times New Roman"/>
          <w:bCs/>
          <w:iCs/>
          <w:sz w:val="28"/>
          <w:szCs w:val="28"/>
        </w:rPr>
        <w:t xml:space="preserve">Кроме того</w:t>
      </w:r>
      <w:r>
        <w:rPr>
          <w:rFonts w:ascii="Times New Roman" w:hAnsi="Times New Roman"/>
          <w:bCs/>
          <w:iCs/>
          <w:sz w:val="28"/>
          <w:szCs w:val="28"/>
        </w:rPr>
        <w:t xml:space="preserve">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у</w:t>
      </w:r>
      <w:r>
        <w:rPr>
          <w:rFonts w:ascii="Times New Roman" w:hAnsi="Times New Roman"/>
          <w:bCs/>
          <w:iCs/>
          <w:sz w:val="28"/>
          <w:szCs w:val="28"/>
        </w:rPr>
        <w:t xml:space="preserve">величение объемов производства сельскохозяйственной продукции, </w:t>
      </w:r>
      <w:r>
        <w:rPr>
          <w:rFonts w:ascii="Times New Roman" w:hAnsi="Times New Roman"/>
          <w:bCs/>
          <w:iCs/>
          <w:sz w:val="28"/>
          <w:szCs w:val="28"/>
        </w:rPr>
        <w:t xml:space="preserve">реа</w:t>
      </w:r>
      <w:r>
        <w:rPr>
          <w:rFonts w:ascii="Times New Roman" w:hAnsi="Times New Roman"/>
          <w:bCs/>
          <w:iCs/>
          <w:sz w:val="28"/>
          <w:szCs w:val="28"/>
        </w:rPr>
        <w:t xml:space="preserve">лизация</w:t>
      </w:r>
      <w:r>
        <w:rPr>
          <w:rFonts w:ascii="Times New Roman" w:hAnsi="Times New Roman"/>
          <w:bCs/>
          <w:iCs/>
          <w:sz w:val="28"/>
          <w:szCs w:val="28"/>
        </w:rPr>
        <w:t xml:space="preserve"> инвестиционных проектов предусматривает</w:t>
      </w:r>
      <w:r>
        <w:rPr>
          <w:rFonts w:ascii="Times New Roman" w:hAnsi="Times New Roman"/>
          <w:bCs/>
          <w:iCs/>
          <w:sz w:val="28"/>
          <w:szCs w:val="28"/>
        </w:rPr>
        <w:t xml:space="preserve"> также</w:t>
      </w:r>
      <w:r>
        <w:rPr>
          <w:rFonts w:ascii="Times New Roman" w:hAnsi="Times New Roman"/>
          <w:bCs/>
          <w:iCs/>
          <w:sz w:val="28"/>
          <w:szCs w:val="28"/>
        </w:rPr>
        <w:t xml:space="preserve"> создание </w:t>
      </w:r>
      <w:r>
        <w:rPr>
          <w:rFonts w:ascii="Times New Roman" w:hAnsi="Times New Roman"/>
          <w:bCs/>
          <w:iCs/>
          <w:sz w:val="28"/>
          <w:szCs w:val="28"/>
        </w:rPr>
        <w:t xml:space="preserve">некоторого количества </w:t>
      </w:r>
      <w:r>
        <w:rPr>
          <w:rFonts w:ascii="Times New Roman" w:hAnsi="Times New Roman"/>
          <w:bCs/>
          <w:iCs/>
          <w:sz w:val="28"/>
          <w:szCs w:val="28"/>
        </w:rPr>
        <w:t xml:space="preserve">новых рабочих мест</w:t>
      </w:r>
      <w:r>
        <w:rPr>
          <w:rFonts w:ascii="Times New Roman" w:hAnsi="Times New Roman"/>
          <w:bCs/>
          <w:iCs/>
          <w:sz w:val="28"/>
          <w:szCs w:val="28"/>
        </w:rPr>
        <w:t xml:space="preserve"> на селе</w:t>
      </w:r>
      <w:r>
        <w:rPr>
          <w:rFonts w:ascii="Times New Roman" w:hAnsi="Times New Roman"/>
          <w:bCs/>
          <w:iCs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right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Диаграмма </w:t>
      </w:r>
      <w:r>
        <w:rPr>
          <w:rFonts w:ascii="Times New Roman" w:hAnsi="Times New Roman"/>
          <w:bCs/>
          <w:iCs/>
          <w:sz w:val="28"/>
          <w:szCs w:val="28"/>
        </w:rPr>
        <w:t xml:space="preserve">5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drawing>
          <wp:inline distT="0" distB="0" distL="0" distR="0">
            <wp:extent cx="6093725" cy="2176818"/>
            <wp:effectExtent l="0" t="0" r="21590" b="13970"/>
            <wp:docPr id="5" name="Диаграмма 3" hidden="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/>
    </w:p>
    <w:p>
      <w:pPr>
        <w:contextualSpacing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88"/>
        <w:numPr>
          <w:ilvl w:val="0"/>
          <w:numId w:val="1"/>
        </w:numPr>
        <w:jc w:val="center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Структ</w:t>
      </w:r>
      <w:r>
        <w:rPr>
          <w:rFonts w:ascii="Times New Roman" w:hAnsi="Times New Roman"/>
          <w:b/>
          <w:sz w:val="28"/>
          <w:szCs w:val="28"/>
        </w:rPr>
        <w:t xml:space="preserve">ура потребности в кадрах на 20</w:t>
      </w:r>
      <w:r>
        <w:rPr>
          <w:rFonts w:ascii="Times New Roman" w:hAnsi="Times New Roman"/>
          <w:b/>
          <w:sz w:val="28"/>
          <w:szCs w:val="28"/>
        </w:rPr>
        <w:t xml:space="preserve">20</w:t>
      </w:r>
      <w:r>
        <w:rPr>
          <w:rFonts w:ascii="Times New Roman" w:hAnsi="Times New Roman"/>
          <w:b/>
          <w:sz w:val="28"/>
          <w:szCs w:val="28"/>
        </w:rPr>
        <w:t xml:space="preserve">-202</w:t>
      </w:r>
      <w:r>
        <w:rPr>
          <w:rFonts w:ascii="Times New Roman" w:hAnsi="Times New Roman"/>
          <w:b/>
          <w:sz w:val="28"/>
          <w:szCs w:val="28"/>
        </w:rPr>
        <w:t xml:space="preserve">6</w:t>
      </w:r>
      <w:r>
        <w:rPr>
          <w:rFonts w:ascii="Times New Roman" w:hAnsi="Times New Roman"/>
          <w:b/>
          <w:sz w:val="28"/>
          <w:szCs w:val="28"/>
        </w:rPr>
        <w:t xml:space="preserve"> годы </w:t>
      </w:r>
      <w:r>
        <w:rPr>
          <w:rFonts w:ascii="Times New Roman" w:hAnsi="Times New Roman"/>
          <w:b/>
          <w:sz w:val="28"/>
          <w:szCs w:val="28"/>
        </w:rPr>
        <w:t xml:space="preserve">по уровню</w:t>
      </w:r>
      <w:r>
        <w:rPr>
          <w:rFonts w:ascii="Times New Roman" w:hAnsi="Times New Roman"/>
          <w:b/>
          <w:sz w:val="28"/>
          <w:szCs w:val="28"/>
        </w:rPr>
        <w:t xml:space="preserve"> образования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Оценка структуры </w:t>
      </w:r>
      <w:r>
        <w:rPr>
          <w:rFonts w:ascii="Times New Roman" w:hAnsi="Times New Roman"/>
          <w:bCs/>
          <w:iCs/>
          <w:sz w:val="28"/>
          <w:szCs w:val="28"/>
        </w:rPr>
        <w:t xml:space="preserve">по уровню</w:t>
      </w:r>
      <w:r>
        <w:rPr>
          <w:rFonts w:ascii="Times New Roman" w:hAnsi="Times New Roman"/>
          <w:bCs/>
          <w:iCs/>
          <w:sz w:val="28"/>
          <w:szCs w:val="28"/>
        </w:rPr>
        <w:t xml:space="preserve"> образования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проводилась для </w:t>
      </w:r>
      <w:r>
        <w:rPr>
          <w:rFonts w:ascii="Times New Roman" w:hAnsi="Times New Roman"/>
          <w:bCs/>
          <w:iCs/>
          <w:sz w:val="28"/>
          <w:szCs w:val="28"/>
        </w:rPr>
        <w:t xml:space="preserve">основного общего образования и среднего общего образования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</w:rPr>
        <w:t xml:space="preserve">среднего профессионального образования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 и высшего профессионального образования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20</w:t>
      </w:r>
      <w:r>
        <w:rPr>
          <w:rFonts w:ascii="Times New Roman" w:hAnsi="Times New Roman"/>
          <w:bCs/>
          <w:iCs/>
          <w:sz w:val="28"/>
          <w:szCs w:val="28"/>
        </w:rPr>
        <w:t xml:space="preserve">20-2026</w:t>
      </w:r>
      <w:r>
        <w:rPr>
          <w:rFonts w:ascii="Times New Roman" w:hAnsi="Times New Roman"/>
          <w:bCs/>
          <w:iCs/>
          <w:sz w:val="28"/>
          <w:szCs w:val="28"/>
        </w:rPr>
        <w:t xml:space="preserve"> годах</w:t>
      </w:r>
      <w:r>
        <w:rPr>
          <w:rFonts w:ascii="Times New Roman" w:hAnsi="Times New Roman"/>
          <w:bCs/>
          <w:iCs/>
          <w:sz w:val="28"/>
          <w:szCs w:val="28"/>
        </w:rPr>
        <w:t xml:space="preserve"> п</w:t>
      </w:r>
      <w:r>
        <w:rPr>
          <w:rFonts w:ascii="Times New Roman" w:hAnsi="Times New Roman"/>
          <w:bCs/>
          <w:iCs/>
          <w:sz w:val="28"/>
          <w:szCs w:val="28"/>
        </w:rPr>
        <w:t xml:space="preserve">о уровню образования </w:t>
      </w:r>
      <w:r>
        <w:rPr>
          <w:rFonts w:ascii="Times New Roman" w:hAnsi="Times New Roman"/>
          <w:bCs/>
          <w:iCs/>
          <w:sz w:val="28"/>
          <w:szCs w:val="28"/>
        </w:rPr>
        <w:t xml:space="preserve">по-прежнему </w:t>
      </w:r>
      <w:r>
        <w:rPr>
          <w:rFonts w:ascii="Times New Roman" w:hAnsi="Times New Roman"/>
          <w:bCs/>
          <w:iCs/>
          <w:sz w:val="28"/>
          <w:szCs w:val="28"/>
        </w:rPr>
        <w:t xml:space="preserve">наиболее востребованы рабочие кадры </w:t>
      </w:r>
      <w:r>
        <w:rPr>
          <w:rFonts w:ascii="Times New Roman" w:hAnsi="Times New Roman"/>
          <w:bCs/>
          <w:iCs/>
          <w:sz w:val="28"/>
          <w:szCs w:val="28"/>
        </w:rPr>
        <w:t xml:space="preserve">с</w:t>
      </w:r>
      <w:r>
        <w:rPr>
          <w:rFonts w:ascii="Times New Roman" w:hAnsi="Times New Roman"/>
          <w:bCs/>
          <w:iCs/>
          <w:sz w:val="28"/>
          <w:szCs w:val="28"/>
        </w:rPr>
        <w:t xml:space="preserve">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среднем</w:t>
      </w:r>
      <w:r>
        <w:rPr>
          <w:rFonts w:ascii="Times New Roman" w:hAnsi="Times New Roman"/>
          <w:bCs/>
          <w:iCs/>
          <w:sz w:val="28"/>
          <w:szCs w:val="28"/>
        </w:rPr>
        <w:t xml:space="preserve"> профес</w:t>
      </w:r>
      <w:r>
        <w:rPr>
          <w:rFonts w:ascii="Times New Roman" w:hAnsi="Times New Roman"/>
          <w:bCs/>
          <w:iCs/>
          <w:sz w:val="28"/>
          <w:szCs w:val="28"/>
        </w:rPr>
        <w:t xml:space="preserve">сион</w:t>
      </w:r>
      <w:r>
        <w:rPr>
          <w:rFonts w:ascii="Times New Roman" w:hAnsi="Times New Roman"/>
          <w:bCs/>
          <w:iCs/>
          <w:sz w:val="28"/>
          <w:szCs w:val="28"/>
        </w:rPr>
        <w:t xml:space="preserve">альным образованием (диаграмма </w:t>
      </w:r>
      <w:r>
        <w:rPr>
          <w:rFonts w:ascii="Times New Roman" w:hAnsi="Times New Roman"/>
          <w:bCs/>
          <w:iCs/>
          <w:sz w:val="28"/>
          <w:szCs w:val="28"/>
        </w:rPr>
        <w:t xml:space="preserve">6</w:t>
      </w:r>
      <w:r>
        <w:rPr>
          <w:rFonts w:ascii="Times New Roman" w:hAnsi="Times New Roman"/>
          <w:bCs/>
          <w:iCs/>
          <w:sz w:val="28"/>
          <w:szCs w:val="28"/>
        </w:rPr>
        <w:t xml:space="preserve">).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Таким образом</w:t>
      </w:r>
      <w:r>
        <w:rPr>
          <w:rFonts w:ascii="Times New Roman" w:hAnsi="Times New Roman"/>
          <w:bCs/>
          <w:iCs/>
          <w:sz w:val="28"/>
          <w:szCs w:val="28"/>
        </w:rPr>
        <w:t xml:space="preserve">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из всей прогнозируемой по заявкам работодателей потребности в кадрах на долю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неквалифицированных кадров (основное общее образование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и среднее общее образование) </w:t>
      </w:r>
      <w:r>
        <w:rPr>
          <w:rFonts w:ascii="Times New Roman" w:hAnsi="Times New Roman"/>
          <w:bCs/>
          <w:iCs/>
          <w:sz w:val="28"/>
          <w:szCs w:val="28"/>
        </w:rPr>
        <w:t xml:space="preserve">– </w:t>
      </w:r>
      <w:r>
        <w:rPr>
          <w:rFonts w:ascii="Times New Roman" w:hAnsi="Times New Roman"/>
          <w:bCs/>
          <w:iCs/>
          <w:sz w:val="28"/>
          <w:szCs w:val="28"/>
        </w:rPr>
        <w:t xml:space="preserve">26,1</w:t>
      </w:r>
      <w:r>
        <w:rPr>
          <w:rFonts w:ascii="Times New Roman" w:hAnsi="Times New Roman"/>
          <w:bCs/>
          <w:iCs/>
          <w:sz w:val="28"/>
          <w:szCs w:val="28"/>
        </w:rPr>
        <w:t xml:space="preserve">%, </w:t>
      </w:r>
      <w:r>
        <w:rPr>
          <w:rFonts w:ascii="Times New Roman" w:hAnsi="Times New Roman"/>
          <w:bCs/>
          <w:iCs/>
          <w:sz w:val="28"/>
          <w:szCs w:val="28"/>
        </w:rPr>
        <w:t xml:space="preserve">среднего профессионального образования приходится – </w:t>
      </w:r>
      <w:r>
        <w:rPr>
          <w:rFonts w:ascii="Times New Roman" w:hAnsi="Times New Roman"/>
          <w:bCs/>
          <w:iCs/>
          <w:sz w:val="28"/>
          <w:szCs w:val="28"/>
        </w:rPr>
        <w:t xml:space="preserve">42,1</w:t>
      </w:r>
      <w:r>
        <w:rPr>
          <w:rFonts w:ascii="Times New Roman" w:hAnsi="Times New Roman"/>
          <w:bCs/>
          <w:iCs/>
          <w:sz w:val="28"/>
          <w:szCs w:val="28"/>
        </w:rPr>
        <w:t xml:space="preserve">%, </w:t>
      </w:r>
      <w:r>
        <w:rPr>
          <w:rFonts w:ascii="Times New Roman" w:hAnsi="Times New Roman"/>
          <w:bCs/>
          <w:iCs/>
          <w:sz w:val="28"/>
          <w:szCs w:val="28"/>
        </w:rPr>
        <w:t xml:space="preserve">высшего </w:t>
      </w:r>
      <w:r>
        <w:rPr>
          <w:rFonts w:ascii="Times New Roman" w:hAnsi="Times New Roman"/>
          <w:bCs/>
          <w:iCs/>
          <w:sz w:val="28"/>
          <w:szCs w:val="28"/>
        </w:rPr>
        <w:t xml:space="preserve">профессионального образования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 (</w:t>
      </w:r>
      <w:r>
        <w:rPr>
          <w:rFonts w:ascii="Times New Roman" w:hAnsi="Times New Roman"/>
          <w:bCs/>
          <w:iCs/>
          <w:sz w:val="28"/>
          <w:szCs w:val="28"/>
        </w:rPr>
        <w:t xml:space="preserve">бакалавриат</w:t>
      </w:r>
      <w:r>
        <w:rPr>
          <w:rFonts w:ascii="Times New Roman" w:hAnsi="Times New Roman"/>
          <w:bCs/>
          <w:iCs/>
          <w:sz w:val="28"/>
          <w:szCs w:val="28"/>
        </w:rPr>
        <w:t xml:space="preserve">)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–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7,2</w:t>
      </w:r>
      <w:r>
        <w:rPr>
          <w:rFonts w:ascii="Times New Roman" w:hAnsi="Times New Roman"/>
          <w:bCs/>
          <w:iCs/>
          <w:sz w:val="28"/>
          <w:szCs w:val="28"/>
        </w:rPr>
        <w:t xml:space="preserve">%</w:t>
      </w:r>
      <w:r>
        <w:rPr>
          <w:rFonts w:ascii="Times New Roman" w:hAnsi="Times New Roman"/>
          <w:bCs/>
          <w:iCs/>
          <w:sz w:val="28"/>
          <w:szCs w:val="28"/>
        </w:rPr>
        <w:t xml:space="preserve">, высшего профессионального образования (</w:t>
      </w:r>
      <w:r>
        <w:rPr>
          <w:rFonts w:ascii="Times New Roman" w:hAnsi="Times New Roman"/>
          <w:bCs/>
          <w:iCs/>
          <w:sz w:val="28"/>
          <w:szCs w:val="28"/>
        </w:rPr>
        <w:t xml:space="preserve">специалитет</w:t>
      </w:r>
      <w:r>
        <w:rPr>
          <w:rFonts w:ascii="Times New Roman" w:hAnsi="Times New Roman"/>
          <w:bCs/>
          <w:iCs/>
          <w:sz w:val="28"/>
          <w:szCs w:val="28"/>
        </w:rPr>
        <w:t xml:space="preserve">, магистратура) – </w:t>
      </w:r>
      <w:r>
        <w:rPr>
          <w:rFonts w:ascii="Times New Roman" w:hAnsi="Times New Roman"/>
          <w:bCs/>
          <w:iCs/>
          <w:sz w:val="28"/>
          <w:szCs w:val="28"/>
        </w:rPr>
        <w:t xml:space="preserve">19,4</w:t>
      </w:r>
      <w:r>
        <w:rPr>
          <w:rFonts w:ascii="Times New Roman" w:hAnsi="Times New Roman"/>
          <w:bCs/>
          <w:iCs/>
          <w:sz w:val="28"/>
          <w:szCs w:val="28"/>
        </w:rPr>
        <w:t xml:space="preserve">%</w:t>
      </w:r>
      <w:r>
        <w:rPr>
          <w:rFonts w:ascii="Times New Roman" w:hAnsi="Times New Roman"/>
          <w:bCs/>
          <w:iCs/>
          <w:sz w:val="28"/>
          <w:szCs w:val="28"/>
        </w:rPr>
        <w:t xml:space="preserve">, высшее профессиональное образование (подготовка кадров высшей квалификации) – 5,2%</w:t>
      </w:r>
      <w:r>
        <w:rPr>
          <w:rFonts w:ascii="Times New Roman" w:hAnsi="Times New Roman"/>
          <w:bCs/>
          <w:iCs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По-прежнему</w:t>
      </w:r>
      <w:r>
        <w:rPr>
          <w:rFonts w:ascii="Times New Roman" w:hAnsi="Times New Roman"/>
          <w:bCs/>
          <w:iCs/>
          <w:sz w:val="28"/>
          <w:szCs w:val="28"/>
        </w:rPr>
        <w:t xml:space="preserve"> уверенно планируют свою деятельность на ближайшие 7 лет организации с высокой потребностью в специалистах с высшим профессиональным образованием (</w:t>
      </w:r>
      <w:r>
        <w:rPr>
          <w:rFonts w:ascii="Times New Roman" w:hAnsi="Times New Roman"/>
          <w:bCs/>
          <w:iCs/>
          <w:sz w:val="28"/>
          <w:szCs w:val="28"/>
        </w:rPr>
        <w:t xml:space="preserve">«Образование» - </w:t>
      </w:r>
      <w:r>
        <w:rPr>
          <w:rFonts w:ascii="Times New Roman" w:hAnsi="Times New Roman"/>
          <w:bCs/>
          <w:iCs/>
          <w:sz w:val="28"/>
          <w:szCs w:val="28"/>
        </w:rPr>
        <w:t xml:space="preserve">83,6</w:t>
      </w:r>
      <w:r>
        <w:rPr>
          <w:rFonts w:ascii="Times New Roman" w:hAnsi="Times New Roman"/>
          <w:bCs/>
          <w:iCs/>
          <w:sz w:val="28"/>
          <w:szCs w:val="28"/>
        </w:rPr>
        <w:t xml:space="preserve">%, «Деятельность в области здравоохранения и социальных услуг» - </w:t>
      </w:r>
      <w:r>
        <w:rPr>
          <w:rFonts w:ascii="Times New Roman" w:hAnsi="Times New Roman"/>
          <w:bCs/>
          <w:iCs/>
          <w:sz w:val="28"/>
          <w:szCs w:val="28"/>
        </w:rPr>
        <w:t xml:space="preserve">72,4</w:t>
      </w:r>
      <w:r>
        <w:rPr>
          <w:rFonts w:ascii="Times New Roman" w:hAnsi="Times New Roman"/>
          <w:bCs/>
          <w:iCs/>
          <w:sz w:val="28"/>
          <w:szCs w:val="28"/>
        </w:rPr>
        <w:t xml:space="preserve">%).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Будут нуждаться в </w:t>
      </w:r>
      <w:r>
        <w:rPr>
          <w:rFonts w:ascii="Times New Roman" w:hAnsi="Times New Roman"/>
          <w:bCs/>
          <w:iCs/>
          <w:sz w:val="28"/>
          <w:szCs w:val="28"/>
        </w:rPr>
        <w:t xml:space="preserve"> работник</w:t>
      </w:r>
      <w:r>
        <w:rPr>
          <w:rFonts w:ascii="Times New Roman" w:hAnsi="Times New Roman"/>
          <w:bCs/>
          <w:iCs/>
          <w:sz w:val="28"/>
          <w:szCs w:val="28"/>
        </w:rPr>
        <w:t xml:space="preserve">ах</w:t>
      </w:r>
      <w:r>
        <w:rPr>
          <w:rFonts w:ascii="Times New Roman" w:hAnsi="Times New Roman"/>
          <w:bCs/>
          <w:iCs/>
          <w:sz w:val="28"/>
          <w:szCs w:val="28"/>
        </w:rPr>
        <w:t xml:space="preserve"> со средним профессиональным образованием </w:t>
      </w:r>
      <w:r>
        <w:rPr>
          <w:rFonts w:ascii="Times New Roman" w:hAnsi="Times New Roman"/>
          <w:bCs/>
          <w:iCs/>
          <w:sz w:val="28"/>
          <w:szCs w:val="28"/>
        </w:rPr>
        <w:t xml:space="preserve">в сельском хозяйстве – </w:t>
      </w:r>
      <w:r>
        <w:rPr>
          <w:rFonts w:ascii="Times New Roman" w:hAnsi="Times New Roman"/>
          <w:bCs/>
          <w:iCs/>
          <w:sz w:val="28"/>
          <w:szCs w:val="28"/>
        </w:rPr>
        <w:t xml:space="preserve">51,3</w:t>
      </w:r>
      <w:r>
        <w:rPr>
          <w:rFonts w:ascii="Times New Roman" w:hAnsi="Times New Roman"/>
          <w:bCs/>
          <w:iCs/>
          <w:sz w:val="28"/>
          <w:szCs w:val="28"/>
        </w:rPr>
        <w:t xml:space="preserve">%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По-</w:t>
      </w:r>
      <w:r>
        <w:rPr>
          <w:rFonts w:ascii="Times New Roman" w:hAnsi="Times New Roman"/>
          <w:bCs/>
          <w:iCs/>
          <w:sz w:val="28"/>
          <w:szCs w:val="28"/>
        </w:rPr>
        <w:t xml:space="preserve">прежнему большая потребность в кадрах </w:t>
      </w:r>
      <w:r>
        <w:rPr>
          <w:rFonts w:ascii="Times New Roman" w:hAnsi="Times New Roman"/>
          <w:bCs/>
          <w:iCs/>
          <w:sz w:val="28"/>
          <w:szCs w:val="28"/>
        </w:rPr>
        <w:t xml:space="preserve">с основным общим образованием и среднем общим образованием</w:t>
      </w:r>
      <w:r>
        <w:rPr>
          <w:rFonts w:ascii="Times New Roman" w:hAnsi="Times New Roman"/>
          <w:bCs/>
          <w:iCs/>
          <w:sz w:val="28"/>
          <w:szCs w:val="28"/>
        </w:rPr>
        <w:t xml:space="preserve"> в так</w:t>
      </w:r>
      <w:r>
        <w:rPr>
          <w:rFonts w:ascii="Times New Roman" w:hAnsi="Times New Roman"/>
          <w:bCs/>
          <w:iCs/>
          <w:sz w:val="28"/>
          <w:szCs w:val="28"/>
        </w:rPr>
        <w:t xml:space="preserve">ом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группе </w:t>
      </w:r>
      <w:r>
        <w:rPr>
          <w:rFonts w:ascii="Times New Roman" w:hAnsi="Times New Roman"/>
          <w:bCs/>
          <w:iCs/>
          <w:sz w:val="28"/>
          <w:szCs w:val="28"/>
        </w:rPr>
        <w:t xml:space="preserve">вид</w:t>
      </w:r>
      <w:r>
        <w:rPr>
          <w:rFonts w:ascii="Times New Roman" w:hAnsi="Times New Roman"/>
          <w:bCs/>
          <w:iCs/>
          <w:sz w:val="28"/>
          <w:szCs w:val="28"/>
        </w:rPr>
        <w:t xml:space="preserve">ов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экономической </w:t>
      </w:r>
      <w:r>
        <w:rPr>
          <w:rFonts w:ascii="Times New Roman" w:hAnsi="Times New Roman"/>
          <w:bCs/>
          <w:iCs/>
          <w:sz w:val="28"/>
          <w:szCs w:val="28"/>
        </w:rPr>
        <w:t xml:space="preserve">деятельности, как </w:t>
      </w:r>
      <w:r>
        <w:rPr>
          <w:rFonts w:ascii="Times New Roman" w:hAnsi="Times New Roman"/>
          <w:bCs/>
          <w:iCs/>
          <w:sz w:val="28"/>
          <w:szCs w:val="28"/>
        </w:rPr>
        <w:t xml:space="preserve">«Сельское, лесное хозяйство, охота, рыболовство и рыбоводство» - </w:t>
      </w:r>
      <w:r>
        <w:rPr>
          <w:rFonts w:ascii="Times New Roman" w:hAnsi="Times New Roman"/>
          <w:bCs/>
          <w:iCs/>
          <w:sz w:val="28"/>
          <w:szCs w:val="28"/>
        </w:rPr>
        <w:t xml:space="preserve">(</w:t>
      </w:r>
      <w:r>
        <w:rPr>
          <w:rFonts w:ascii="Times New Roman" w:hAnsi="Times New Roman"/>
          <w:bCs/>
          <w:iCs/>
          <w:sz w:val="28"/>
          <w:szCs w:val="28"/>
        </w:rPr>
        <w:t xml:space="preserve">63,5</w:t>
      </w:r>
      <w:r>
        <w:rPr>
          <w:rFonts w:ascii="Times New Roman" w:hAnsi="Times New Roman"/>
          <w:bCs/>
          <w:iCs/>
          <w:sz w:val="28"/>
          <w:szCs w:val="28"/>
        </w:rPr>
        <w:t xml:space="preserve">%)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Рассматривая полученные на основе оценок работодателей данные, можно определить перечень наиболее востребованных экономикой Астраханской области профессий по уровням образования: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Среднее профессиональное образование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: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повар, бухгалтер, водитель автомобиля, медицинская сестра, оператор котельной</w:t>
      </w:r>
      <w:r>
        <w:rPr>
          <w:rFonts w:ascii="Times New Roman" w:hAnsi="Times New Roman"/>
          <w:bCs/>
          <w:iCs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Высшее профессиональное образование (бакалавриат)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: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учитель, юрист, воспитатель, главный специалист, ведущий рыбовод, заведующий лабораторией</w:t>
      </w:r>
      <w:r>
        <w:rPr>
          <w:rFonts w:ascii="Times New Roman" w:hAnsi="Times New Roman"/>
          <w:bCs/>
          <w:iCs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Высшее профессиональное образование (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специалитет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, магистратура):</w:t>
      </w:r>
      <w:r>
        <w:rPr>
          <w:rFonts w:ascii="Times New Roman" w:hAnsi="Times New Roman"/>
          <w:bCs/>
          <w:iCs/>
          <w:sz w:val="28"/>
          <w:szCs w:val="28"/>
        </w:rPr>
        <w:t xml:space="preserve"> инженер, врач, </w:t>
      </w:r>
      <w:r>
        <w:rPr>
          <w:rFonts w:ascii="Times New Roman" w:hAnsi="Times New Roman"/>
          <w:bCs/>
          <w:iCs/>
          <w:sz w:val="28"/>
          <w:szCs w:val="28"/>
        </w:rPr>
        <w:t xml:space="preserve">учитель, </w:t>
      </w:r>
      <w:r>
        <w:rPr>
          <w:rFonts w:ascii="Times New Roman" w:hAnsi="Times New Roman"/>
          <w:bCs/>
          <w:iCs/>
          <w:sz w:val="28"/>
          <w:szCs w:val="28"/>
        </w:rPr>
        <w:t xml:space="preserve">начальник отдела, ведущий бухгалтер, </w:t>
      </w:r>
      <w:r>
        <w:rPr>
          <w:rFonts w:ascii="Times New Roman" w:hAnsi="Times New Roman"/>
          <w:bCs/>
          <w:iCs/>
          <w:sz w:val="28"/>
          <w:szCs w:val="28"/>
        </w:rPr>
        <w:t xml:space="preserve">программист, </w:t>
      </w:r>
      <w:r>
        <w:rPr>
          <w:rFonts w:ascii="Times New Roman" w:hAnsi="Times New Roman"/>
          <w:bCs/>
          <w:iCs/>
          <w:sz w:val="28"/>
          <w:szCs w:val="28"/>
        </w:rPr>
        <w:t xml:space="preserve">капитан-наставник.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Высшее профессиональное образование (подготовка кадров высшей квалификации):</w:t>
      </w:r>
      <w:r>
        <w:rPr>
          <w:rFonts w:ascii="Times New Roman" w:hAnsi="Times New Roman"/>
          <w:bCs/>
          <w:iCs/>
          <w:sz w:val="28"/>
          <w:szCs w:val="28"/>
        </w:rPr>
        <w:t xml:space="preserve"> врач, ведущий инженер, IT специалист, заведующий научной библиотекой.</w:t>
      </w:r>
      <w:r/>
    </w:p>
    <w:p>
      <w:pPr>
        <w:contextualSpacing/>
        <w:ind w:firstLine="709"/>
        <w:jc w:val="right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right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right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right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right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/>
      <w:bookmarkStart w:id="0" w:name="_GoBack"/>
      <w:r/>
      <w:bookmarkEnd w:id="0"/>
      <w:r/>
      <w:r/>
    </w:p>
    <w:p>
      <w:pPr>
        <w:contextualSpacing/>
        <w:ind w:firstLine="709"/>
        <w:jc w:val="right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Диаграмма </w:t>
      </w:r>
      <w:r>
        <w:rPr>
          <w:rFonts w:ascii="Times New Roman" w:hAnsi="Times New Roman"/>
          <w:bCs/>
          <w:iCs/>
          <w:sz w:val="28"/>
          <w:szCs w:val="28"/>
        </w:rPr>
        <w:t xml:space="preserve">6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drawing>
          <wp:inline distT="0" distB="0" distL="0" distR="0">
            <wp:extent cx="6127845" cy="2251881"/>
            <wp:effectExtent l="0" t="0" r="25400" b="15240"/>
            <wp:docPr id="6" name="Диаграмма 5" hidden="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/>
    </w:p>
    <w:p>
      <w:pPr>
        <w:pStyle w:val="688"/>
        <w:numPr>
          <w:ilvl w:val="0"/>
          <w:numId w:val="1"/>
        </w:numPr>
        <w:jc w:val="center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Отраслевая структура  потребности в кадрах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Ситуация на регистрируемом рынке труда в 2019 году характеризовалась увеличением  численности обращений граждан в органы службы занятости, а следовательно и численности  безработных граждан, что явилось следст</w:t>
      </w:r>
      <w:r>
        <w:rPr>
          <w:rFonts w:ascii="Times New Roman" w:hAnsi="Times New Roman"/>
          <w:bCs/>
          <w:iCs/>
          <w:sz w:val="28"/>
          <w:szCs w:val="28"/>
        </w:rPr>
        <w:t xml:space="preserve">вием повышения размеров минимальной и максимальной величин пособия по безработице (с 1 января 2019 года размеры минимальной и максимальной величин пособия по безработице для граждан, признанных в установленном порядке безработными, повысились с 850 до 1500</w:t>
      </w:r>
      <w:r>
        <w:rPr>
          <w:rFonts w:ascii="Times New Roman" w:hAnsi="Times New Roman"/>
          <w:bCs/>
          <w:iCs/>
          <w:sz w:val="28"/>
          <w:szCs w:val="28"/>
        </w:rPr>
        <w:t xml:space="preserve"> рублей и с 4900 до 8000 рублей соответственно, а для безработных граждан </w:t>
      </w:r>
      <w:r>
        <w:rPr>
          <w:rFonts w:ascii="Times New Roman" w:hAnsi="Times New Roman"/>
          <w:bCs/>
          <w:iCs/>
          <w:sz w:val="28"/>
          <w:szCs w:val="28"/>
        </w:rPr>
        <w:t xml:space="preserve">предпенсионного</w:t>
      </w:r>
      <w:r>
        <w:rPr>
          <w:rFonts w:ascii="Times New Roman" w:hAnsi="Times New Roman"/>
          <w:bCs/>
          <w:iCs/>
          <w:sz w:val="28"/>
          <w:szCs w:val="28"/>
        </w:rPr>
        <w:t xml:space="preserve"> возраста размер максимальной величины пособия составил 11280 рублей).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регионе осуществляется реализация мероприятий государственной программы «Содействие занятости населения Астраханской области», направленных на повышение занятости населения, снижение безработицы и напряженности на рынке труда.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Показатель безработицы в течение 2019 года менялся в пределах от 0,8%  до 1,3% от численности рабочей силы. Традиционно наибольший уровень безработицы  - в январе-феврале, миним</w:t>
      </w:r>
      <w:r>
        <w:rPr>
          <w:rFonts w:ascii="Times New Roman" w:hAnsi="Times New Roman"/>
          <w:bCs/>
          <w:iCs/>
          <w:sz w:val="28"/>
          <w:szCs w:val="28"/>
        </w:rPr>
        <w:t xml:space="preserve">альное значение сохранялось на протяжении октября - ноября 2018 года. Среднегодовая численность  безработных граждан составила 5,4 тыс. человек, что на 5% больше, чем в 2018 году. Спрос на рабочую силу в среднем за 2019 год составил более 8,0 тысяч единиц.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2019 году органы службы занятости населения взаимодействовали с 2,4 тыс. работодателей по подбору необходимых работников.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Количество вакансий, заявленных работодателями в центры занятости населения,  в отчетном году составило 60,7 тысяч. Более 72% всех вакантных рабочих мест заявлено работодателями Астраханской области.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общей потребности в рабочей силе на рынке труда в отчетном году преобладали вакансии по рабочим профессиям, на которые приходилось 75,5% потребности, заявленной работодателями. 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структуре заявленной работодателями потребности в работниках по занятиям на конец 2019 года набольший удельный вес приходился на квалифицированных рабочих промышленности, строительства, транспорта и рабочих родственных занятий</w:t>
      </w:r>
      <w:r>
        <w:rPr>
          <w:rFonts w:ascii="Times New Roman" w:hAnsi="Times New Roman"/>
          <w:bCs/>
          <w:iCs/>
          <w:sz w:val="28"/>
          <w:szCs w:val="28"/>
        </w:rPr>
        <w:t xml:space="preserve"> (25,6%), операторов производственных установок и машин, сборщиков и водителей (20,4%), неквалифицированных рабочих (18,9%), специалистов высшего уровня квалификации (12,9%) и работников сферы обслуживания и торговли, охраны граждан и собственности (7,7%).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 2</w:t>
      </w:r>
      <w:r>
        <w:rPr>
          <w:rFonts w:ascii="Times New Roman" w:hAnsi="Times New Roman"/>
          <w:bCs/>
          <w:iCs/>
          <w:sz w:val="28"/>
          <w:szCs w:val="28"/>
        </w:rPr>
        <w:t xml:space="preserve">019 году имелся спрос на водителей автомобиля, трактористов, электросварщиков, сборщиков корпусов металлических судов, слесарей-ремонтников, слесарей-монтажников судовых, трубопроводчиков судовых, продавцов, поваров, маляров, охранников, швей, официантов.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Среди специалистов и служащих востребованы медицинские сестры, бухгалтеры, кассиры, инженерно-технические работники, менеджеры, воспитатели, врачи, фельдшеры, товароведы, экономисты, юристы.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На потребность в рабочей силе в регионе значительное  влияние оказывает сезонный ф</w:t>
      </w:r>
      <w:r>
        <w:rPr>
          <w:rFonts w:ascii="Times New Roman" w:hAnsi="Times New Roman"/>
          <w:bCs/>
          <w:iCs/>
          <w:sz w:val="28"/>
          <w:szCs w:val="28"/>
        </w:rPr>
        <w:t xml:space="preserve">актор. В связи с окончанием сезонных работ число вакансий, заявляемых сельскими работодателями в осенне-зимний период,  значительно сокращается. Из общего числа  вакансий, заявленных в службу занятости  на начало января 2020 года  на село приходится 23,8%.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Также в регионе постоянно востребованы рабочие неквалифицированного труда, т. е профессий не требующие профессиональной подготовки: дворники, грузчики, подсобные рабочие, разнорабочие, уборщики территорий,  служебных помещений и др.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Ситуация на регистрируемом рынке труда Астраханской области в 2020  году характеризуется снижением численности безработных граждан, начиная со второй половины февраля 2020 года.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Чи</w:t>
      </w:r>
      <w:r>
        <w:rPr>
          <w:rFonts w:ascii="Times New Roman" w:hAnsi="Times New Roman"/>
          <w:bCs/>
          <w:iCs/>
          <w:sz w:val="28"/>
          <w:szCs w:val="28"/>
        </w:rPr>
        <w:t xml:space="preserve">сленность зарегистрированных безработных  на 1 марта  2020 года составила 6,2 тыс. человек (на 01.03.2019 – 6,6 тыс. чел.), уровень регистрируемой безработицы – 1,2% к численности рабочей силы, что ниже значения показателя на начало марта 2019 года (1,3%).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Банк вакансий, заявленных работодателями в службу занятости, включает  9,8  тыс. свободных мест.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Заявленные работодателями вакансии не всегда заполняются из-за несоответствия профессиональных качеств лиц, ищущих работу, требованиям, которые предъявляют работодатели, затрудняет трудоустройство на поступающие вак</w:t>
      </w:r>
      <w:r>
        <w:rPr>
          <w:rFonts w:ascii="Times New Roman" w:hAnsi="Times New Roman"/>
          <w:bCs/>
          <w:iCs/>
          <w:sz w:val="28"/>
          <w:szCs w:val="28"/>
        </w:rPr>
        <w:t xml:space="preserve">ансии территориальная разбросанность сельских поселений, отсутствие регулярного транспортного сообщения.  Имеют место отказы безработных граждан от направлений службы занятости из-за неподходящей зарплаты, условий труда, режима и отдаленности места работы.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Распределение заявленной </w:t>
      </w:r>
      <w:r>
        <w:rPr>
          <w:rFonts w:ascii="Times New Roman" w:hAnsi="Times New Roman"/>
          <w:bCs/>
          <w:iCs/>
          <w:sz w:val="28"/>
          <w:szCs w:val="28"/>
        </w:rPr>
        <w:t xml:space="preserve">потребности работодателей в 20</w:t>
      </w:r>
      <w:r>
        <w:rPr>
          <w:rFonts w:ascii="Times New Roman" w:hAnsi="Times New Roman"/>
          <w:bCs/>
          <w:iCs/>
          <w:sz w:val="28"/>
          <w:szCs w:val="28"/>
        </w:rPr>
        <w:t xml:space="preserve">20</w:t>
      </w:r>
      <w:r>
        <w:rPr>
          <w:rFonts w:ascii="Times New Roman" w:hAnsi="Times New Roman"/>
          <w:bCs/>
          <w:iCs/>
          <w:sz w:val="28"/>
          <w:szCs w:val="28"/>
        </w:rPr>
        <w:t xml:space="preserve"> - </w:t>
      </w:r>
      <w:r>
        <w:rPr>
          <w:rFonts w:ascii="Times New Roman" w:hAnsi="Times New Roman"/>
          <w:bCs/>
          <w:iCs/>
          <w:sz w:val="28"/>
          <w:szCs w:val="28"/>
        </w:rPr>
        <w:t xml:space="preserve">202</w:t>
      </w:r>
      <w:r>
        <w:rPr>
          <w:rFonts w:ascii="Times New Roman" w:hAnsi="Times New Roman"/>
          <w:bCs/>
          <w:iCs/>
          <w:sz w:val="28"/>
          <w:szCs w:val="28"/>
        </w:rPr>
        <w:t xml:space="preserve">6</w:t>
      </w:r>
      <w:r>
        <w:rPr>
          <w:rFonts w:ascii="Times New Roman" w:hAnsi="Times New Roman"/>
          <w:bCs/>
          <w:iCs/>
          <w:sz w:val="28"/>
          <w:szCs w:val="28"/>
        </w:rPr>
        <w:t xml:space="preserve"> годах в квалифицированных рабочих и специалистах по основным видам экономической деятельности свидетельствует о том, что наибольшую потребность в кадрах будут испытывать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«Деятельность в области здравоохранения и социальных услуг» – 25,4%, «Сельское, лесное хозяйство, </w:t>
      </w:r>
      <w:r>
        <w:rPr>
          <w:rFonts w:ascii="Times New Roman" w:hAnsi="Times New Roman"/>
          <w:bCs/>
          <w:iCs/>
          <w:sz w:val="28"/>
          <w:szCs w:val="28"/>
        </w:rPr>
        <w:t xml:space="preserve">охота, рыболовство и рыбоводство» – 21,0%, </w:t>
      </w:r>
      <w:r>
        <w:rPr>
          <w:rFonts w:ascii="Times New Roman" w:hAnsi="Times New Roman"/>
          <w:bCs/>
          <w:iCs/>
          <w:sz w:val="28"/>
          <w:szCs w:val="28"/>
        </w:rPr>
        <w:t xml:space="preserve">«</w:t>
      </w:r>
      <w:r>
        <w:rPr>
          <w:rFonts w:ascii="Times New Roman" w:hAnsi="Times New Roman"/>
          <w:bCs/>
          <w:iCs/>
          <w:sz w:val="28"/>
          <w:szCs w:val="28"/>
        </w:rPr>
        <w:t xml:space="preserve">Образование</w:t>
      </w:r>
      <w:r>
        <w:rPr>
          <w:rFonts w:ascii="Times New Roman" w:hAnsi="Times New Roman"/>
          <w:bCs/>
          <w:iCs/>
          <w:sz w:val="28"/>
          <w:szCs w:val="28"/>
        </w:rPr>
        <w:t xml:space="preserve">» </w:t>
      </w:r>
      <w:r>
        <w:rPr>
          <w:rFonts w:ascii="Times New Roman" w:hAnsi="Times New Roman"/>
          <w:bCs/>
          <w:iCs/>
          <w:sz w:val="28"/>
          <w:szCs w:val="28"/>
        </w:rPr>
        <w:t xml:space="preserve">– </w:t>
      </w:r>
      <w:r>
        <w:rPr>
          <w:rFonts w:ascii="Times New Roman" w:hAnsi="Times New Roman"/>
          <w:bCs/>
          <w:iCs/>
          <w:sz w:val="28"/>
          <w:szCs w:val="28"/>
        </w:rPr>
        <w:t xml:space="preserve">17,3%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(таблица 1</w:t>
      </w:r>
      <w:r>
        <w:rPr>
          <w:rFonts w:ascii="Times New Roman" w:hAnsi="Times New Roman"/>
          <w:bCs/>
          <w:iCs/>
          <w:sz w:val="28"/>
          <w:szCs w:val="28"/>
        </w:rPr>
        <w:t xml:space="preserve">)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/>
    </w:p>
    <w:p>
      <w:pPr>
        <w:contextualSpacing/>
        <w:ind w:firstLine="709"/>
        <w:jc w:val="right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Таблица 1</w:t>
      </w:r>
      <w:r/>
    </w:p>
    <w:p>
      <w:pPr>
        <w:contextualSpacing/>
        <w:ind w:firstLine="709"/>
        <w:jc w:val="right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Распределение потребности в кадрах в Астраханской области на период с 20</w:t>
      </w:r>
      <w:r>
        <w:rPr>
          <w:rFonts w:ascii="Times New Roman" w:hAnsi="Times New Roman"/>
          <w:bCs/>
          <w:iCs/>
          <w:sz w:val="28"/>
          <w:szCs w:val="28"/>
        </w:rPr>
        <w:t xml:space="preserve">20</w:t>
      </w:r>
      <w:r>
        <w:rPr>
          <w:rFonts w:ascii="Times New Roman" w:hAnsi="Times New Roman"/>
          <w:bCs/>
          <w:iCs/>
          <w:sz w:val="28"/>
          <w:szCs w:val="28"/>
        </w:rPr>
        <w:t xml:space="preserve"> по 202</w:t>
      </w:r>
      <w:r>
        <w:rPr>
          <w:rFonts w:ascii="Times New Roman" w:hAnsi="Times New Roman"/>
          <w:bCs/>
          <w:iCs/>
          <w:sz w:val="28"/>
          <w:szCs w:val="28"/>
        </w:rPr>
        <w:t xml:space="preserve">6</w:t>
      </w:r>
      <w:r>
        <w:rPr>
          <w:rFonts w:ascii="Times New Roman" w:hAnsi="Times New Roman"/>
          <w:bCs/>
          <w:iCs/>
          <w:sz w:val="28"/>
          <w:szCs w:val="28"/>
        </w:rPr>
        <w:t xml:space="preserve"> годы по видам экономической деятельности</w:t>
      </w:r>
      <w:r/>
    </w:p>
    <w:tbl>
      <w:tblPr>
        <w:tblW w:w="11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2127"/>
        <w:gridCol w:w="2409"/>
        <w:gridCol w:w="889"/>
        <w:gridCol w:w="236"/>
        <w:gridCol w:w="236"/>
      </w:tblGrid>
      <w:tr>
        <w:trPr>
          <w:trHeight w:val="300"/>
          <w:tblHeader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000" w:type="dxa"/>
            <w:vAlign w:val="bottom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  <w:tr>
        <w:trPr>
          <w:trHeight w:val="851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/>
          </w:tcPr>
          <w:p>
            <w:pPr>
              <w:contextualSpacing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Наименование разделов видов экономической деятельности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отребность,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итого </w:t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(20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-202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ind w:firstLine="33"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 общей потребности рынка труда в кадрах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  <w:tr>
        <w:trPr>
          <w:trHeight w:val="64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contextualSpacing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Сельское, лесное хозяйство, охота, рыболовство и рыбоводство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3433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contextualSpacing/>
              <w:ind w:firstLine="33"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21,0%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" w:type="dxa"/>
            <w:vAlign w:val="center"/>
            <w:textDirection w:val="lrTb"/>
            <w:noWrap w:val="false"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  <w:tr>
        <w:trPr>
          <w:trHeight w:val="417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/>
          </w:tcPr>
          <w:p>
            <w:pPr>
              <w:contextualSpacing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Добыча полезных ископаемых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159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/>
          </w:tcPr>
          <w:p>
            <w:pPr>
              <w:contextualSpacing/>
              <w:ind w:firstLine="33"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1,0%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  <w:tr>
        <w:trPr>
          <w:trHeight w:val="467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/>
          </w:tcPr>
          <w:p>
            <w:pPr>
              <w:contextualSpacing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Обрабатывающие производства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1612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/>
          </w:tcPr>
          <w:p>
            <w:pPr>
              <w:contextualSpacing/>
              <w:ind w:firstLine="33"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9,9%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  <w:tr>
        <w:trPr>
          <w:trHeight w:val="315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contextualSpacing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Обеспечение электрической энергией, газом и паром; кондиционирование воздуха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963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/>
          </w:tcPr>
          <w:p>
            <w:pPr>
              <w:contextualSpacing/>
              <w:ind w:firstLine="33"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5,9%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  <w:tr>
        <w:trPr>
          <w:trHeight w:val="878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contextualSpacing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Водоснабжение; водоотведение, организация сбора и утилизации отходов, деятельность по ликвидации загрязнений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335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/>
          </w:tcPr>
          <w:p>
            <w:pPr>
              <w:contextualSpacing/>
              <w:ind w:firstLine="33"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2,1%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  <w:tr>
        <w:trPr>
          <w:trHeight w:val="315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/>
          </w:tcPr>
          <w:p>
            <w:pPr>
              <w:contextualSpacing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Строительство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/>
          </w:tcPr>
          <w:p>
            <w:pPr>
              <w:contextualSpacing/>
              <w:ind w:firstLine="33"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0,4%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  <w:tr>
        <w:trPr>
          <w:trHeight w:val="379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/>
          </w:tcPr>
          <w:p>
            <w:pPr>
              <w:contextualSpacing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Торговля оптовая и розничная; ремонт автотранспортных средств и мотоциклов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377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/>
          </w:tcPr>
          <w:p>
            <w:pPr>
              <w:contextualSpacing/>
              <w:ind w:firstLine="33"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2,3%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  <w:tr>
        <w:trPr>
          <w:trHeight w:val="60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contextualSpacing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Транспортировка и хранение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96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/>
          </w:tcPr>
          <w:p>
            <w:pPr>
              <w:contextualSpacing/>
              <w:ind w:firstLine="33"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0,6%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  <w:tr>
        <w:trPr>
          <w:trHeight w:val="381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contextualSpacing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Деятельность гостиниц и предприятий общественного питания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/>
          </w:tcPr>
          <w:p>
            <w:pPr>
              <w:contextualSpacing/>
              <w:ind w:firstLine="33"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0,0%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  <w:tr>
        <w:trPr>
          <w:trHeight w:val="321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/>
          </w:tcPr>
          <w:p>
            <w:pPr>
              <w:contextualSpacing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Деятельность в области информации и связи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/>
          </w:tcPr>
          <w:p>
            <w:pPr>
              <w:contextualSpacing/>
              <w:ind w:firstLine="33"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0,0%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  <w:tr>
        <w:trPr>
          <w:trHeight w:val="321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/>
          </w:tcPr>
          <w:p>
            <w:pPr>
              <w:contextualSpacing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Деятельность финансовая и страховая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/>
          </w:tcPr>
          <w:p>
            <w:pPr>
              <w:contextualSpacing/>
              <w:ind w:firstLine="33"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0,0%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  <w:tr>
        <w:trPr>
          <w:trHeight w:val="321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/>
          </w:tcPr>
          <w:p>
            <w:pPr>
              <w:contextualSpacing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Деятельность профессиональная, научная и техническая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507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/>
          </w:tcPr>
          <w:p>
            <w:pPr>
              <w:contextualSpacing/>
              <w:ind w:firstLine="33"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3,1%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  <w:tr>
        <w:trPr>
          <w:trHeight w:val="59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/>
          </w:tcPr>
          <w:p>
            <w:pPr>
              <w:contextualSpacing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Деятельность административная и сопутствующие дополнительные услуги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123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/>
          </w:tcPr>
          <w:p>
            <w:pPr>
              <w:contextualSpacing/>
              <w:ind w:firstLine="33"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0,8%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  <w:tr>
        <w:trPr>
          <w:trHeight w:val="872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/>
          </w:tcPr>
          <w:p>
            <w:pPr>
              <w:contextualSpacing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Государственное управление и обеспечение военной безопасности; социальное обеспечение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1454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/>
          </w:tcPr>
          <w:p>
            <w:pPr>
              <w:contextualSpacing/>
              <w:ind w:firstLine="33"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8,9%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  <w:tr>
        <w:trPr>
          <w:trHeight w:val="321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/>
          </w:tcPr>
          <w:p>
            <w:pPr>
              <w:contextualSpacing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2824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/>
          </w:tcPr>
          <w:p>
            <w:pPr>
              <w:contextualSpacing/>
              <w:ind w:firstLine="33"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17,3%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  <w:tr>
        <w:trPr>
          <w:trHeight w:val="321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/>
          </w:tcPr>
          <w:p>
            <w:pPr>
              <w:contextualSpacing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Деятельность в области здравоохранения и социальных услуг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4148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/>
          </w:tcPr>
          <w:p>
            <w:pPr>
              <w:contextualSpacing/>
              <w:ind w:firstLine="33"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25,4%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  <w:tr>
        <w:trPr>
          <w:trHeight w:val="321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/>
          </w:tcPr>
          <w:p>
            <w:pPr>
              <w:contextualSpacing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Деятельность в области культуры, спорта, организации досуга и развлечений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207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/>
          </w:tcPr>
          <w:p>
            <w:pPr>
              <w:contextualSpacing/>
              <w:ind w:firstLine="33"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1,3%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  <w:tr>
        <w:trPr>
          <w:trHeight w:val="321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/>
          </w:tcPr>
          <w:p>
            <w:pPr>
              <w:contextualSpacing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Предоставление прочих видов услуг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/>
          </w:tcPr>
          <w:p>
            <w:pPr>
              <w:contextualSpacing/>
              <w:ind w:firstLine="33"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0,0%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  <w:tr>
        <w:trPr>
          <w:trHeight w:val="321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/>
          </w:tcPr>
          <w:p>
            <w:pPr>
              <w:contextualSpacing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Итого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16311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/>
          </w:tcPr>
          <w:p>
            <w:pPr>
              <w:contextualSpacing/>
              <w:ind w:firstLine="33"/>
              <w:jc w:val="center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100,0%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textDirection w:val="lrTb"/>
            <w:noWrap/>
          </w:tcPr>
          <w:p>
            <w:pPr>
              <w:contextualSpacing/>
              <w:ind w:firstLine="709"/>
              <w:jc w:val="both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</w:r>
            <w:r/>
          </w:p>
        </w:tc>
      </w:tr>
    </w:tbl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pStyle w:val="688"/>
        <w:numPr>
          <w:ilvl w:val="0"/>
          <w:numId w:val="1"/>
        </w:numPr>
        <w:jc w:val="center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Профессиональная структура потребности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Результаты мониторинга показали, что в структуре заявленной работодателями потребности в работниках по занятиям на конец 2019 года </w:t>
      </w:r>
      <w:r>
        <w:rPr>
          <w:rFonts w:ascii="Times New Roman" w:hAnsi="Times New Roman"/>
          <w:bCs/>
          <w:iCs/>
          <w:sz w:val="28"/>
          <w:szCs w:val="28"/>
        </w:rPr>
        <w:t xml:space="preserve">набольший удельный вес приходился на квалифицированных рабочих промышленности, строительства, транспорта и рабочих родственных заня</w:t>
      </w:r>
      <w:r>
        <w:rPr>
          <w:rFonts w:ascii="Times New Roman" w:hAnsi="Times New Roman"/>
          <w:bCs/>
          <w:iCs/>
          <w:sz w:val="28"/>
          <w:szCs w:val="28"/>
        </w:rPr>
        <w:t xml:space="preserve">тий (25,6%), операторов производственных установок и машин, сборщиков и водителей (20,4%), неквалифицированных рабочих (18,9%), специалистов высшего уровня квалификации (12,9%) и работников сферы обслуживания и торговли, охраны граждан и собственности (7,7</w:t>
      </w:r>
      <w:r>
        <w:rPr>
          <w:rFonts w:ascii="Times New Roman" w:hAnsi="Times New Roman"/>
          <w:bCs/>
          <w:iCs/>
          <w:sz w:val="28"/>
          <w:szCs w:val="28"/>
        </w:rPr>
        <w:t xml:space="preserve">%) </w:t>
      </w:r>
      <w:r>
        <w:rPr>
          <w:rFonts w:ascii="Times New Roman" w:hAnsi="Times New Roman"/>
          <w:bCs/>
          <w:iCs/>
          <w:sz w:val="28"/>
          <w:szCs w:val="28"/>
        </w:rPr>
        <w:t xml:space="preserve">(диаграмма </w:t>
      </w:r>
      <w:r>
        <w:rPr>
          <w:rFonts w:ascii="Times New Roman" w:hAnsi="Times New Roman"/>
          <w:bCs/>
          <w:iCs/>
          <w:sz w:val="28"/>
          <w:szCs w:val="28"/>
        </w:rPr>
        <w:t xml:space="preserve">7</w:t>
      </w:r>
      <w:r>
        <w:rPr>
          <w:rFonts w:ascii="Times New Roman" w:hAnsi="Times New Roman"/>
          <w:bCs/>
          <w:iCs/>
          <w:sz w:val="28"/>
          <w:szCs w:val="28"/>
        </w:rPr>
        <w:t xml:space="preserve">).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right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Диаграмма </w:t>
      </w:r>
      <w:r>
        <w:rPr>
          <w:rFonts w:ascii="Times New Roman" w:hAnsi="Times New Roman"/>
          <w:bCs/>
          <w:iCs/>
          <w:sz w:val="28"/>
          <w:szCs w:val="28"/>
        </w:rPr>
        <w:t xml:space="preserve">7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drawing>
          <wp:inline distT="0" distB="0" distL="0" distR="0">
            <wp:extent cx="6141493" cy="2674961"/>
            <wp:effectExtent l="0" t="0" r="12065" b="11430"/>
            <wp:docPr id="7" name="Диаграмма 2" hidden="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</w:t>
      </w:r>
      <w:r>
        <w:rPr>
          <w:rFonts w:ascii="Times New Roman" w:hAnsi="Times New Roman"/>
          <w:bCs/>
          <w:iCs/>
          <w:sz w:val="28"/>
          <w:szCs w:val="28"/>
        </w:rPr>
        <w:t xml:space="preserve">2</w:t>
      </w:r>
      <w:r>
        <w:rPr>
          <w:rFonts w:ascii="Times New Roman" w:hAnsi="Times New Roman"/>
          <w:bCs/>
          <w:iCs/>
          <w:sz w:val="28"/>
          <w:szCs w:val="28"/>
        </w:rPr>
        <w:t xml:space="preserve">019 году имелся спрос на водителей автомобиля, трактористов, электросварщиков, сборщиков корпусов металлических судов, слесарей-ремонтников, слесарей-монтажников судовых, трубопроводчиков судовых, продавцов, поваров, маляров, охранников, швей, официантов.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Среди специалистов и служащих востребованы медицинские сестры, бухгалтеры, кассиры, инженерно-технические работники, менеджеры, воспитатели, врачи, фельдшеры, товароведы, экономисты, юристы.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На потребность в рабочей силе в регионе значительное  влияние оказывает сезонный фа</w:t>
      </w:r>
      <w:r>
        <w:rPr>
          <w:rFonts w:ascii="Times New Roman" w:hAnsi="Times New Roman"/>
          <w:bCs/>
          <w:iCs/>
          <w:sz w:val="28"/>
          <w:szCs w:val="28"/>
        </w:rPr>
        <w:t xml:space="preserve">ктор. В связи с окончанием сезонных работ число вакансий, заявляемых сельскими работодателями в осенне-зимний период,  значительно сокращается.  Из общего числа  вакансий, заявленных в службу занятости  на начало января 2020 года  на село приходится 23,8%.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Также в регионе постоянно востребованы рабочие неквалифицированного труда, т. е профессий не требующие профессиональной подготовки: дворники, грузчики, подсобные рабочие, разнорабочие, уборщики территорий,  служебных помещений и др.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pStyle w:val="688"/>
        <w:numPr>
          <w:ilvl w:val="0"/>
          <w:numId w:val="1"/>
        </w:numPr>
        <w:jc w:val="center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Потребность в кадрах  в рамках реализации инвестиционных проектов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Ситуация на рынке труда региона на среднесрочный период будет формироваться под влиянием экономических процессов в ведущих отраслях </w:t>
      </w:r>
      <w:r>
        <w:rPr>
          <w:rFonts w:ascii="Times New Roman" w:hAnsi="Times New Roman"/>
          <w:bCs/>
          <w:iCs/>
          <w:sz w:val="28"/>
          <w:szCs w:val="28"/>
        </w:rPr>
        <w:t xml:space="preserve">экономики Астраханской области и ориентиров развития региона, связанных с процессами реструктуризации, модернизации, реализации инвестиционных проектов, включая проекты в рамках развития особой экономической зоны производственно промышленного типа «Лотос».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 целью привлечения рабочей силы, а также сдерживания оттока трудоспособного населения в регионе планируется реализация крупных инвестиционных проектов в различных сферах.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Согласно данным министерства экономич</w:t>
      </w:r>
      <w:r>
        <w:rPr>
          <w:rFonts w:ascii="Times New Roman" w:hAnsi="Times New Roman"/>
          <w:bCs/>
          <w:iCs/>
          <w:sz w:val="28"/>
          <w:szCs w:val="28"/>
        </w:rPr>
        <w:t xml:space="preserve">еского развития Астраханской области сырьевой сектор по-прежнему сохранит ведущую роль в формировании общего объема инвестиционных вложений – в сфере добычи полезных ископаемых продолжится реализация проектов по освоению месторождений им. Ю.Корчагина, им. </w:t>
      </w:r>
      <w:r>
        <w:rPr>
          <w:rFonts w:ascii="Times New Roman" w:hAnsi="Times New Roman"/>
          <w:bCs/>
          <w:iCs/>
          <w:sz w:val="28"/>
          <w:szCs w:val="28"/>
        </w:rPr>
        <w:t xml:space="preserve">В.Филановского</w:t>
      </w:r>
      <w:r>
        <w:rPr>
          <w:rFonts w:ascii="Times New Roman" w:hAnsi="Times New Roman"/>
          <w:bCs/>
          <w:iCs/>
          <w:sz w:val="28"/>
          <w:szCs w:val="28"/>
        </w:rPr>
        <w:t xml:space="preserve">, Ракушечное в российском секторе Каспийского моря, добыче газового конденсата, предоставлению услуг по бурению, связанному с добычей природного газа, эксплуатации </w:t>
      </w:r>
      <w:r>
        <w:rPr>
          <w:rFonts w:ascii="Times New Roman" w:hAnsi="Times New Roman"/>
          <w:bCs/>
          <w:iCs/>
          <w:sz w:val="28"/>
          <w:szCs w:val="28"/>
        </w:rPr>
        <w:t xml:space="preserve">Бешкульского</w:t>
      </w:r>
      <w:r>
        <w:rPr>
          <w:rFonts w:ascii="Times New Roman" w:hAnsi="Times New Roman"/>
          <w:bCs/>
          <w:iCs/>
          <w:sz w:val="28"/>
          <w:szCs w:val="28"/>
        </w:rPr>
        <w:t xml:space="preserve"> нефтяного месторождения, эксплуатации месторождения</w:t>
      </w:r>
      <w:r>
        <w:rPr>
          <w:rFonts w:ascii="Times New Roman" w:hAnsi="Times New Roman"/>
          <w:bCs/>
          <w:iCs/>
          <w:sz w:val="28"/>
          <w:szCs w:val="28"/>
        </w:rPr>
        <w:t xml:space="preserve"> поваренной самосадочной соли на озере Баскунчак </w:t>
      </w:r>
      <w:r>
        <w:rPr>
          <w:rFonts w:ascii="Times New Roman" w:hAnsi="Times New Roman"/>
          <w:bCs/>
          <w:iCs/>
          <w:sz w:val="28"/>
          <w:szCs w:val="28"/>
        </w:rPr>
        <w:t xml:space="preserve">в</w:t>
      </w: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  <w:r>
        <w:rPr>
          <w:rFonts w:ascii="Times New Roman" w:hAnsi="Times New Roman"/>
          <w:bCs/>
          <w:iCs/>
          <w:sz w:val="28"/>
          <w:szCs w:val="28"/>
        </w:rPr>
        <w:t xml:space="preserve">Ахтубинском</w:t>
      </w:r>
      <w:r>
        <w:rPr>
          <w:rFonts w:ascii="Times New Roman" w:hAnsi="Times New Roman"/>
          <w:bCs/>
          <w:iCs/>
          <w:sz w:val="28"/>
          <w:szCs w:val="28"/>
        </w:rPr>
        <w:t xml:space="preserve"> районе.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Кроме того, в регионе начнется реализация крупных инвестиционных проектов в рамках функционирования ОЭЗ «Лотос», что поспособствует планомерному наращиванию инвестиций в обрабатывающие производства.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перспективе отрасль сельского хозяйства останется одним из  приоритетных сегментов для реализации проектов частными инвесторами.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Продолжится строительство тепличного комплекса для круглогодичного выращивания овощей на территории </w:t>
      </w:r>
      <w:r>
        <w:rPr>
          <w:rFonts w:ascii="Times New Roman" w:hAnsi="Times New Roman"/>
          <w:bCs/>
          <w:iCs/>
          <w:sz w:val="28"/>
          <w:szCs w:val="28"/>
        </w:rPr>
        <w:t xml:space="preserve">Икрянинского</w:t>
      </w:r>
      <w:r>
        <w:rPr>
          <w:rFonts w:ascii="Times New Roman" w:hAnsi="Times New Roman"/>
          <w:bCs/>
          <w:iCs/>
          <w:sz w:val="28"/>
          <w:szCs w:val="28"/>
        </w:rPr>
        <w:t xml:space="preserve"> района Астраханской области. Планируется строительство второго завода по выращиванию и переработке томатов, а также будет запущен крупный инвестиционный проект по выращиванию картофеля в </w:t>
      </w:r>
      <w:r>
        <w:rPr>
          <w:rFonts w:ascii="Times New Roman" w:hAnsi="Times New Roman"/>
          <w:bCs/>
          <w:iCs/>
          <w:sz w:val="28"/>
          <w:szCs w:val="28"/>
        </w:rPr>
        <w:t xml:space="preserve">Енотаевском</w:t>
      </w:r>
      <w:r>
        <w:rPr>
          <w:rFonts w:ascii="Times New Roman" w:hAnsi="Times New Roman"/>
          <w:bCs/>
          <w:iCs/>
          <w:sz w:val="28"/>
          <w:szCs w:val="28"/>
        </w:rPr>
        <w:t xml:space="preserve"> районе Астраханской области. Будут продолжены работы по модернизации птицефабрик, перерабатывающих производств, мелиоративному строительству, строительству и реконструкции оросительных систем, модернизации </w:t>
      </w:r>
      <w:r>
        <w:rPr>
          <w:rFonts w:ascii="Times New Roman" w:hAnsi="Times New Roman"/>
          <w:bCs/>
          <w:iCs/>
          <w:sz w:val="28"/>
          <w:szCs w:val="28"/>
        </w:rPr>
        <w:t xml:space="preserve">рыбоперерабатывающих</w:t>
      </w:r>
      <w:r>
        <w:rPr>
          <w:rFonts w:ascii="Times New Roman" w:hAnsi="Times New Roman"/>
          <w:bCs/>
          <w:iCs/>
          <w:sz w:val="28"/>
          <w:szCs w:val="28"/>
        </w:rPr>
        <w:t xml:space="preserve"> производств, развитию </w:t>
      </w:r>
      <w:r>
        <w:rPr>
          <w:rFonts w:ascii="Times New Roman" w:hAnsi="Times New Roman"/>
          <w:bCs/>
          <w:iCs/>
          <w:sz w:val="28"/>
          <w:szCs w:val="28"/>
        </w:rPr>
        <w:t xml:space="preserve">аквакультуры</w:t>
      </w:r>
      <w:r>
        <w:rPr>
          <w:rFonts w:ascii="Times New Roman" w:hAnsi="Times New Roman"/>
          <w:bCs/>
          <w:iCs/>
          <w:sz w:val="28"/>
          <w:szCs w:val="28"/>
        </w:rPr>
        <w:t xml:space="preserve">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Выступая связующим звеном между производством и потреблением,  торговля оказывает существенное влияние на развитие экономики региона. Инвестиционная</w:t>
      </w:r>
      <w:r>
        <w:rPr>
          <w:rFonts w:ascii="Times New Roman" w:hAnsi="Times New Roman"/>
          <w:bCs/>
          <w:iCs/>
          <w:sz w:val="28"/>
          <w:szCs w:val="28"/>
        </w:rPr>
        <w:t xml:space="preserve"> деятельность в торговой сфере на перспективу представлена развитием сетевой торговли на территории Астраханской области - приростом качественных площадей за счет строительства и реконструкции  предприятий розничной торговли «Магнит», «Пятерочка», «Магнит </w:t>
      </w:r>
      <w:r>
        <w:rPr>
          <w:rFonts w:ascii="Times New Roman" w:hAnsi="Times New Roman"/>
          <w:bCs/>
          <w:iCs/>
          <w:sz w:val="28"/>
          <w:szCs w:val="28"/>
        </w:rPr>
        <w:t xml:space="preserve">Косметик</w:t>
      </w:r>
      <w:r>
        <w:rPr>
          <w:rFonts w:ascii="Times New Roman" w:hAnsi="Times New Roman"/>
          <w:bCs/>
          <w:iCs/>
          <w:sz w:val="28"/>
          <w:szCs w:val="28"/>
        </w:rPr>
        <w:t xml:space="preserve">». Панируется реализация крупного инвестиционного проекта – строительство гипермаркет</w:t>
      </w:r>
      <w:r>
        <w:rPr>
          <w:rFonts w:ascii="Times New Roman" w:hAnsi="Times New Roman"/>
          <w:bCs/>
          <w:iCs/>
          <w:sz w:val="28"/>
          <w:szCs w:val="28"/>
        </w:rPr>
        <w:t xml:space="preserve">а ООО</w:t>
      </w:r>
      <w:r>
        <w:rPr>
          <w:rFonts w:ascii="Times New Roman" w:hAnsi="Times New Roman"/>
          <w:bCs/>
          <w:iCs/>
          <w:sz w:val="28"/>
          <w:szCs w:val="28"/>
        </w:rPr>
        <w:t xml:space="preserve"> «</w:t>
      </w:r>
      <w:r>
        <w:rPr>
          <w:rFonts w:ascii="Times New Roman" w:hAnsi="Times New Roman"/>
          <w:bCs/>
          <w:iCs/>
          <w:sz w:val="28"/>
          <w:szCs w:val="28"/>
        </w:rPr>
        <w:t xml:space="preserve">Леруа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Мерлен</w:t>
      </w:r>
      <w:r>
        <w:rPr>
          <w:rFonts w:ascii="Times New Roman" w:hAnsi="Times New Roman"/>
          <w:bCs/>
          <w:iCs/>
          <w:sz w:val="28"/>
          <w:szCs w:val="28"/>
        </w:rPr>
        <w:t xml:space="preserve">» на территории города Астрахани.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Принимаемые в регионе меры по повышению конкурентоспособности экономики региона позволят обеспечить стабилизацию занятых в экономике до 470,4 тыс. человек в 2022 году.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</w:t>
      </w:r>
      <w:r>
        <w:rPr>
          <w:rFonts w:ascii="Times New Roman" w:hAnsi="Times New Roman"/>
          <w:bCs/>
          <w:iCs/>
          <w:sz w:val="28"/>
          <w:szCs w:val="28"/>
        </w:rPr>
        <w:t xml:space="preserve">оздан</w:t>
      </w:r>
      <w:r>
        <w:rPr>
          <w:rFonts w:ascii="Times New Roman" w:hAnsi="Times New Roman"/>
          <w:bCs/>
          <w:iCs/>
          <w:sz w:val="28"/>
          <w:szCs w:val="28"/>
        </w:rPr>
        <w:t xml:space="preserve">ие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новых рабочих мест </w:t>
      </w:r>
      <w:r>
        <w:rPr>
          <w:rFonts w:ascii="Times New Roman" w:hAnsi="Times New Roman"/>
          <w:bCs/>
          <w:iCs/>
          <w:sz w:val="28"/>
          <w:szCs w:val="28"/>
        </w:rPr>
        <w:t xml:space="preserve">повлечет за собой необходимость подготовки </w:t>
      </w:r>
      <w:r>
        <w:rPr>
          <w:rFonts w:ascii="Times New Roman" w:hAnsi="Times New Roman"/>
          <w:bCs/>
          <w:iCs/>
          <w:sz w:val="28"/>
          <w:szCs w:val="28"/>
        </w:rPr>
        <w:t xml:space="preserve">и переподготовки </w:t>
      </w:r>
      <w:r>
        <w:rPr>
          <w:rFonts w:ascii="Times New Roman" w:hAnsi="Times New Roman"/>
          <w:bCs/>
          <w:iCs/>
          <w:sz w:val="28"/>
          <w:szCs w:val="28"/>
        </w:rPr>
        <w:t xml:space="preserve">квалифицированных кадров для соответствующих отраслей экономики.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pStyle w:val="688"/>
        <w:numPr>
          <w:ilvl w:val="0"/>
          <w:numId w:val="1"/>
        </w:numPr>
        <w:jc w:val="center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Прогноз кадрового обеспечения основных отраслей экономики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Астраханской области с учетом перспектив их развития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201</w:t>
      </w:r>
      <w:r>
        <w:rPr>
          <w:rFonts w:ascii="Times New Roman" w:hAnsi="Times New Roman"/>
          <w:bCs/>
          <w:iCs/>
          <w:sz w:val="28"/>
          <w:szCs w:val="28"/>
        </w:rPr>
        <w:t xml:space="preserve">9</w:t>
      </w:r>
      <w:r>
        <w:rPr>
          <w:rFonts w:ascii="Times New Roman" w:hAnsi="Times New Roman"/>
          <w:bCs/>
          <w:iCs/>
          <w:sz w:val="28"/>
          <w:szCs w:val="28"/>
        </w:rPr>
        <w:t xml:space="preserve"> году основные экономические показатели по Астраханской области формировались под влиянием определенных внешнеполитических и экономических ограничений. Вместе с тем, экономика области сохранила многолетние параметры развития.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По оценочным данным министерства экономического развития Астраханской области в 201</w:t>
      </w:r>
      <w:r>
        <w:rPr>
          <w:rFonts w:ascii="Times New Roman" w:hAnsi="Times New Roman"/>
          <w:bCs/>
          <w:iCs/>
          <w:sz w:val="28"/>
          <w:szCs w:val="28"/>
        </w:rPr>
        <w:t xml:space="preserve">9</w:t>
      </w:r>
      <w:r>
        <w:rPr>
          <w:rFonts w:ascii="Times New Roman" w:hAnsi="Times New Roman"/>
          <w:bCs/>
          <w:iCs/>
          <w:sz w:val="28"/>
          <w:szCs w:val="28"/>
        </w:rPr>
        <w:t xml:space="preserve"> году темп роста ВРП Астраханской области  составил  </w:t>
      </w:r>
      <w:r>
        <w:rPr>
          <w:rFonts w:ascii="Times New Roman" w:hAnsi="Times New Roman"/>
          <w:bCs/>
          <w:iCs/>
          <w:sz w:val="28"/>
          <w:szCs w:val="28"/>
        </w:rPr>
        <w:t xml:space="preserve">101,5</w:t>
      </w:r>
      <w:r>
        <w:rPr>
          <w:rFonts w:ascii="Times New Roman" w:hAnsi="Times New Roman"/>
          <w:bCs/>
          <w:iCs/>
          <w:sz w:val="28"/>
          <w:szCs w:val="28"/>
        </w:rPr>
        <w:t xml:space="preserve">%, индекс промышленного производства – </w:t>
      </w:r>
      <w:r>
        <w:rPr>
          <w:rFonts w:ascii="Times New Roman" w:hAnsi="Times New Roman"/>
          <w:bCs/>
          <w:iCs/>
          <w:sz w:val="28"/>
          <w:szCs w:val="28"/>
        </w:rPr>
        <w:t xml:space="preserve">102,6</w:t>
      </w:r>
      <w:r>
        <w:rPr>
          <w:rFonts w:ascii="Times New Roman" w:hAnsi="Times New Roman"/>
          <w:bCs/>
          <w:iCs/>
          <w:sz w:val="28"/>
          <w:szCs w:val="28"/>
        </w:rPr>
        <w:t xml:space="preserve">%.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Рост производства в промышленном секторе экономике достигнут</w:t>
      </w:r>
      <w:r>
        <w:rPr>
          <w:rFonts w:ascii="Times New Roman" w:hAnsi="Times New Roman"/>
          <w:bCs/>
          <w:iCs/>
          <w:sz w:val="28"/>
          <w:szCs w:val="28"/>
        </w:rPr>
        <w:t xml:space="preserve"> благодаря увеличению объемов производства по виду экономической деятельности: «Обрабатывающие производства», индекс </w:t>
      </w:r>
      <w:r>
        <w:rPr>
          <w:rFonts w:ascii="Times New Roman" w:hAnsi="Times New Roman"/>
          <w:bCs/>
          <w:iCs/>
          <w:sz w:val="28"/>
          <w:szCs w:val="28"/>
        </w:rPr>
        <w:t xml:space="preserve">производства</w:t>
      </w:r>
      <w:r>
        <w:rPr>
          <w:rFonts w:ascii="Times New Roman" w:hAnsi="Times New Roman"/>
          <w:bCs/>
          <w:iCs/>
          <w:sz w:val="28"/>
          <w:szCs w:val="28"/>
        </w:rPr>
        <w:t xml:space="preserve"> по которому за январь-декабрь 2019 года увеличился на 5,7% по отношению к уровню 2018 года.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По добыче полезных ископаемых индекс промышленного производства в январе-декабре 2019 года сложился на уровне 102,6%.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Объем производства валовой продукции сельского хозяйства в 2019 году составил 101,8% к уровню 2018 года. Оборот розничной торговли сохранил свои показатели на уровне 2018 года.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Среднемесячная заработна</w:t>
      </w:r>
      <w:r>
        <w:rPr>
          <w:rFonts w:ascii="Times New Roman" w:hAnsi="Times New Roman"/>
          <w:bCs/>
          <w:iCs/>
          <w:sz w:val="28"/>
          <w:szCs w:val="28"/>
        </w:rPr>
        <w:t xml:space="preserve">я плата работников по «чистым» видам экономической деятельности (полный круг) за январь-ноябрь 2019 года составила 34 676,7 руб. (темп роста 105,9% к январю-ноябрю 2018 года). Реальная заработная плата составила 101,5% к соответствующему периоду 2018 года.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III квартале 2019 года денежные доходы населения сложились в сумме 74 806,6 </w:t>
      </w:r>
      <w:r>
        <w:rPr>
          <w:rFonts w:ascii="Times New Roman" w:hAnsi="Times New Roman"/>
          <w:bCs/>
          <w:iCs/>
          <w:sz w:val="28"/>
          <w:szCs w:val="28"/>
        </w:rPr>
        <w:t xml:space="preserve">млн</w:t>
      </w:r>
      <w:r>
        <w:rPr>
          <w:rFonts w:ascii="Times New Roman" w:hAnsi="Times New Roman"/>
          <w:bCs/>
          <w:iCs/>
          <w:sz w:val="28"/>
          <w:szCs w:val="28"/>
        </w:rPr>
        <w:t xml:space="preserve"> рублей и увеличились в сравнении с соответствующим периодом 2018 года на 8,0%.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Ситуация на регистрируемом рынке труда в 2019 году характеризовалась увеличением  численности обращений граждан в органы службы занятости, а следовательно и численности  безработных граждан, что явилось следст</w:t>
      </w:r>
      <w:r>
        <w:rPr>
          <w:rFonts w:ascii="Times New Roman" w:hAnsi="Times New Roman"/>
          <w:bCs/>
          <w:iCs/>
          <w:sz w:val="28"/>
          <w:szCs w:val="28"/>
        </w:rPr>
        <w:t xml:space="preserve">вием повышения размеров минимальной и максимальной величин пособия по безработице (с 1 января 2019 года размеры минимальной и максимальной величин пособия по безработице для граждан, признанных в установленном порядке безработными, повысились с 850 до 1500</w:t>
      </w:r>
      <w:r>
        <w:rPr>
          <w:rFonts w:ascii="Times New Roman" w:hAnsi="Times New Roman"/>
          <w:bCs/>
          <w:iCs/>
          <w:sz w:val="28"/>
          <w:szCs w:val="28"/>
        </w:rPr>
        <w:t xml:space="preserve"> рублей и с 4900 до 8000 рублей соответственно, а для безработных граждан </w:t>
      </w:r>
      <w:r>
        <w:rPr>
          <w:rFonts w:ascii="Times New Roman" w:hAnsi="Times New Roman"/>
          <w:bCs/>
          <w:iCs/>
          <w:sz w:val="28"/>
          <w:szCs w:val="28"/>
        </w:rPr>
        <w:t xml:space="preserve">предпенсионного</w:t>
      </w:r>
      <w:r>
        <w:rPr>
          <w:rFonts w:ascii="Times New Roman" w:hAnsi="Times New Roman"/>
          <w:bCs/>
          <w:iCs/>
          <w:sz w:val="28"/>
          <w:szCs w:val="28"/>
        </w:rPr>
        <w:t xml:space="preserve"> возраста размер максимальной величины пособия составил 11280 рублей).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регионе осуществляется реализация мероприятий государственной программы «Содействие занятости населения Астраханской области», направленных на повышение занятости населения, снижение безработицы и напряженности на рынке труда.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Показатель безработицы в течение 2019 года менялся в пределах от 0,8%  до 1,3% от численности рабочей силы. Традиционно наибольший уровень безработицы  - в январе-феврале, минимальное значение сохранялось на </w:t>
      </w:r>
      <w:r>
        <w:rPr>
          <w:rFonts w:ascii="Times New Roman" w:hAnsi="Times New Roman"/>
          <w:bCs/>
          <w:iCs/>
          <w:sz w:val="28"/>
          <w:szCs w:val="28"/>
        </w:rPr>
        <w:t xml:space="preserve">протяжении октября - ноября 2018 года. Среднегодовая численность  безработных граждан составила 5,4 тыс. человек, что на 5% больше, чем в 2018 году. Спрос на рабочую силу в среднем за 2019 год составил более 8,0 тысяч единиц.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2019 году органы службы занятости населения взаимодействовали с 2,4 тыс. работодателей   по подбору необходимых работников.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Количество вакансий, заявленных работодателями в центры занятости населения,  в отчетном году составило 60,7 тысяч. Более 72% всех вакантных рабочих мест заявлено работодателями Астраханской области.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общей потребности в рабочей силе на рынке труда в отчетном году преобладали вакансии по рабочим профессиям, на которые приходилось 75,5% потребности, заявленной работодателями. 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отраслевой структуре спроса на рабочую силу в 2019 году наи</w:t>
      </w:r>
      <w:r>
        <w:rPr>
          <w:rFonts w:ascii="Times New Roman" w:hAnsi="Times New Roman"/>
          <w:bCs/>
          <w:iCs/>
          <w:sz w:val="28"/>
          <w:szCs w:val="28"/>
        </w:rPr>
        <w:t xml:space="preserve">больший удельный вес приходился на сельское, лесное хозяйство, охота, рыболовство и рыбоводство (14,9%),  транспортировку и хранение (13,9%), обрабатывающие производства (12,9%), деятельность административная и сопутствующие дополнительные услуги (10,1%).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Ситуация на регистрируемом рынке труда Астраханской области в 2020  году характеризуется снижением численности безработных граждан, начиная со второй половины февраля 2020 года.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Чи</w:t>
      </w:r>
      <w:r>
        <w:rPr>
          <w:rFonts w:ascii="Times New Roman" w:hAnsi="Times New Roman"/>
          <w:bCs/>
          <w:iCs/>
          <w:sz w:val="28"/>
          <w:szCs w:val="28"/>
        </w:rPr>
        <w:t xml:space="preserve">сленность зарегистрированных безработных  на 1 марта  2020 года составила 6,2 тыс. человек (на 01.03.2019 – 6,6 тыс. чел.), уровень регистрируемой безработицы – 1,2% к численности рабочей силы, что ниже значения показателя на начало марта 2019 года (1,3%).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Банк вакансий, заявленных работодателями в службу занятости, включает  9,8  тыс. свободных мест.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При этом з</w:t>
      </w:r>
      <w:r>
        <w:rPr>
          <w:rFonts w:ascii="Times New Roman" w:hAnsi="Times New Roman"/>
          <w:bCs/>
          <w:iCs/>
          <w:sz w:val="28"/>
          <w:szCs w:val="28"/>
        </w:rPr>
        <w:t xml:space="preserve">аявленные работодателями вакансии не всегда заполняются из-за несоответствия профессиональных качеств лиц, ищущих работу, требованиям, которые предъявляют работодатели, затрудняет трудоустройство на поступающие вак</w:t>
      </w:r>
      <w:r>
        <w:rPr>
          <w:rFonts w:ascii="Times New Roman" w:hAnsi="Times New Roman"/>
          <w:bCs/>
          <w:iCs/>
          <w:sz w:val="28"/>
          <w:szCs w:val="28"/>
        </w:rPr>
        <w:t xml:space="preserve">ансии территориальная разбросанность сельских поселений, отсутствие регулярного транспортного сообщения.  Имеют место отказы безработных граждан от направлений службы занятости из-за неподходящей зарплаты, условий труда, режима и отдаленности места работы.</w:t>
      </w:r>
      <w:r/>
    </w:p>
    <w:p>
      <w:pPr>
        <w:contextualSpacing/>
        <w:ind w:firstLine="709"/>
        <w:jc w:val="both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center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</w:t>
      </w:r>
      <w:r>
        <w:rPr>
          <w:rFonts w:ascii="Times New Roman" w:hAnsi="Times New Roman"/>
          <w:b/>
          <w:sz w:val="28"/>
          <w:szCs w:val="28"/>
        </w:rPr>
        <w:t xml:space="preserve">.1.</w:t>
      </w:r>
      <w:r>
        <w:rPr>
          <w:rFonts w:ascii="Times New Roman" w:hAnsi="Times New Roman"/>
          <w:b/>
          <w:sz w:val="28"/>
          <w:szCs w:val="28"/>
        </w:rPr>
        <w:t xml:space="preserve"> Сельское, лесное хозяйство, охота, рыболовство и рыбоводство</w:t>
      </w:r>
      <w:r/>
    </w:p>
    <w:p>
      <w:pPr>
        <w:ind w:firstLine="709"/>
        <w:jc w:val="center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Объем производства валовой продукции сельского хозяйства</w:t>
      </w:r>
      <w:r>
        <w:rPr>
          <w:rFonts w:ascii="Times New Roman" w:hAnsi="Times New Roman"/>
          <w:iCs/>
          <w:sz w:val="28"/>
          <w:szCs w:val="28"/>
        </w:rPr>
        <w:t xml:space="preserve"> в 2019 году составил 46 289,3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млн</w:t>
      </w:r>
      <w:r>
        <w:rPr>
          <w:rFonts w:ascii="Times New Roman" w:hAnsi="Times New Roman"/>
          <w:iCs/>
          <w:sz w:val="28"/>
          <w:szCs w:val="28"/>
        </w:rPr>
        <w:t xml:space="preserve"> руб. (101,8% к уровню 2018 года). В сельском хозяйстве используются технологии капельного орошения, происходит развитие семеноводства, использование научно-обоснованных норм внесения минеральных удобрений и средств защиты растений.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За январь-декабрь 2019 года в хозяйствах всех категорий Астраханской области собрано 40,9 тыс. тонн зерна (115,3% к уровню 2018 года), картофеля – 354,9 тыс. тонн (106,6%), овощей – 1 362,1 тыс. тонн (105,6%), бахчевых – 322,5 тыс. тонн (102,8%).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 01.01.2020 в хозяйствах всех категорий поголовье крупного рогатого скота составило – 294,1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тыс. голов (100,1% к уровню 2018 года), в том числе коров – </w:t>
      </w:r>
      <w:r>
        <w:rPr>
          <w:rFonts w:ascii="Times New Roman" w:hAnsi="Times New Roman"/>
          <w:bCs/>
          <w:sz w:val="28"/>
          <w:szCs w:val="28"/>
        </w:rPr>
        <w:t xml:space="preserve">156,2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тыс. голов (100,0%), свиней – 3,0 тыс. голов (44,0%), овец и коз – 1 408,3 тыс. голов (100,3%).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За 2019 год в хозяйствах всех категорий Астраханской области производство скота и птицы на убой в живом весе составило 72,4 тыс. тонн (100,8% к уровню 2018 года), молока – 177,1 тыс. тонн (100,5%), яиц – 410,1 </w:t>
      </w:r>
      <w:r>
        <w:rPr>
          <w:rFonts w:ascii="Times New Roman" w:hAnsi="Times New Roman"/>
          <w:iCs/>
          <w:sz w:val="28"/>
          <w:szCs w:val="28"/>
        </w:rPr>
        <w:t xml:space="preserve">млн</w:t>
      </w:r>
      <w:r>
        <w:rPr>
          <w:rFonts w:ascii="Times New Roman" w:hAnsi="Times New Roman"/>
          <w:iCs/>
          <w:sz w:val="28"/>
          <w:szCs w:val="28"/>
        </w:rPr>
        <w:t xml:space="preserve"> штук (107,0%).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снижения себестоимости сельхозпродукции и повышения ее конкурентоспособности осуществляется разв</w:t>
      </w:r>
      <w:r>
        <w:rPr>
          <w:rFonts w:ascii="Times New Roman" w:hAnsi="Times New Roman"/>
          <w:sz w:val="28"/>
          <w:szCs w:val="28"/>
        </w:rPr>
        <w:t xml:space="preserve">итие высокотехнологичного парка уборочной техники, строительство  и модернизация овощехранилищ для формирования комплексной системы заготовки, хранения, предпродажной подготовки и реализации растениеводческой продукции. Будет расширена сеть овощехранилищ.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 xml:space="preserve">рыбоперерабатывающего</w:t>
      </w:r>
      <w:r>
        <w:rPr>
          <w:rFonts w:ascii="Times New Roman" w:hAnsi="Times New Roman"/>
          <w:sz w:val="28"/>
          <w:szCs w:val="28"/>
        </w:rPr>
        <w:t xml:space="preserve"> кластера Астраханской области направлено на создание замкнутой системы «выращивание - переработка – сбыт», создание новых перерабатывающих производств и технологическое переоснащение действующих.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целом, согласно Прогнозу, объем потребности рынка труда в сельском и лесном хозяйствах в специалистах всех уровней профессионального  образования в ближайшие 7 лет  составит 343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человека (таблица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).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 xml:space="preserve">2</w:t>
      </w:r>
      <w:r/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851"/>
        <w:gridCol w:w="698"/>
        <w:gridCol w:w="719"/>
        <w:gridCol w:w="709"/>
        <w:gridCol w:w="709"/>
        <w:gridCol w:w="708"/>
        <w:gridCol w:w="1701"/>
      </w:tblGrid>
      <w:tr>
        <w:trPr>
          <w:trHeight w:val="315"/>
        </w:trPr>
        <w:tc>
          <w:tcPr>
            <w:gridSpan w:val="9"/>
            <w:shd w:val="clear" w:color="auto" w:fill="auto"/>
            <w:tcW w:w="974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Потребность в  кадрах, чел.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W w:w="2660" w:type="dxa"/>
            <w:vAlign w:val="center"/>
            <w:vMerge w:val="restart"/>
            <w:textDirection w:val="lrTb"/>
            <w:noWrap/>
          </w:tcPr>
          <w:p>
            <w:pPr>
              <w:ind w:left="-142" w:right="-10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Сельское, лесное хозяйство, охота, рыболовство и рыбоводство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</w:t>
            </w:r>
            <w:r/>
          </w:p>
        </w:tc>
        <w:tc>
          <w:tcPr>
            <w:shd w:val="clear" w:color="auto" w:fill="auto"/>
            <w:tcW w:w="698" w:type="dxa"/>
            <w:textDirection w:val="lrTb"/>
            <w:noWrap w:val="false"/>
          </w:tcPr>
          <w:p>
            <w:pPr>
              <w:jc w:val="center"/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</w:t>
            </w:r>
            <w:r/>
          </w:p>
        </w:tc>
        <w:tc>
          <w:tcPr>
            <w:shd w:val="clear" w:color="auto" w:fill="auto"/>
            <w:tcW w:w="719" w:type="dxa"/>
            <w:textDirection w:val="lrTb"/>
            <w:noWrap w:val="false"/>
          </w:tcPr>
          <w:p>
            <w:pPr>
              <w:jc w:val="center"/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/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</w:t>
            </w:r>
            <w:r/>
          </w:p>
          <w:p>
            <w:pPr>
              <w:jc w:val="center"/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2020-2026</w:t>
            </w:r>
            <w:r/>
          </w:p>
        </w:tc>
      </w:tr>
      <w:tr>
        <w:trPr>
          <w:trHeight w:val="739"/>
        </w:trPr>
        <w:tc>
          <w:tcPr>
            <w:shd w:val="clear" w:color="auto" w:fill="auto"/>
            <w:tcW w:w="266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695</w:t>
            </w:r>
            <w:r/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699</w:t>
            </w:r>
            <w:r/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522</w:t>
            </w:r>
            <w:r/>
          </w:p>
        </w:tc>
        <w:tc>
          <w:tcPr>
            <w:shd w:val="clear" w:color="auto" w:fill="auto"/>
            <w:tcW w:w="71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506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522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252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240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первую очередь организации сельского и лесного хозяйств испытывают потребность в квалифицированных рабочих с начальным уровнем профессио</w:t>
      </w:r>
      <w:r>
        <w:rPr>
          <w:rFonts w:ascii="Times New Roman" w:hAnsi="Times New Roman"/>
          <w:sz w:val="28"/>
          <w:szCs w:val="28"/>
        </w:rPr>
        <w:t xml:space="preserve">нального образования (наиболее востребованы овощеводы, операторы машинного доения, животноводы, трактористы-машинисты, рыбоводы, рыбаки, рыбоводы, технологи рыбного производства, капитаны маломерных судов, рабочие сельскохозяйственного производства и пр.).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Среди  работников  с  высшим  профессиональным  образованием востребованы ветеринарные врачи, агрономы, инженеры по отрасли, зоотехники.</w:t>
      </w:r>
      <w: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7.2. </w:t>
      </w:r>
      <w:r>
        <w:rPr>
          <w:rFonts w:ascii="Times New Roman" w:hAnsi="Times New Roman"/>
          <w:b/>
          <w:sz w:val="28"/>
          <w:szCs w:val="28"/>
        </w:rPr>
        <w:t xml:space="preserve">Добыча полезных ископаемых</w:t>
      </w:r>
      <w:r/>
    </w:p>
    <w:p>
      <w:pPr>
        <w:jc w:val="center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добыче полезных ископаемых индекс промышленного производства в январе-декабре 2019 года сложился на уровне 102,6%, положительная динамика зафиксирована в следующих отраслях: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по добыче сырой нефти и природного газа </w:t>
      </w:r>
      <w:r>
        <w:rPr>
          <w:rFonts w:ascii="Times New Roman" w:hAnsi="Times New Roman"/>
          <w:sz w:val="28"/>
          <w:szCs w:val="28"/>
        </w:rPr>
        <w:t xml:space="preserve">рост объемов производства за январь-декабрь 2019 года на 6,2% достигнут</w:t>
      </w:r>
      <w:r>
        <w:rPr>
          <w:rFonts w:ascii="Times New Roman" w:hAnsi="Times New Roman"/>
          <w:sz w:val="28"/>
          <w:szCs w:val="28"/>
        </w:rPr>
        <w:t xml:space="preserve"> за счет увеличения объема добычи нефти на месторождении им. В. </w:t>
      </w:r>
      <w:r>
        <w:rPr>
          <w:rFonts w:ascii="Times New Roman" w:hAnsi="Times New Roman"/>
          <w:sz w:val="28"/>
          <w:szCs w:val="28"/>
        </w:rPr>
        <w:t xml:space="preserve">Филановского</w:t>
      </w:r>
      <w:r>
        <w:rPr>
          <w:rFonts w:ascii="Times New Roman" w:hAnsi="Times New Roman"/>
          <w:sz w:val="28"/>
          <w:szCs w:val="28"/>
        </w:rPr>
        <w:t xml:space="preserve">. Кроме того, продолжается реализация проекта освоения месторождения им. Корчагина, двух инвестиционных проектов по подключению дополнительных скважин к существующим мощностям и реконструкции промысловых объектов н</w:t>
      </w:r>
      <w:r>
        <w:rPr>
          <w:rFonts w:ascii="Times New Roman" w:hAnsi="Times New Roman"/>
          <w:sz w:val="28"/>
          <w:szCs w:val="28"/>
        </w:rPr>
        <w:t xml:space="preserve">а ООО</w:t>
      </w:r>
      <w:r>
        <w:rPr>
          <w:rFonts w:ascii="Times New Roman" w:hAnsi="Times New Roman"/>
          <w:sz w:val="28"/>
          <w:szCs w:val="28"/>
        </w:rPr>
        <w:t xml:space="preserve"> «Газпром добыча Астрахань»;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по добыче сырой нефти и нефтяного (попутного) газа индекс производства увеличился на 6,5% за январь-декабрь 2019 года по сравнению с уровнем предыдущего года;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по добыче природного газа и газового конденсата индекс производства увеличился на 2,4% за январь-декабрь 2019 года по сравнению с уровнем предыдущего года;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по добыче прочих полезных ископаемых зафиксирован рост на 24,4%, главным образом за счет увеличения добычи соли на 35%</w:t>
      </w:r>
      <w:r>
        <w:rPr>
          <w:rFonts w:ascii="Times New Roman" w:hAnsi="Times New Roman"/>
          <w:sz w:val="28"/>
          <w:szCs w:val="28"/>
        </w:rPr>
        <w:t xml:space="preserve"> (таблица 3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 xml:space="preserve">3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709"/>
        <w:gridCol w:w="851"/>
        <w:gridCol w:w="850"/>
        <w:gridCol w:w="709"/>
        <w:gridCol w:w="709"/>
        <w:gridCol w:w="708"/>
        <w:gridCol w:w="1701"/>
      </w:tblGrid>
      <w:tr>
        <w:trPr>
          <w:trHeight w:val="315"/>
        </w:trPr>
        <w:tc>
          <w:tcPr>
            <w:gridSpan w:val="9"/>
            <w:shd w:val="clear" w:color="auto" w:fill="auto"/>
            <w:tcW w:w="974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Потребность в  кадрах, чел.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W w:w="266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Добыча полезных ископаемых</w:t>
            </w:r>
            <w:r/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</w:t>
            </w:r>
            <w:r/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</w:t>
            </w:r>
            <w:r/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2020-2026</w:t>
            </w:r>
            <w:r/>
          </w:p>
        </w:tc>
      </w:tr>
      <w:tr>
        <w:trPr>
          <w:trHeight w:val="739"/>
        </w:trPr>
        <w:tc>
          <w:tcPr>
            <w:shd w:val="clear" w:color="auto" w:fill="auto"/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/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/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159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Обрабатывающие производства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промышленном секторе экономики за текущий период произошло увеличение индекса промышленного производства на 2,6%.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 производства в промышленном секторе экономике достигнут</w:t>
      </w:r>
      <w:r>
        <w:rPr>
          <w:rFonts w:ascii="Times New Roman" w:hAnsi="Times New Roman"/>
          <w:sz w:val="28"/>
          <w:szCs w:val="28"/>
        </w:rPr>
        <w:t xml:space="preserve"> благодаря увеличению объемов производства по виду экономической деятельности: «Обрабатывающие производства», индекс </w:t>
      </w:r>
      <w:r>
        <w:rPr>
          <w:rFonts w:ascii="Times New Roman" w:hAnsi="Times New Roman"/>
          <w:sz w:val="28"/>
          <w:szCs w:val="28"/>
        </w:rPr>
        <w:t xml:space="preserve">производства</w:t>
      </w:r>
      <w:r>
        <w:rPr>
          <w:rFonts w:ascii="Times New Roman" w:hAnsi="Times New Roman"/>
          <w:sz w:val="28"/>
          <w:szCs w:val="28"/>
        </w:rPr>
        <w:t xml:space="preserve"> по которому за январь-декабрь 2019 года увеличился на 5,7% по отношению к уровню 2018 года, в том числе: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производство пищевых продуктов – на 8,1%;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производство текстильных изделий – 6%;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производство кожи и изделий из кожи – на 20,1%;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производство бумаги и бумажных изделий – на 7,1%;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производство кокса и нефтепродуктов – на 15,3%;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производство химических веществ и химических продуктов – на 3%;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производство прочей неметаллической минеральной продукции – на 1,9%;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производство электрического оборудования – в 3,6 р.;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ремонт и монтаж машин и оборудования – на 34,8%.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оценке работодателей, общий объем потребности в  специалистах различных уровней профессионального образования для </w:t>
      </w:r>
      <w:r>
        <w:rPr>
          <w:rFonts w:ascii="Times New Roman" w:hAnsi="Times New Roman"/>
          <w:sz w:val="28"/>
          <w:szCs w:val="28"/>
        </w:rPr>
        <w:t xml:space="preserve">промышленности в период 20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-202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годы составит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1612</w:t>
      </w:r>
      <w:r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 xml:space="preserve"> (таблица 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 xml:space="preserve">4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851"/>
        <w:gridCol w:w="698"/>
        <w:gridCol w:w="719"/>
        <w:gridCol w:w="709"/>
        <w:gridCol w:w="709"/>
        <w:gridCol w:w="708"/>
        <w:gridCol w:w="1701"/>
      </w:tblGrid>
      <w:tr>
        <w:trPr>
          <w:trHeight w:val="315"/>
        </w:trPr>
        <w:tc>
          <w:tcPr>
            <w:gridSpan w:val="9"/>
            <w:shd w:val="clear" w:color="auto" w:fill="auto"/>
            <w:tcW w:w="974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Потребность в  кадрах, чел.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W w:w="266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Обрабатывающие производства</w:t>
            </w:r>
            <w:r/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</w:t>
            </w:r>
            <w:r/>
          </w:p>
        </w:tc>
        <w:tc>
          <w:tcPr>
            <w:shd w:val="clear" w:color="auto" w:fill="auto"/>
            <w:tcW w:w="6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</w:t>
            </w:r>
            <w:r/>
          </w:p>
        </w:tc>
        <w:tc>
          <w:tcPr>
            <w:shd w:val="clear" w:color="auto" w:fill="auto"/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/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2020-2026</w:t>
            </w:r>
            <w:r/>
          </w:p>
        </w:tc>
      </w:tr>
      <w:tr>
        <w:trPr>
          <w:trHeight w:val="739"/>
        </w:trPr>
        <w:tc>
          <w:tcPr>
            <w:shd w:val="clear" w:color="auto" w:fill="auto"/>
            <w:tcW w:w="266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384</w:t>
            </w:r>
            <w:r/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178</w:t>
            </w:r>
            <w:r/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174</w:t>
            </w:r>
            <w:r/>
          </w:p>
        </w:tc>
        <w:tc>
          <w:tcPr>
            <w:shd w:val="clear" w:color="auto" w:fill="auto"/>
            <w:tcW w:w="71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208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219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229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1612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7.4 Обеспечение электрической энергией, газом и паром; кондиционирование воздуха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производства по виду деятельности «Обеспечение электрической энергией, газом и паром; кондиционирование» снизились на 2,5% по отношению к уровню 2018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 xml:space="preserve">5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851"/>
        <w:gridCol w:w="698"/>
        <w:gridCol w:w="719"/>
        <w:gridCol w:w="709"/>
        <w:gridCol w:w="709"/>
        <w:gridCol w:w="708"/>
        <w:gridCol w:w="1701"/>
      </w:tblGrid>
      <w:tr>
        <w:trPr>
          <w:trHeight w:val="315"/>
        </w:trPr>
        <w:tc>
          <w:tcPr>
            <w:gridSpan w:val="9"/>
            <w:shd w:val="clear" w:color="auto" w:fill="auto"/>
            <w:tcW w:w="974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Потребность в  кадрах, чел.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W w:w="266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электрической энергией, газом и паром; кондиционирование воздуха</w:t>
            </w:r>
            <w:r/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</w:t>
            </w:r>
            <w:r/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</w:t>
            </w:r>
            <w:r/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</w:t>
            </w:r>
            <w:r/>
          </w:p>
        </w:tc>
        <w:tc>
          <w:tcPr>
            <w:shd w:val="clear" w:color="auto" w:fill="auto"/>
            <w:tcW w:w="7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2020-2026</w:t>
            </w:r>
            <w:r/>
          </w:p>
        </w:tc>
      </w:tr>
      <w:tr>
        <w:trPr>
          <w:trHeight w:val="739"/>
        </w:trPr>
        <w:tc>
          <w:tcPr>
            <w:shd w:val="clear" w:color="auto" w:fill="auto"/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157</w:t>
            </w:r>
            <w:r/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</w:t>
            </w:r>
            <w:r/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136</w:t>
            </w:r>
            <w:r/>
          </w:p>
        </w:tc>
        <w:tc>
          <w:tcPr>
            <w:shd w:val="clear" w:color="auto" w:fill="auto"/>
            <w:tcW w:w="71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131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130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132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127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963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данных</w:t>
      </w:r>
      <w:r>
        <w:rPr>
          <w:rFonts w:ascii="Times New Roman" w:hAnsi="Times New Roman"/>
          <w:sz w:val="28"/>
          <w:szCs w:val="28"/>
        </w:rPr>
        <w:t xml:space="preserve"> в опрошенных организациях указанной сферы, потребность в кадрах на период до 2026 года ожидается на уровне 963 человек – 5,9% от общей потребности рынка труда в кадрах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Таблица 5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jc w:val="center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7.5 Обеспечение электрической энергией, газом и паром; кондиционирование воздуха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производства по виду деятельности «Водоснабжение; водоотведение, орг</w:t>
      </w:r>
      <w:r>
        <w:rPr>
          <w:rFonts w:ascii="Times New Roman" w:hAnsi="Times New Roman"/>
          <w:sz w:val="28"/>
          <w:szCs w:val="28"/>
        </w:rPr>
        <w:t xml:space="preserve">анизация сбора и утилизации отходов, деятельность по ликвидации загрязнений» снижены на 14,8% преимущественно из-за сокращения объемов предоставления услуг в области ликвидации последствий загрязнений и прочих услуг, связанных с удалением отходов на 63,1%.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 xml:space="preserve">6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851"/>
        <w:gridCol w:w="698"/>
        <w:gridCol w:w="719"/>
        <w:gridCol w:w="709"/>
        <w:gridCol w:w="709"/>
        <w:gridCol w:w="708"/>
        <w:gridCol w:w="1701"/>
      </w:tblGrid>
      <w:tr>
        <w:trPr>
          <w:trHeight w:val="315"/>
        </w:trPr>
        <w:tc>
          <w:tcPr>
            <w:gridSpan w:val="9"/>
            <w:shd w:val="clear" w:color="auto" w:fill="auto"/>
            <w:tcW w:w="974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Потребность в  кадрах, чел.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W w:w="266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электрической энергией, газом и паром; кондиционирование воздуха</w:t>
            </w:r>
            <w:r/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</w:t>
            </w:r>
            <w:r/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</w:t>
            </w:r>
            <w:r/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</w:t>
            </w:r>
            <w:r/>
          </w:p>
        </w:tc>
        <w:tc>
          <w:tcPr>
            <w:shd w:val="clear" w:color="auto" w:fill="auto"/>
            <w:tcW w:w="7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2020-2026</w:t>
            </w:r>
            <w:r/>
          </w:p>
        </w:tc>
      </w:tr>
      <w:tr>
        <w:trPr>
          <w:trHeight w:val="739"/>
        </w:trPr>
        <w:tc>
          <w:tcPr>
            <w:shd w:val="clear" w:color="auto" w:fill="auto"/>
            <w:tcW w:w="26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</w:t>
            </w:r>
            <w:r/>
          </w:p>
        </w:tc>
        <w:tc>
          <w:tcPr>
            <w:shd w:val="clear" w:color="auto" w:fill="auto"/>
            <w:tcW w:w="85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</w:t>
            </w:r>
            <w:r/>
          </w:p>
        </w:tc>
        <w:tc>
          <w:tcPr>
            <w:shd w:val="clear" w:color="auto" w:fill="auto"/>
            <w:tcW w:w="69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53</w:t>
            </w:r>
            <w:r/>
          </w:p>
        </w:tc>
        <w:tc>
          <w:tcPr>
            <w:shd w:val="clear" w:color="auto" w:fill="auto"/>
            <w:tcW w:w="71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53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335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ближайшие семь лет, с учетом перспектив развития отрасли, потребность </w:t>
      </w:r>
      <w:r>
        <w:rPr>
          <w:rFonts w:ascii="Times New Roman" w:hAnsi="Times New Roman"/>
          <w:sz w:val="28"/>
          <w:szCs w:val="28"/>
        </w:rPr>
        <w:t xml:space="preserve">опрошенных </w:t>
      </w:r>
      <w:r>
        <w:rPr>
          <w:rFonts w:ascii="Times New Roman" w:hAnsi="Times New Roman"/>
          <w:sz w:val="28"/>
          <w:szCs w:val="28"/>
        </w:rPr>
        <w:t xml:space="preserve">организаций </w:t>
      </w:r>
      <w:r>
        <w:rPr>
          <w:rFonts w:ascii="Times New Roman" w:hAnsi="Times New Roman"/>
          <w:sz w:val="28"/>
          <w:szCs w:val="28"/>
        </w:rPr>
        <w:t xml:space="preserve">отрасли Обеспечение электрической энергией, газом и паром; кондиционирование воздуха</w:t>
      </w:r>
      <w:r>
        <w:rPr>
          <w:rFonts w:ascii="Times New Roman" w:hAnsi="Times New Roman"/>
          <w:sz w:val="28"/>
          <w:szCs w:val="28"/>
        </w:rPr>
        <w:t xml:space="preserve"> в кадрах составит </w:t>
      </w:r>
      <w:r>
        <w:rPr>
          <w:rFonts w:ascii="Times New Roman" w:hAnsi="Times New Roman"/>
          <w:sz w:val="28"/>
          <w:szCs w:val="28"/>
        </w:rPr>
        <w:t xml:space="preserve">335</w:t>
      </w:r>
      <w:r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 xml:space="preserve">6)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Строительство</w:t>
      </w:r>
      <w:r/>
    </w:p>
    <w:p>
      <w:pPr>
        <w:jc w:val="center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работ, выполненных по виду деятельности «Строительство», за январь-декабрь 2019 года составил 23 059,1 </w:t>
      </w:r>
      <w:r>
        <w:rPr>
          <w:rFonts w:ascii="Times New Roman" w:hAnsi="Times New Roman"/>
          <w:sz w:val="28"/>
          <w:szCs w:val="28"/>
        </w:rPr>
        <w:t xml:space="preserve">млн</w:t>
      </w:r>
      <w:r>
        <w:rPr>
          <w:rFonts w:ascii="Times New Roman" w:hAnsi="Times New Roman"/>
          <w:sz w:val="28"/>
          <w:szCs w:val="28"/>
        </w:rPr>
        <w:t xml:space="preserve"> рублей или 51,4% от уровня соответствующего периода предыдущего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январе - декабре 2019 года организациями всех форм собственности и индивидуальными застройщиками введено жилье общей площадью 317,8 тыс. м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, что составляет 96,8% от уровня января-декабря 2018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строительства потребность в кадрах на прогнозируемый период составит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0,4</w:t>
      </w:r>
      <w:r>
        <w:rPr>
          <w:rFonts w:ascii="Times New Roman" w:hAnsi="Times New Roman"/>
          <w:sz w:val="28"/>
          <w:szCs w:val="28"/>
        </w:rPr>
        <w:t xml:space="preserve">% от общей потребности в квалифицированных кадрах.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прогнозу, потребность орга</w:t>
      </w:r>
      <w:r>
        <w:rPr>
          <w:rFonts w:ascii="Times New Roman" w:hAnsi="Times New Roman"/>
          <w:sz w:val="28"/>
          <w:szCs w:val="28"/>
        </w:rPr>
        <w:t xml:space="preserve">низаций данной отрасли составит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человек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 xml:space="preserve">7)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 xml:space="preserve">7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851"/>
        <w:gridCol w:w="708"/>
        <w:gridCol w:w="851"/>
        <w:gridCol w:w="850"/>
        <w:gridCol w:w="709"/>
        <w:gridCol w:w="709"/>
        <w:gridCol w:w="1984"/>
      </w:tblGrid>
      <w:tr>
        <w:trPr>
          <w:trHeight w:val="315"/>
        </w:trPr>
        <w:tc>
          <w:tcPr>
            <w:gridSpan w:val="9"/>
            <w:shd w:val="clear" w:color="auto" w:fill="auto"/>
            <w:tcW w:w="974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Потребность в  кадрах, чел.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W w:w="2235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</w:t>
            </w:r>
            <w:r/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2020-2026</w:t>
            </w:r>
            <w:r/>
          </w:p>
        </w:tc>
      </w:tr>
      <w:tr>
        <w:trPr>
          <w:trHeight w:val="524"/>
        </w:trPr>
        <w:tc>
          <w:tcPr>
            <w:shd w:val="clear" w:color="auto" w:fill="auto"/>
            <w:tcW w:w="223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/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59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7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Деятельность в области здравоохранения и социальных услуг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Сфера «</w:t>
      </w:r>
      <w:r>
        <w:rPr>
          <w:rFonts w:ascii="Times New Roman" w:hAnsi="Times New Roman"/>
          <w:sz w:val="28"/>
          <w:szCs w:val="28"/>
        </w:rPr>
        <w:t xml:space="preserve">Деятельность в области здравоохранения и социальных услуг</w:t>
      </w:r>
      <w:r>
        <w:rPr>
          <w:rFonts w:ascii="Times New Roman" w:hAnsi="Times New Roman"/>
          <w:sz w:val="28"/>
          <w:szCs w:val="28"/>
        </w:rPr>
        <w:t xml:space="preserve">» – это первая по численности отрасль экономики, где требуются квалифицированные кадры. </w:t>
      </w:r>
      <w:r>
        <w:rPr>
          <w:rFonts w:ascii="Times New Roman" w:hAnsi="Times New Roman"/>
          <w:sz w:val="28"/>
          <w:szCs w:val="28"/>
        </w:rPr>
        <w:t xml:space="preserve">Результаты опроса показывают, что в ближайшие семь лет, с учетом перспектив развития отрасли, пот</w:t>
      </w:r>
      <w:r>
        <w:rPr>
          <w:rFonts w:ascii="Times New Roman" w:hAnsi="Times New Roman"/>
          <w:sz w:val="28"/>
          <w:szCs w:val="28"/>
        </w:rPr>
        <w:t xml:space="preserve">ребность организаций здравоохранения  </w:t>
      </w:r>
      <w:r>
        <w:rPr>
          <w:rFonts w:ascii="Times New Roman" w:hAnsi="Times New Roman"/>
          <w:sz w:val="28"/>
          <w:szCs w:val="28"/>
        </w:rPr>
        <w:t xml:space="preserve"> в кадрах составит </w:t>
      </w:r>
      <w:r>
        <w:rPr>
          <w:rFonts w:ascii="Times New Roman" w:hAnsi="Times New Roman"/>
          <w:sz w:val="28"/>
          <w:szCs w:val="28"/>
        </w:rPr>
        <w:t xml:space="preserve">41</w:t>
      </w:r>
      <w:r>
        <w:rPr>
          <w:rFonts w:ascii="Times New Roman" w:hAnsi="Times New Roman"/>
          <w:sz w:val="28"/>
          <w:szCs w:val="28"/>
        </w:rPr>
        <w:t xml:space="preserve">50</w:t>
      </w:r>
      <w:r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общем объеме потребностей рынка труда доля необходимых кадров для обеспечения отрасли составляет </w:t>
      </w:r>
      <w:r>
        <w:rPr>
          <w:rFonts w:ascii="Times New Roman" w:hAnsi="Times New Roman"/>
          <w:sz w:val="28"/>
          <w:szCs w:val="28"/>
        </w:rPr>
        <w:t xml:space="preserve">25,4</w:t>
      </w:r>
      <w:r>
        <w:rPr>
          <w:rFonts w:ascii="Times New Roman" w:hAnsi="Times New Roman"/>
          <w:sz w:val="28"/>
          <w:szCs w:val="28"/>
        </w:rPr>
        <w:t xml:space="preserve">%, в том числе по годам</w:t>
      </w:r>
      <w:r>
        <w:rPr>
          <w:rFonts w:ascii="Times New Roman" w:hAnsi="Times New Roman"/>
          <w:sz w:val="28"/>
          <w:szCs w:val="28"/>
        </w:rPr>
        <w:t xml:space="preserve"> (таблица 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 xml:space="preserve">8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851"/>
        <w:gridCol w:w="709"/>
        <w:gridCol w:w="708"/>
        <w:gridCol w:w="709"/>
        <w:gridCol w:w="709"/>
        <w:gridCol w:w="709"/>
        <w:gridCol w:w="1842"/>
      </w:tblGrid>
      <w:tr>
        <w:trPr>
          <w:trHeight w:val="315"/>
        </w:trPr>
        <w:tc>
          <w:tcPr>
            <w:gridSpan w:val="9"/>
            <w:shd w:val="clear" w:color="auto" w:fill="auto"/>
            <w:tcW w:w="974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Потребность в  кадрах, чел.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W w:w="266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в области здравоохранения и социальных услуг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</w:t>
            </w:r>
            <w:r/>
          </w:p>
        </w:tc>
        <w:tc>
          <w:tcPr>
            <w:shd w:val="clear" w:color="auto" w:fill="auto"/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/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2020-2026</w:t>
            </w:r>
            <w:r/>
          </w:p>
        </w:tc>
      </w:tr>
      <w:tr>
        <w:trPr>
          <w:trHeight w:val="352"/>
        </w:trPr>
        <w:tc>
          <w:tcPr>
            <w:shd w:val="clear" w:color="auto" w:fill="auto"/>
            <w:tcW w:w="266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1098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487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518</w:t>
            </w:r>
            <w:r/>
          </w:p>
        </w:tc>
        <w:tc>
          <w:tcPr>
            <w:shd w:val="clear" w:color="auto" w:fill="auto"/>
            <w:tcW w:w="708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466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416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754</w:t>
            </w:r>
            <w:r/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50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Основную долю потребности формируют специалисты с</w:t>
      </w:r>
      <w:r>
        <w:rPr>
          <w:rFonts w:ascii="Times New Roman" w:hAnsi="Times New Roman"/>
          <w:sz w:val="28"/>
          <w:szCs w:val="28"/>
        </w:rPr>
        <w:t xml:space="preserve"> высшим</w:t>
      </w:r>
      <w:r>
        <w:rPr>
          <w:rFonts w:ascii="Times New Roman" w:hAnsi="Times New Roman"/>
          <w:sz w:val="28"/>
          <w:szCs w:val="28"/>
        </w:rPr>
        <w:t xml:space="preserve"> профессиональным образованием</w:t>
      </w:r>
      <w:r>
        <w:rPr>
          <w:rFonts w:ascii="Times New Roman" w:hAnsi="Times New Roman"/>
          <w:sz w:val="28"/>
          <w:szCs w:val="28"/>
        </w:rPr>
        <w:t xml:space="preserve">: врачи, инженеры</w:t>
      </w:r>
      <w:r>
        <w:rPr>
          <w:rFonts w:ascii="Times New Roman" w:hAnsi="Times New Roman"/>
          <w:sz w:val="28"/>
          <w:szCs w:val="28"/>
        </w:rPr>
        <w:t xml:space="preserve">, социальные педагоги, </w:t>
      </w:r>
      <w:r>
        <w:rPr>
          <w:rFonts w:ascii="Times New Roman" w:hAnsi="Times New Roman"/>
          <w:sz w:val="28"/>
          <w:szCs w:val="28"/>
        </w:rPr>
        <w:t xml:space="preserve">также будет необходим </w:t>
      </w:r>
      <w:r>
        <w:rPr>
          <w:rFonts w:ascii="Times New Roman" w:hAnsi="Times New Roman"/>
          <w:sz w:val="28"/>
          <w:szCs w:val="28"/>
        </w:rPr>
        <w:t xml:space="preserve">медицинский персонал</w:t>
      </w:r>
      <w:r>
        <w:rPr>
          <w:rFonts w:ascii="Times New Roman" w:hAnsi="Times New Roman"/>
          <w:sz w:val="28"/>
          <w:szCs w:val="28"/>
        </w:rPr>
        <w:t xml:space="preserve"> со средним специальным образованием</w:t>
      </w:r>
      <w:r>
        <w:rPr>
          <w:rFonts w:ascii="Times New Roman" w:hAnsi="Times New Roman"/>
          <w:sz w:val="28"/>
          <w:szCs w:val="28"/>
        </w:rPr>
        <w:t xml:space="preserve">, социальные работники.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8</w:t>
      </w:r>
      <w:r>
        <w:rPr>
          <w:rFonts w:ascii="Times New Roman" w:hAnsi="Times New Roman"/>
          <w:b/>
          <w:sz w:val="28"/>
          <w:szCs w:val="28"/>
        </w:rPr>
        <w:t xml:space="preserve">. Образование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опросу организаций сферы образования, потребность в кадрах на период</w:t>
      </w:r>
      <w:r>
        <w:rPr>
          <w:rFonts w:ascii="Times New Roman" w:hAnsi="Times New Roman"/>
          <w:sz w:val="28"/>
          <w:szCs w:val="28"/>
        </w:rPr>
        <w:t xml:space="preserve"> до 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года оценивается в </w:t>
      </w:r>
      <w:r>
        <w:rPr>
          <w:rFonts w:ascii="Times New Roman" w:hAnsi="Times New Roman"/>
          <w:sz w:val="28"/>
          <w:szCs w:val="28"/>
        </w:rPr>
        <w:t xml:space="preserve">282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человек </w:t>
      </w:r>
      <w:r>
        <w:rPr>
          <w:rFonts w:ascii="Times New Roman" w:hAnsi="Times New Roman"/>
          <w:sz w:val="28"/>
          <w:szCs w:val="28"/>
        </w:rPr>
        <w:t xml:space="preserve">порядка </w:t>
      </w:r>
      <w:r>
        <w:rPr>
          <w:rFonts w:ascii="Times New Roman" w:hAnsi="Times New Roman"/>
          <w:sz w:val="28"/>
          <w:szCs w:val="28"/>
        </w:rPr>
        <w:t xml:space="preserve">17,3</w:t>
      </w:r>
      <w:r>
        <w:rPr>
          <w:rFonts w:ascii="Times New Roman" w:hAnsi="Times New Roman"/>
          <w:sz w:val="28"/>
          <w:szCs w:val="28"/>
        </w:rPr>
        <w:t xml:space="preserve">% от общей потребности рынка труда в кадрах</w:t>
      </w:r>
      <w:r>
        <w:rPr>
          <w:rFonts w:ascii="Times New Roman" w:hAnsi="Times New Roman"/>
          <w:sz w:val="28"/>
          <w:szCs w:val="28"/>
        </w:rPr>
        <w:t xml:space="preserve"> (таблица 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 xml:space="preserve">9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02"/>
        <w:gridCol w:w="850"/>
        <w:gridCol w:w="709"/>
        <w:gridCol w:w="709"/>
        <w:gridCol w:w="708"/>
        <w:gridCol w:w="818"/>
        <w:gridCol w:w="696"/>
        <w:gridCol w:w="898"/>
        <w:gridCol w:w="1557"/>
      </w:tblGrid>
      <w:tr>
        <w:trPr>
          <w:trHeight w:val="315"/>
        </w:trPr>
        <w:tc>
          <w:tcPr>
            <w:gridSpan w:val="9"/>
            <w:shd w:val="clear" w:color="auto" w:fill="auto"/>
            <w:tcW w:w="974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Потребность в  кадрах, чел.</w:t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W w:w="280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</w:t>
            </w:r>
            <w:r/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/>
          </w:p>
        </w:tc>
        <w:tc>
          <w:tcPr>
            <w:shd w:val="clear" w:color="auto" w:fill="auto"/>
            <w:tcW w:w="8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/>
          </w:p>
        </w:tc>
        <w:tc>
          <w:tcPr>
            <w:shd w:val="clear" w:color="auto" w:fill="auto"/>
            <w:tcW w:w="6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/>
          </w:p>
        </w:tc>
        <w:tc>
          <w:tcPr>
            <w:shd w:val="clear" w:color="auto" w:fill="auto"/>
            <w:tcW w:w="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/>
          </w:p>
        </w:tc>
        <w:tc>
          <w:tcPr>
            <w:shd w:val="clear" w:color="auto" w:fill="auto"/>
            <w:tcW w:w="15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2020-2026</w:t>
            </w:r>
            <w:r/>
          </w:p>
        </w:tc>
      </w:tr>
      <w:tr>
        <w:trPr>
          <w:trHeight w:val="725"/>
        </w:trPr>
        <w:tc>
          <w:tcPr>
            <w:shd w:val="clear" w:color="auto" w:fill="auto"/>
            <w:tcW w:w="28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405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386</w:t>
            </w:r>
            <w:r/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353</w:t>
            </w:r>
            <w:r/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330</w:t>
            </w:r>
            <w:r/>
          </w:p>
        </w:tc>
        <w:tc>
          <w:tcPr>
            <w:shd w:val="clear" w:color="auto" w:fill="auto"/>
            <w:tcW w:w="8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348</w:t>
            </w:r>
            <w:r/>
          </w:p>
        </w:tc>
        <w:tc>
          <w:tcPr>
            <w:shd w:val="clear" w:color="auto" w:fill="auto"/>
            <w:tcW w:w="6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508</w:t>
            </w:r>
            <w:r/>
          </w:p>
        </w:tc>
        <w:tc>
          <w:tcPr>
            <w:shd w:val="clear" w:color="auto" w:fill="auto"/>
            <w:tcW w:w="89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495</w:t>
            </w:r>
            <w:r/>
          </w:p>
        </w:tc>
        <w:tc>
          <w:tcPr>
            <w:shd w:val="clear" w:color="auto" w:fill="auto"/>
            <w:tcW w:w="15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потребность сферы отмечается в преподавательских кадрах с высшим профессиональным образованием. </w:t>
      </w:r>
      <w:r>
        <w:rPr>
          <w:rFonts w:ascii="Times New Roman" w:hAnsi="Times New Roman"/>
          <w:sz w:val="28"/>
          <w:szCs w:val="28"/>
        </w:rPr>
        <w:t xml:space="preserve">В осн</w:t>
      </w:r>
      <w:r>
        <w:rPr>
          <w:rFonts w:ascii="Times New Roman" w:hAnsi="Times New Roman"/>
          <w:sz w:val="28"/>
          <w:szCs w:val="28"/>
        </w:rPr>
        <w:t xml:space="preserve">овном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это учителя по предметам: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математика, </w:t>
      </w:r>
      <w:r>
        <w:rPr>
          <w:rFonts w:ascii="Times New Roman" w:hAnsi="Times New Roman"/>
          <w:sz w:val="28"/>
          <w:szCs w:val="28"/>
        </w:rPr>
        <w:t xml:space="preserve">химия, </w:t>
      </w:r>
      <w:r>
        <w:rPr>
          <w:rFonts w:ascii="Times New Roman" w:hAnsi="Times New Roman"/>
          <w:sz w:val="28"/>
          <w:szCs w:val="28"/>
        </w:rPr>
        <w:t xml:space="preserve">иностранный язык, физика, русский язык и литература, </w:t>
      </w:r>
      <w:r>
        <w:rPr>
          <w:rFonts w:ascii="Times New Roman" w:hAnsi="Times New Roman"/>
          <w:sz w:val="28"/>
          <w:szCs w:val="28"/>
        </w:rPr>
        <w:t xml:space="preserve">информатика, </w:t>
      </w:r>
      <w:r>
        <w:rPr>
          <w:rFonts w:ascii="Times New Roman" w:hAnsi="Times New Roman"/>
          <w:sz w:val="28"/>
          <w:szCs w:val="28"/>
        </w:rPr>
        <w:t xml:space="preserve">гео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рафия</w:t>
      </w:r>
      <w:r>
        <w:rPr>
          <w:rFonts w:ascii="Times New Roman" w:hAnsi="Times New Roman"/>
          <w:sz w:val="28"/>
          <w:szCs w:val="28"/>
        </w:rPr>
        <w:t xml:space="preserve">, воспитатели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426" w:right="566" w:bottom="851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Результаты мониторинга позволяют сделать следующие выводы: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мониторинге приняли участие </w:t>
      </w:r>
      <w:r>
        <w:rPr>
          <w:rFonts w:ascii="Times New Roman" w:hAnsi="Times New Roman"/>
          <w:sz w:val="28"/>
          <w:szCs w:val="28"/>
        </w:rPr>
        <w:t xml:space="preserve">334</w:t>
      </w:r>
      <w:r>
        <w:rPr>
          <w:rFonts w:ascii="Times New Roman" w:hAnsi="Times New Roman"/>
          <w:sz w:val="28"/>
          <w:szCs w:val="28"/>
        </w:rPr>
        <w:t xml:space="preserve"> работодател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19 группам видов </w:t>
      </w:r>
      <w:r>
        <w:rPr>
          <w:rFonts w:ascii="Times New Roman" w:hAnsi="Times New Roman"/>
          <w:sz w:val="28"/>
          <w:szCs w:val="28"/>
        </w:rPr>
        <w:t xml:space="preserve">экономической деятельности с общей списочной численностью работников – </w:t>
      </w:r>
      <w:r>
        <w:rPr>
          <w:rFonts w:ascii="Times New Roman" w:hAnsi="Times New Roman"/>
          <w:sz w:val="28"/>
          <w:szCs w:val="28"/>
        </w:rPr>
        <w:t xml:space="preserve">32,7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тысяч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человек, что составляет </w:t>
      </w:r>
      <w:r>
        <w:rPr>
          <w:rFonts w:ascii="Times New Roman" w:hAnsi="Times New Roman"/>
          <w:sz w:val="28"/>
          <w:szCs w:val="28"/>
        </w:rPr>
        <w:t xml:space="preserve">почти 7</w:t>
      </w:r>
      <w:r>
        <w:rPr>
          <w:rFonts w:ascii="Times New Roman" w:hAnsi="Times New Roman"/>
          <w:sz w:val="28"/>
          <w:szCs w:val="28"/>
        </w:rPr>
        <w:t xml:space="preserve">% от численности населения, занятого в экономике Астраханской области.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активными участниками исследования оказались работодатели в таких отраслях, как «Деятельность в области здравоохранения и социальных услуг» (31,6%), «Образование» (25,7%),  «Обрабатывающие производства» (9,7%).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оценочным данным в ближайшей перспективе численность трудовых ресурсов имеет небольшую тенденцию к </w:t>
      </w:r>
      <w:r>
        <w:rPr>
          <w:rFonts w:ascii="Times New Roman" w:hAnsi="Times New Roman"/>
          <w:sz w:val="28"/>
          <w:szCs w:val="28"/>
        </w:rPr>
        <w:t xml:space="preserve">росту. При этом согласно информации министерства экономического развития Астраханской области на период до 2026 года в Астраханской области не планируется реализация крупных инвестиционных проектов, связанных с существенным увеличением потребности в кадрах</w:t>
      </w:r>
      <w:r>
        <w:rPr>
          <w:rFonts w:ascii="Times New Roman" w:hAnsi="Times New Roman"/>
          <w:sz w:val="28"/>
          <w:szCs w:val="28"/>
        </w:rPr>
        <w:t xml:space="preserve">. Также р</w:t>
      </w:r>
      <w:r>
        <w:rPr>
          <w:rFonts w:ascii="Times New Roman" w:hAnsi="Times New Roman"/>
          <w:sz w:val="28"/>
          <w:szCs w:val="28"/>
        </w:rPr>
        <w:t xml:space="preserve">аботодатели </w:t>
      </w:r>
      <w:r>
        <w:rPr>
          <w:rFonts w:ascii="Times New Roman" w:hAnsi="Times New Roman"/>
          <w:sz w:val="28"/>
          <w:szCs w:val="28"/>
        </w:rPr>
        <w:t xml:space="preserve">испытывают затруднения в определении прогнозной потребности </w:t>
      </w:r>
      <w:r>
        <w:rPr>
          <w:rFonts w:ascii="Times New Roman" w:hAnsi="Times New Roman"/>
          <w:sz w:val="28"/>
          <w:szCs w:val="28"/>
        </w:rPr>
        <w:t xml:space="preserve">организации в специалистах по причине того, что у большинства работодателей прогнозирование на среднесрочную перспективу не ведется, кроме того в сложившейся непростой экономической ситуации сложно прогнозировать кадровую потребность на длительный период. </w:t>
      </w:r>
      <w:r>
        <w:rPr>
          <w:rFonts w:ascii="Times New Roman" w:hAnsi="Times New Roman"/>
          <w:sz w:val="28"/>
          <w:szCs w:val="28"/>
        </w:rPr>
        <w:t xml:space="preserve"> Однако </w:t>
      </w:r>
      <w:r>
        <w:rPr>
          <w:rFonts w:ascii="Times New Roman" w:hAnsi="Times New Roman"/>
          <w:sz w:val="28"/>
          <w:szCs w:val="28"/>
        </w:rPr>
        <w:t xml:space="preserve">в регионе начнется реализация крупных инвестиционных проектов в </w:t>
      </w:r>
      <w:r>
        <w:rPr>
          <w:rFonts w:ascii="Times New Roman" w:hAnsi="Times New Roman"/>
          <w:sz w:val="28"/>
          <w:szCs w:val="28"/>
        </w:rPr>
        <w:t xml:space="preserve">рамках функционирования ОЭЗ «Лотос», что поспособствует планомерному наращиванию инвестиций в обрабатывающие производства. В перспективе отрасль сельского хозяйства останется одним из  приоритетных сегментов для реализации проектов частными инвесторами. В </w:t>
      </w:r>
      <w:r>
        <w:rPr>
          <w:rFonts w:ascii="Times New Roman" w:hAnsi="Times New Roman"/>
          <w:sz w:val="28"/>
          <w:szCs w:val="28"/>
        </w:rPr>
        <w:t xml:space="preserve">связи</w:t>
      </w:r>
      <w:r>
        <w:rPr>
          <w:rFonts w:ascii="Times New Roman" w:hAnsi="Times New Roman"/>
          <w:sz w:val="28"/>
          <w:szCs w:val="28"/>
        </w:rPr>
        <w:t xml:space="preserve"> с чем </w:t>
      </w:r>
      <w:r>
        <w:rPr>
          <w:rFonts w:ascii="Times New Roman" w:hAnsi="Times New Roman"/>
          <w:sz w:val="28"/>
          <w:szCs w:val="28"/>
        </w:rPr>
        <w:t xml:space="preserve">можно </w:t>
      </w:r>
      <w:r>
        <w:rPr>
          <w:rFonts w:ascii="Times New Roman" w:hAnsi="Times New Roman"/>
          <w:sz w:val="28"/>
          <w:szCs w:val="28"/>
        </w:rPr>
        <w:t xml:space="preserve">полагать</w:t>
      </w:r>
      <w:r>
        <w:rPr>
          <w:rFonts w:ascii="Times New Roman" w:hAnsi="Times New Roman"/>
          <w:sz w:val="28"/>
          <w:szCs w:val="28"/>
        </w:rPr>
        <w:t xml:space="preserve">, что реальная потребность в персонале через 3 – 5 лет может оказаться выше прогнозируемой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ерриториальная структура  потребности в кадрах существенно смещена в пользу районов области и на долю «Сельское, лесное хозяйство, охота, рыболовство и рыбоводство» приходится 21,0% от общей потребности на региональном рынке труда, </w:t>
      </w:r>
      <w:r>
        <w:rPr>
          <w:rFonts w:ascii="Times New Roman" w:hAnsi="Times New Roman"/>
          <w:sz w:val="28"/>
          <w:szCs w:val="28"/>
        </w:rPr>
        <w:t xml:space="preserve">таким </w:t>
      </w:r>
      <w:r>
        <w:rPr>
          <w:rFonts w:ascii="Times New Roman" w:hAnsi="Times New Roman"/>
          <w:sz w:val="28"/>
          <w:szCs w:val="28"/>
        </w:rPr>
        <w:t xml:space="preserve">образом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потребность в кадрах в Астраханской области продолжает оказывать значительное влияние сезонный фактор.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Полученные в ходе исследования результаты позволяют говорить о том, что наиболее востребованными являются специалисты со средним профессиональным образованием, на их долю  приходится – 42,1%.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данным опроса работодателей о</w:t>
      </w:r>
      <w:r>
        <w:rPr>
          <w:rFonts w:ascii="Times New Roman" w:hAnsi="Times New Roman"/>
          <w:sz w:val="28"/>
          <w:szCs w:val="28"/>
        </w:rPr>
        <w:t xml:space="preserve">бщая потребность работодателей Астраханской области в кадрах н</w:t>
      </w:r>
      <w:r>
        <w:rPr>
          <w:rFonts w:ascii="Times New Roman" w:hAnsi="Times New Roman"/>
          <w:sz w:val="28"/>
          <w:szCs w:val="28"/>
        </w:rPr>
        <w:t xml:space="preserve">а 20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годы по всем видам экономической деятельности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почти 1631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тысячи человек, при ежегодной потребности в среднем – </w:t>
      </w:r>
      <w:r>
        <w:rPr>
          <w:rFonts w:ascii="Times New Roman" w:hAnsi="Times New Roman"/>
          <w:sz w:val="28"/>
          <w:szCs w:val="28"/>
        </w:rPr>
        <w:t xml:space="preserve">2330</w:t>
      </w:r>
      <w:r>
        <w:rPr>
          <w:rFonts w:ascii="Times New Roman" w:hAnsi="Times New Roman"/>
          <w:sz w:val="28"/>
          <w:szCs w:val="28"/>
        </w:rPr>
        <w:t xml:space="preserve"> тыс. человек.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Ситуация на рынке труда регио</w:t>
      </w:r>
      <w:r>
        <w:rPr>
          <w:rFonts w:ascii="Times New Roman" w:hAnsi="Times New Roman"/>
          <w:sz w:val="28"/>
          <w:szCs w:val="28"/>
        </w:rPr>
        <w:t xml:space="preserve">на на среднесрочный период будет формироваться под влиянием экономических процессов в ведущих отраслях экономики Астраханской области и ориентиров развития региона, связанных с процессами реструктуризации, модернизации, реализации инвестиционных проектов.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нформация, полученная в ходе мониторинга, позволит выработать и принять меры в сфере регулирования рынка труда и рынка образовательных </w:t>
      </w:r>
      <w:r>
        <w:rPr>
          <w:rFonts w:ascii="Times New Roman" w:hAnsi="Times New Roman"/>
          <w:sz w:val="28"/>
          <w:szCs w:val="28"/>
        </w:rPr>
        <w:t xml:space="preserve">услуг, развития кадрового потенциала по видам экономической деятельности на принципах согласования интересов всех заинтер</w:t>
      </w:r>
      <w:r>
        <w:rPr>
          <w:rFonts w:ascii="Times New Roman" w:hAnsi="Times New Roman"/>
          <w:sz w:val="28"/>
          <w:szCs w:val="28"/>
        </w:rPr>
        <w:t xml:space="preserve">есованных участников социально-экономических процессов, происходящих на региональном рынке труда, органов исполнительной власти, органов местного самоуправления, хозяйствующих субъектов, образовательных организаций, осуществляющих подготовку специалистов. </w:t>
      </w:r>
      <w:r/>
    </w:p>
    <w:sectPr>
      <w:footnotePr/>
      <w:endnotePr/>
      <w:type w:val="nextPage"/>
      <w:pgSz w:w="11906" w:h="16838" w:orient="portrait"/>
      <w:pgMar w:top="1106" w:right="566" w:bottom="851" w:left="1701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5040102010807070707"/>
  </w:font>
  <w:font w:name="Tahoma">
    <w:panose1 w:val="020B0506030602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05413811"/>
      <w:docPartObj>
        <w:docPartGallery w:val="Page Numbers (Top of Page)"/>
        <w:docPartUnique w:val="true"/>
      </w:docPartObj>
      <w:rPr/>
    </w:sdtPr>
    <w:sdtContent>
      <w:p>
        <w:pPr>
          <w:pStyle w:val="68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19</w:t>
        </w:r>
        <w:r>
          <w:fldChar w:fldCharType="end"/>
        </w:r>
        <w:r/>
      </w:p>
    </w:sdtContent>
  </w:sdt>
  <w:p>
    <w:pPr>
      <w:pStyle w:val="683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3"/>
      <w:jc w:val="center"/>
    </w:pPr>
    <w:r/>
    <w:r/>
  </w:p>
  <w:p>
    <w:pPr>
      <w:pStyle w:val="6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74"/>
    <w:next w:val="674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76"/>
    <w:link w:val="1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76"/>
    <w:link w:val="675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74"/>
    <w:next w:val="674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76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74"/>
    <w:next w:val="674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76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74"/>
    <w:next w:val="674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76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74"/>
    <w:next w:val="674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76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74"/>
    <w:next w:val="67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76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74"/>
    <w:next w:val="67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76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74"/>
    <w:next w:val="67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76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674"/>
    <w:next w:val="674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76"/>
    <w:link w:val="32"/>
    <w:uiPriority w:val="10"/>
    <w:rPr>
      <w:sz w:val="48"/>
      <w:szCs w:val="48"/>
    </w:rPr>
  </w:style>
  <w:style w:type="paragraph" w:styleId="34">
    <w:name w:val="Subtitle"/>
    <w:basedOn w:val="674"/>
    <w:next w:val="67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76"/>
    <w:link w:val="34"/>
    <w:uiPriority w:val="11"/>
    <w:rPr>
      <w:sz w:val="24"/>
      <w:szCs w:val="24"/>
    </w:rPr>
  </w:style>
  <w:style w:type="paragraph" w:styleId="36">
    <w:name w:val="Quote"/>
    <w:basedOn w:val="674"/>
    <w:next w:val="67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character" w:styleId="39">
    <w:name w:val="Intense Quote Char"/>
    <w:link w:val="692"/>
    <w:uiPriority w:val="30"/>
    <w:rPr>
      <w:i/>
    </w:rPr>
  </w:style>
  <w:style w:type="character" w:styleId="41">
    <w:name w:val="Header Char"/>
    <w:basedOn w:val="676"/>
    <w:link w:val="683"/>
    <w:uiPriority w:val="99"/>
  </w:style>
  <w:style w:type="character" w:styleId="43">
    <w:name w:val="Footer Char"/>
    <w:basedOn w:val="676"/>
    <w:link w:val="685"/>
    <w:uiPriority w:val="99"/>
  </w:style>
  <w:style w:type="character" w:styleId="45">
    <w:name w:val="Caption Char"/>
    <w:basedOn w:val="690"/>
    <w:link w:val="685"/>
    <w:uiPriority w:val="99"/>
  </w:style>
  <w:style w:type="table" w:styleId="47">
    <w:name w:val="Table Grid Light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7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76"/>
    <w:uiPriority w:val="99"/>
    <w:unhideWhenUsed/>
    <w:rPr>
      <w:vertAlign w:val="superscript"/>
    </w:rPr>
  </w:style>
  <w:style w:type="paragraph" w:styleId="176">
    <w:name w:val="endnote text"/>
    <w:basedOn w:val="67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76"/>
    <w:uiPriority w:val="99"/>
    <w:semiHidden/>
    <w:unhideWhenUsed/>
    <w:rPr>
      <w:vertAlign w:val="superscript"/>
    </w:rPr>
  </w:style>
  <w:style w:type="paragraph" w:styleId="179">
    <w:name w:val="toc 1"/>
    <w:basedOn w:val="674"/>
    <w:next w:val="67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74"/>
    <w:next w:val="67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74"/>
    <w:next w:val="67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74"/>
    <w:next w:val="67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74"/>
    <w:next w:val="67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74"/>
    <w:next w:val="67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74"/>
    <w:next w:val="67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74"/>
    <w:next w:val="67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74"/>
    <w:next w:val="67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qFormat/>
    <w:rPr>
      <w:rFonts w:ascii="Calibri" w:hAnsi="Calibri" w:cs="Times New Roman" w:eastAsia="Calibri"/>
    </w:rPr>
  </w:style>
  <w:style w:type="paragraph" w:styleId="675">
    <w:name w:val="Heading 2"/>
    <w:basedOn w:val="674"/>
    <w:next w:val="674"/>
    <w:link w:val="691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paragraph" w:styleId="679">
    <w:name w:val="No Spacing"/>
    <w:uiPriority w:val="1"/>
    <w:qFormat/>
    <w:pPr>
      <w:spacing w:after="0" w:line="240" w:lineRule="auto"/>
    </w:pPr>
    <w:rPr>
      <w:rFonts w:ascii="Calibri" w:hAnsi="Calibri" w:cs="Times New Roman" w:eastAsia="Calibri"/>
    </w:rPr>
  </w:style>
  <w:style w:type="paragraph" w:styleId="680">
    <w:name w:val="Balloon Text"/>
    <w:basedOn w:val="674"/>
    <w:link w:val="68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1" w:customStyle="1">
    <w:name w:val="Текст выноски Знак"/>
    <w:basedOn w:val="676"/>
    <w:link w:val="680"/>
    <w:uiPriority w:val="99"/>
    <w:semiHidden/>
    <w:rPr>
      <w:rFonts w:ascii="Tahoma" w:hAnsi="Tahoma" w:cs="Tahoma" w:eastAsia="Calibri"/>
      <w:sz w:val="16"/>
      <w:szCs w:val="16"/>
    </w:rPr>
  </w:style>
  <w:style w:type="paragraph" w:styleId="682" w:customStyle="1">
    <w:name w:val="Абзац списка1"/>
    <w:basedOn w:val="674"/>
    <w:pPr>
      <w:contextualSpacing/>
      <w:ind w:left="720"/>
    </w:pPr>
    <w:rPr>
      <w:rFonts w:eastAsia="Times New Roman"/>
    </w:rPr>
  </w:style>
  <w:style w:type="paragraph" w:styleId="683">
    <w:name w:val="Header"/>
    <w:basedOn w:val="674"/>
    <w:link w:val="68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4" w:customStyle="1">
    <w:name w:val="Верхний колонтитул Знак"/>
    <w:basedOn w:val="676"/>
    <w:link w:val="683"/>
    <w:uiPriority w:val="99"/>
    <w:rPr>
      <w:rFonts w:ascii="Calibri" w:hAnsi="Calibri" w:cs="Times New Roman" w:eastAsia="Calibri"/>
    </w:rPr>
  </w:style>
  <w:style w:type="paragraph" w:styleId="685">
    <w:name w:val="Footer"/>
    <w:basedOn w:val="674"/>
    <w:link w:val="6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6" w:customStyle="1">
    <w:name w:val="Нижний колонтитул Знак"/>
    <w:basedOn w:val="676"/>
    <w:link w:val="685"/>
    <w:uiPriority w:val="99"/>
    <w:rPr>
      <w:rFonts w:ascii="Calibri" w:hAnsi="Calibri" w:cs="Times New Roman" w:eastAsia="Calibri"/>
    </w:rPr>
  </w:style>
  <w:style w:type="table" w:styleId="687">
    <w:name w:val="Table Grid"/>
    <w:basedOn w:val="677"/>
    <w:uiPriority w:val="59"/>
    <w:pPr>
      <w:spacing w:after="0" w:line="240" w:lineRule="auto"/>
    </w:pPr>
    <w:rPr>
      <w:rFonts w:ascii="Times New Roman" w:hAnsi="Times New Roman" w:cs="Times New Roman" w:eastAsia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8">
    <w:name w:val="List Paragraph"/>
    <w:basedOn w:val="674"/>
    <w:uiPriority w:val="34"/>
    <w:qFormat/>
    <w:pPr>
      <w:contextualSpacing/>
      <w:ind w:left="720"/>
    </w:pPr>
    <w:rPr>
      <w:rFonts w:asciiTheme="minorHAnsi" w:hAnsiTheme="minorHAnsi" w:eastAsiaTheme="minorHAnsi" w:cstheme="minorBidi"/>
    </w:rPr>
  </w:style>
  <w:style w:type="paragraph" w:styleId="689">
    <w:name w:val="Normal (Web)"/>
    <w:basedOn w:val="67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90">
    <w:name w:val="Caption"/>
    <w:basedOn w:val="674"/>
    <w:next w:val="674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691" w:customStyle="1">
    <w:name w:val="Заголовок 2 Знак"/>
    <w:basedOn w:val="676"/>
    <w:link w:val="675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92">
    <w:name w:val="Intense Quote"/>
    <w:basedOn w:val="674"/>
    <w:next w:val="674"/>
    <w:link w:val="693"/>
    <w:uiPriority w:val="30"/>
    <w:qFormat/>
    <w:pPr>
      <w:ind w:left="936" w:right="936"/>
      <w:spacing w:before="200" w:after="280"/>
      <w:pBdr>
        <w:bottom w:val="single" w:color="4F81BD" w:themeColor="accent1" w:sz="4" w:space="4"/>
      </w:pBdr>
    </w:pPr>
    <w:rPr>
      <w:b/>
      <w:bCs/>
      <w:i/>
      <w:iCs/>
      <w:color w:val="4F81BD" w:themeColor="accent1"/>
    </w:rPr>
  </w:style>
  <w:style w:type="character" w:styleId="693" w:customStyle="1">
    <w:name w:val="Выделенная цитата Знак"/>
    <w:basedOn w:val="676"/>
    <w:link w:val="692"/>
    <w:uiPriority w:val="30"/>
    <w:rPr>
      <w:rFonts w:ascii="Calibri" w:hAnsi="Calibri" w:cs="Times New Roman" w:eastAsia="Calibri"/>
      <w:b/>
      <w:bCs/>
      <w:i/>
      <w:iCs/>
      <w:color w:val="4F81BD" w:themeColor="accent1"/>
    </w:rPr>
  </w:style>
  <w:style w:type="character" w:styleId="694">
    <w:name w:val="Book Title"/>
    <w:basedOn w:val="676"/>
    <w:uiPriority w:val="33"/>
    <w:qFormat/>
    <w:rPr>
      <w:b/>
      <w:bCs/>
      <w:smallCaps/>
      <w:spacing w:val="5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cs="Times New Roman" w:eastAsia="Calibri"/>
      <w:color w:val="000000"/>
      <w:sz w:val="24"/>
      <w:szCs w:val="24"/>
    </w:rPr>
  </w:style>
  <w:style w:type="character" w:styleId="696">
    <w:name w:val="Subtle Emphasis"/>
    <w:basedOn w:val="676"/>
    <w:uiPriority w:val="19"/>
    <w:qFormat/>
    <w:rPr>
      <w:i/>
      <w:iCs/>
      <w:color w:val="808080" w:themeColor="text1" w:themeTint="7F"/>
    </w:rPr>
  </w:style>
  <w:style w:type="character" w:styleId="697">
    <w:name w:val="Emphasis"/>
    <w:basedOn w:val="676"/>
    <w:uiPriority w:val="20"/>
    <w:qFormat/>
    <w:rPr>
      <w:i/>
      <w:iCs/>
    </w:rPr>
  </w:style>
  <w:style w:type="character" w:styleId="698">
    <w:name w:val="Strong"/>
    <w:basedOn w:val="676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hart" Target="charts/chart1.xml" /><Relationship Id="rId13" Type="http://schemas.openxmlformats.org/officeDocument/2006/relationships/chart" Target="charts/chart2.xml" /><Relationship Id="rId14" Type="http://schemas.openxmlformats.org/officeDocument/2006/relationships/chart" Target="charts/chart3.xml" /><Relationship Id="rId15" Type="http://schemas.openxmlformats.org/officeDocument/2006/relationships/chart" Target="charts/chart4.xml" /><Relationship Id="rId16" Type="http://schemas.openxmlformats.org/officeDocument/2006/relationships/chart" Target="charts/chart5.xml" /><Relationship Id="rId17" Type="http://schemas.openxmlformats.org/officeDocument/2006/relationships/chart" Target="charts/chart6.xml" /><Relationship Id="rId18" Type="http://schemas.openxmlformats.org/officeDocument/2006/relationships/chart" Target="charts/chart7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3.xlsx" /></Relationships>
</file>

<file path=word/charts/_rels/chart4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4.xlsx" /></Relationships>
</file>

<file path=word/charts/_rels/chart5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5.xlsx" /></Relationships>
</file>

<file path=word/charts/_rels/chart6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6.xlsx" /></Relationships>
</file>

<file path=word/charts/_rels/chart7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7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27"/>
    </mc:Choice>
    <mc:Fallback>
      <c:style val="27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Распределение опрошенных предприятий и организаий (респондентов) в территориальном разрезе </a:t>
            </a:r>
            <a:endParaRPr/>
          </a:p>
        </c:rich>
      </c:tx>
      <c:layout/>
      <c:overlay val="0"/>
    </c:title>
    <c:plotArea>
      <c:layout>
        <c:manualLayout>
          <c:layoutTarget val="inner"/>
          <c:xMode val="edge"/>
          <c:yMode val="edge"/>
          <c:x val="0.086125920845776957"/>
          <c:y val="0.1431645449910694"/>
          <c:w val="0.88749428970049737"/>
          <c:h val="0.4877024030648871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Лист1!$A$2</c:f>
              <c:strCache>
                <c:ptCount val="1"/>
                <c:pt idx="0">
                  <c:v xml:space="preserve">Доля занятых</c:v>
                </c:pt>
              </c:strCache>
            </c:strRef>
          </c:tx>
          <c:dPt>
            <c:idx val="0"/>
          </c:dPt>
          <c:dPt>
            <c:idx val="1"/>
          </c:dPt>
          <c:dPt>
            <c:idx val="2"/>
          </c:dPt>
          <c:dPt>
            <c:idx val="3"/>
          </c:dPt>
          <c:dPt>
            <c:idx val="4"/>
          </c:dPt>
          <c:dPt>
            <c:idx val="5"/>
          </c:dPt>
          <c:cat>
            <c:strRef>
              <c:f>Лист1!$B$1:$Q$1</c:f>
              <c:strCache>
                <c:ptCount val="16"/>
                <c:pt idx="0">
                  <c:v xml:space="preserve">Кировский район</c:v>
                </c:pt>
                <c:pt idx="1">
                  <c:v xml:space="preserve">Ленинский район</c:v>
                </c:pt>
                <c:pt idx="2">
                  <c:v xml:space="preserve">Советский район</c:v>
                </c:pt>
                <c:pt idx="3">
                  <c:v xml:space="preserve">Трусовский район</c:v>
                </c:pt>
                <c:pt idx="4">
                  <c:v xml:space="preserve">Ахтубинский район</c:v>
                </c:pt>
                <c:pt idx="5">
                  <c:v xml:space="preserve">Володврский район</c:v>
                </c:pt>
                <c:pt idx="6">
                  <c:v xml:space="preserve">Енотаевский район</c:v>
                </c:pt>
                <c:pt idx="7">
                  <c:v xml:space="preserve">ЗАТО Знаменск АО</c:v>
                </c:pt>
                <c:pt idx="8">
                  <c:v xml:space="preserve">Икрянинский район</c:v>
                </c:pt>
                <c:pt idx="9">
                  <c:v xml:space="preserve">Камызякский район</c:v>
                </c:pt>
                <c:pt idx="10">
                  <c:v xml:space="preserve">Красноярский район</c:v>
                </c:pt>
                <c:pt idx="11">
                  <c:v xml:space="preserve">Лиманский район</c:v>
                </c:pt>
                <c:pt idx="12">
                  <c:v xml:space="preserve">Наримановский район</c:v>
                </c:pt>
                <c:pt idx="13">
                  <c:v xml:space="preserve">Приволжский район</c:v>
                </c:pt>
                <c:pt idx="14">
                  <c:v xml:space="preserve">Харабалинский район</c:v>
                </c:pt>
                <c:pt idx="15">
                  <c:v xml:space="preserve">Черноярский район</c:v>
                </c:pt>
              </c:strCache>
            </c:strRef>
          </c:cat>
          <c:val>
            <c:numRef>
              <c:f>Лист1!$B$2:$Q$2</c:f>
              <c:numCache>
                <c:formatCode>0.0%</c:formatCode>
                <c:ptCount val="16"/>
                <c:pt idx="0">
                  <c:v>0.05458443498725422</c:v>
                </c:pt>
                <c:pt idx="1">
                  <c:v>0.10569760880568738</c:v>
                </c:pt>
                <c:pt idx="2">
                  <c:v>0.13273368698399396</c:v>
                </c:pt>
                <c:pt idx="3">
                  <c:v>0.028198262534387657</c:v>
                </c:pt>
                <c:pt idx="4">
                  <c:v>0.03362688682923995</c:v>
                </c:pt>
                <c:pt idx="5">
                  <c:v>0.06413422617636759</c:v>
                </c:pt>
                <c:pt idx="6">
                  <c:v>0.026730240189864238</c:v>
                </c:pt>
                <c:pt idx="7">
                  <c:v>0.04110462564665621</c:v>
                </c:pt>
                <c:pt idx="8">
                  <c:v>0.05999776738268438</c:v>
                </c:pt>
                <c:pt idx="9">
                  <c:v>0.10592698729701917</c:v>
                </c:pt>
                <c:pt idx="10">
                  <c:v>0.029493486415441153</c:v>
                </c:pt>
                <c:pt idx="11">
                  <c:v>0.05526492451153852</c:v>
                </c:pt>
                <c:pt idx="12">
                  <c:v>0.13279485458168244</c:v>
                </c:pt>
                <c:pt idx="13">
                  <c:v>0.006184044126304972</c:v>
                </c:pt>
                <c:pt idx="14">
                  <c:v>0.0891823574297987</c:v>
                </c:pt>
                <c:pt idx="15">
                  <c:v>0.034345606102079554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162155904"/>
        <c:axId val="81708160"/>
      </c:barChart>
      <c:lineChart>
        <c:grouping val="standard"/>
        <c:varyColors val="0"/>
        <c:ser>
          <c:idx val="2"/>
          <c:order val="1"/>
          <c:tx>
            <c:strRef>
              <c:f>Лист1!$A$3</c:f>
              <c:strCache>
                <c:ptCount val="1"/>
                <c:pt idx="0">
                  <c:v xml:space="preserve">Процент охвата работников</c:v>
                </c:pt>
              </c:strCache>
            </c:strRef>
          </c:tx>
          <c:spPr bwMode="auto">
            <a:ln w="47625"/>
          </c:spPr>
          <c:dPt>
            <c:idx val="1"/>
          </c:dPt>
          <c:dPt>
            <c:idx val="2"/>
          </c:dPt>
          <c:dPt>
            <c:idx val="3"/>
          </c:dPt>
          <c:cat>
            <c:strRef>
              <c:f>Лист1!$B$1:$Q$1</c:f>
              <c:strCache>
                <c:ptCount val="16"/>
                <c:pt idx="0">
                  <c:v xml:space="preserve">Кировский район</c:v>
                </c:pt>
                <c:pt idx="1">
                  <c:v xml:space="preserve">Ленинский район</c:v>
                </c:pt>
                <c:pt idx="2">
                  <c:v xml:space="preserve">Советский район</c:v>
                </c:pt>
                <c:pt idx="3">
                  <c:v xml:space="preserve">Трусовский район</c:v>
                </c:pt>
                <c:pt idx="4">
                  <c:v xml:space="preserve">Ахтубинский район</c:v>
                </c:pt>
                <c:pt idx="5">
                  <c:v xml:space="preserve">Володврский район</c:v>
                </c:pt>
                <c:pt idx="6">
                  <c:v xml:space="preserve">Енотаевский район</c:v>
                </c:pt>
                <c:pt idx="7">
                  <c:v xml:space="preserve">ЗАТО Знаменск АО</c:v>
                </c:pt>
                <c:pt idx="8">
                  <c:v xml:space="preserve">Икрянинский район</c:v>
                </c:pt>
                <c:pt idx="9">
                  <c:v xml:space="preserve">Камызякский район</c:v>
                </c:pt>
                <c:pt idx="10">
                  <c:v xml:space="preserve">Красноярский район</c:v>
                </c:pt>
                <c:pt idx="11">
                  <c:v xml:space="preserve">Лиманский район</c:v>
                </c:pt>
                <c:pt idx="12">
                  <c:v xml:space="preserve">Наримановский район</c:v>
                </c:pt>
                <c:pt idx="13">
                  <c:v xml:space="preserve">Приволжский район</c:v>
                </c:pt>
                <c:pt idx="14">
                  <c:v xml:space="preserve">Харабалинский район</c:v>
                </c:pt>
                <c:pt idx="15">
                  <c:v xml:space="preserve">Черноярский район</c:v>
                </c:pt>
              </c:strCache>
            </c:strRef>
          </c:cat>
          <c:val>
            <c:numRef>
              <c:f>Лист1!$B$3:$Q$3</c:f>
              <c:numCache>
                <c:formatCode>0.0%</c:formatCode>
                <c:ptCount val="16"/>
                <c:pt idx="0">
                  <c:v>0.06410256410256411</c:v>
                </c:pt>
                <c:pt idx="1">
                  <c:v>0.05448717948717949</c:v>
                </c:pt>
                <c:pt idx="2">
                  <c:v>0.038461538461538464</c:v>
                </c:pt>
                <c:pt idx="3">
                  <c:v>0.01923076923076924</c:v>
                </c:pt>
                <c:pt idx="4">
                  <c:v>0.041666666666666664</c:v>
                </c:pt>
                <c:pt idx="5">
                  <c:v>0.1378205128205128</c:v>
                </c:pt>
                <c:pt idx="6">
                  <c:v>0.028846153846153848</c:v>
                </c:pt>
                <c:pt idx="7">
                  <c:v>0.07692307692307693</c:v>
                </c:pt>
                <c:pt idx="8">
                  <c:v>0.08012820512820515</c:v>
                </c:pt>
                <c:pt idx="9">
                  <c:v>0.15064102564102566</c:v>
                </c:pt>
                <c:pt idx="10">
                  <c:v>0.04807692307692309</c:v>
                </c:pt>
                <c:pt idx="11">
                  <c:v>0.041666666666666664</c:v>
                </c:pt>
                <c:pt idx="12">
                  <c:v>0.04807692307692309</c:v>
                </c:pt>
                <c:pt idx="13">
                  <c:v>0.01923076923076924</c:v>
                </c:pt>
                <c:pt idx="14">
                  <c:v>0.10256410256410257</c:v>
                </c:pt>
                <c:pt idx="15">
                  <c:v>0.04807692307692309</c:v>
                </c:pt>
              </c:numCache>
            </c:numRef>
          </c:val>
          <c:smooth val="1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162155904"/>
        <c:axId val="81708160"/>
      </c:lineChart>
      <c:catAx>
        <c:axId val="16215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81708160"/>
        <c:crosses val="autoZero"/>
        <c:auto val="1"/>
        <c:lblAlgn val="ctr"/>
        <c:lblOffset val="100"/>
        <c:noMultiLvlLbl val="0"/>
      </c:catAx>
      <c:valAx>
        <c:axId val="8170816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>
              <a:noFill/>
            </a:ln>
          </c:spPr>
        </c:majorGridlines>
        <c:numFmt formatCode="0.0%" sourceLinked="1"/>
        <c:majorTickMark val="out"/>
        <c:minorTickMark val="none"/>
        <c:tickLblPos val="nextTo"/>
        <c:crossAx val="1621559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5367187201116326"/>
          <c:y val="0.81313686222748183"/>
          <c:w val="0.49885877096116787"/>
          <c:h val="0.17045863836826969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Распределение опрошенных предприятий и организаий (респондентов) по отраслям</a:t>
            </a:r>
            <a:endParaRPr/>
          </a:p>
        </c:rich>
      </c:tx>
      <c:layout>
        <c:manualLayout>
          <c:xMode val="edge"/>
          <c:yMode val="edge"/>
          <c:x val="0.12509600921016142"/>
          <c:y val="0"/>
        </c:manualLayout>
      </c:layout>
      <c:overlay val="0"/>
    </c:title>
    <c:view3D>
      <c:perspective val="30"/>
    </c:view3D>
    <c:plotArea>
      <c:layout>
        <c:manualLayout>
          <c:layoutTarget val="inner"/>
          <c:xMode val="edge"/>
          <c:yMode val="edge"/>
          <c:x val="0.11525229126529472"/>
          <c:y val="0.0008852459451673257"/>
          <c:w val="0.73352078588895697"/>
          <c:h val="0.70992340344921279"/>
        </c:manualLayout>
      </c:layout>
      <c:pie3DChart>
        <c:varyColors val="1"/>
        <c:ser>
          <c:idx val="1"/>
          <c:order val="0"/>
          <c:explosion val="23"/>
          <c:dPt>
            <c:idx val="10"/>
            <c:explosion val="12"/>
          </c:dPt>
          <c:dLbls>
            <c:delete val="1"/>
          </c:dLbls>
          <c:cat>
            <c:strRef>
              <c:f>Лист1!$G$1:$S$1</c:f>
              <c:strCache>
                <c:ptCount val="13"/>
                <c:pt idx="0">
                  <c:v xml:space="preserve">Торговля оптовая и розничная; ремонт автотранспортных средств и мотоциклов</c:v>
                </c:pt>
                <c:pt idx="1">
                  <c:v xml:space="preserve">Транспортировка и хранение</c:v>
                </c:pt>
                <c:pt idx="2">
                  <c:v xml:space="preserve">Деятельность гостиниц и предприятий общественного питания</c:v>
                </c:pt>
                <c:pt idx="3">
                  <c:v xml:space="preserve">Деятельность в области информации и связи</c:v>
                </c:pt>
                <c:pt idx="4">
                  <c:v xml:space="preserve">Деятельность финансовая и страховая</c:v>
                </c:pt>
                <c:pt idx="5">
                  <c:v xml:space="preserve">Деятельность по операциям с недвижимым имуществом</c:v>
                </c:pt>
                <c:pt idx="6">
                  <c:v xml:space="preserve">Деятельность профессиональная, научная и техническая</c:v>
                </c:pt>
                <c:pt idx="7">
                  <c:v xml:space="preserve">Деятельность административная и сопутствующие дополнительные услуги</c:v>
                </c:pt>
                <c:pt idx="8">
                  <c:v xml:space="preserve">Государственное управление и обеспечение военной безопасности; социальное обеспечение</c:v>
                </c:pt>
                <c:pt idx="9">
                  <c:v>Образование</c:v>
                </c:pt>
                <c:pt idx="10">
                  <c:v xml:space="preserve">Деятельность в области здравоохранения и социальных услуг</c:v>
                </c:pt>
                <c:pt idx="11">
                  <c:v xml:space="preserve">Деятельность в области культуры, спорта, организации досуга и развлечений</c:v>
                </c:pt>
                <c:pt idx="12">
                  <c:v xml:space="preserve">Предоставление прочих видов услуг</c:v>
                </c:pt>
              </c:strCache>
            </c:strRef>
          </c:cat>
          <c:val>
            <c:numRef>
              <c:f>Лист1!$G$2:$S$2</c:f>
              <c:numCache>
                <c:formatCode>0.0%</c:formatCode>
                <c:ptCount val="13"/>
                <c:pt idx="0">
                  <c:v>0.005389885150110821</c:v>
                </c:pt>
                <c:pt idx="1">
                  <c:v>0.025</c:v>
                </c:pt>
                <c:pt idx="2">
                  <c:v>0.004936530324400566</c:v>
                </c:pt>
                <c:pt idx="3">
                  <c:v>0.008462623413258112</c:v>
                </c:pt>
                <c:pt idx="4">
                  <c:v>0</c:v>
                </c:pt>
                <c:pt idx="5">
                  <c:v>0.0010000000000000002</c:v>
                </c:pt>
                <c:pt idx="6">
                  <c:v>0</c:v>
                </c:pt>
                <c:pt idx="7">
                  <c:v>0.008000000000000002</c:v>
                </c:pt>
                <c:pt idx="8">
                  <c:v>0.066</c:v>
                </c:pt>
                <c:pt idx="9">
                  <c:v>0.27</c:v>
                </c:pt>
                <c:pt idx="10">
                  <c:v>0.22</c:v>
                </c:pt>
                <c:pt idx="11">
                  <c:v>0.017378601652226475</c:v>
                </c:pt>
                <c:pt idx="12">
                  <c:v>0.01077977030022164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1"/>
          <c:showSerName val="0"/>
          <c:showVal val="0"/>
        </c:dLbls>
      </c:pie3DChart>
    </c:plotArea>
    <c:legend>
      <c:legendPos val="b"/>
      <c:layout>
        <c:manualLayout>
          <c:xMode val="edge"/>
          <c:yMode val="edge"/>
          <c:x val="0"/>
          <c:y val="0.48769969505256933"/>
          <c:w val="0.66672489577461513"/>
          <c:h val="0.50082586136270535"/>
        </c:manualLayout>
      </c:layout>
      <c:overlay val="0"/>
      <c:txPr>
        <a:bodyPr/>
        <a:lstStyle/>
        <a:p>
          <a:pPr>
            <a:defRPr sz="750"/>
          </a:pPr>
          <a:endParaRPr lang="ru-RU"/>
        </a:p>
      </c:txPr>
    </c:legend>
    <c:plotVisOnly val="1"/>
    <c:dispBlanksAs val="zero"/>
    <c:showDLblsOverMax val="0"/>
  </c:chart>
  <c:spPr bwMode="auto">
    <a:prstGeom prst="rect">
      <a:avLst/>
    </a:prstGeom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/>
            </a:pPr>
            <a:r>
              <a:rPr lang="ru-RU" sz="1400" b="1" i="0"/>
              <a:t>Динамика текущей и перспективной потребности работодателей в кадрах на 2020 - 2026 годы (тыс. чел.)</a:t>
            </a:r>
            <a:endParaRPr lang="ru-RU" sz="1400"/>
          </a:p>
        </c:rich>
      </c:tx>
      <c:layout/>
      <c:overlay val="0"/>
    </c:title>
    <c:plotArea>
      <c:layout/>
      <c:lineChart>
        <c:grouping val="standard"/>
        <c:varyColors val="0"/>
        <c:ser>
          <c:idx val="1"/>
          <c:order val="0"/>
          <c:tx>
            <c:strRef>
              <c:f>Лист1!$A$2</c:f>
              <c:strCache>
                <c:ptCount val="1"/>
                <c:pt idx="0">
                  <c:v>Потребность</c:v>
                </c:pt>
              </c:strCache>
            </c:strRef>
          </c:tx>
          <c:marker>
            <c:symbol val="none"/>
          </c:marker>
          <c:dLbls>
            <c:dLbl>
              <c:idx val="1"/>
              <c:layout>
                <c:manualLayout>
                  <c:x val="-0.082200824597248326"/>
                  <c:y val="-0.0031384674542160617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2"/>
              <c:layout>
                <c:manualLayout>
                  <c:x val="-0.023184847963326451"/>
                  <c:y val="-0.040800076904808781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3"/>
              <c:layout>
                <c:manualLayout>
                  <c:x val="-0.033723415219383934"/>
                  <c:y val="-0.047077011813240935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4"/>
              <c:layout>
                <c:manualLayout>
                  <c:x val="0.023184847963326451"/>
                  <c:y val="-0.0094154023626481578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5"/>
              <c:layout>
                <c:manualLayout>
                  <c:x val="0"/>
                  <c:y val="-0.053353946721673054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6"/>
              <c:layout>
                <c:manualLayout>
                  <c:x val="-0.0021077134512114963"/>
                  <c:y val="-0.037661609450592742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trendline>
            <c:spPr bwMode="auto">
              <a:prstGeom prst="rect">
                <a:avLst/>
              </a:prstGeom>
              <a:ln w="12700">
                <a:solidFill>
                  <a:srgbClr val="FF0066"/>
                </a:solidFill>
              </a:ln>
            </c:spPr>
            <c:trendlineType val="linear"/>
          </c:trendline>
          <c:cat>
            <c:strRef>
              <c:f>Лист1!$B$1:$J$1</c:f>
              <c:strCache>
                <c:ptCount val="9"/>
                <c:pt idx="0">
                  <c:v xml:space="preserve">принято в 2019</c:v>
                </c:pt>
                <c:pt idx="1">
                  <c:v xml:space="preserve">фактически работало в 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</c:strCache>
            </c:strRef>
          </c:cat>
          <c:val>
            <c:numRef>
              <c:f>Лист1!$B$2:$J$2</c:f>
              <c:numCache>
                <c:formatCode>General</c:formatCode>
                <c:ptCount val="9"/>
                <c:pt idx="0">
                  <c:v>5685</c:v>
                </c:pt>
                <c:pt idx="1">
                  <c:v>32697</c:v>
                </c:pt>
                <c:pt idx="2">
                  <c:v>3243</c:v>
                </c:pt>
                <c:pt idx="3">
                  <c:v>2353</c:v>
                </c:pt>
                <c:pt idx="4">
                  <c:v>2192</c:v>
                </c:pt>
                <c:pt idx="5">
                  <c:v>2091</c:v>
                </c:pt>
                <c:pt idx="6">
                  <c:v>2094</c:v>
                </c:pt>
                <c:pt idx="7">
                  <c:v>1983</c:v>
                </c:pt>
                <c:pt idx="8">
                  <c:v>2355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100958208"/>
        <c:axId val="100959744"/>
      </c:lineChart>
      <c:catAx>
        <c:axId val="10095820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00959744"/>
        <c:crosses val="autoZero"/>
        <c:auto val="1"/>
        <c:lblAlgn val="ctr"/>
        <c:lblOffset val="100"/>
        <c:noMultiLvlLbl val="0"/>
      </c:catAx>
      <c:valAx>
        <c:axId val="100959744"/>
        <c:scaling>
          <c:orientation val="minMax"/>
        </c:scaling>
        <c:delete val="1"/>
        <c:axPos val="l"/>
        <c:majorGridlines>
          <c:spPr bwMode="auto">
            <a:prstGeom prst="rect">
              <a:avLst/>
            </a:prstGeom>
            <a:ln>
              <a:noFill/>
            </a:ln>
          </c:spPr>
        </c:majorGridlines>
        <c:numFmt formatCode="General" sourceLinked="1"/>
        <c:majorTickMark val="none"/>
        <c:minorTickMark val="none"/>
        <c:tickLblPos val="none"/>
        <c:crossAx val="100958208"/>
        <c:crosses val="autoZero"/>
        <c:crossBetween val="between"/>
        <c:dispUnits>
          <c:builtInUnit val="thousands"/>
          <c:dispUnitsLbl>
            <c:layout/>
            <c:tx>
              <c:rich>
                <a:bodyPr/>
                <a:lstStyle/>
                <a:p>
                  <a:pPr>
                    <a:defRPr/>
                  </a:pPr>
                  <a:r>
                    <a:rPr/>
                    <a:t> </a:t>
                  </a:r>
                  <a:endParaRPr/>
                </a:p>
              </c:rich>
            </c:tx>
          </c:dispUnitsLbl>
        </c:dispUnits>
      </c:valAx>
    </c:plotArea>
    <c:legend>
      <c:legendPos val="b"/>
      <c:layout/>
      <c:overlay val="0"/>
    </c:legend>
    <c:plotVisOnly val="1"/>
    <c:dispBlanksAs val="gap"/>
    <c:showDLblsOverMax val="0"/>
  </c:chart>
  <c:spPr bwMode="auto">
    <a:prstGeom prst="rect">
      <a:avLst/>
    </a:prstGeom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/>
            </a:pPr>
            <a:r>
              <a:rPr lang="ru-RU" sz="1400" b="1" i="0"/>
              <a:t>Структура потребности в кадрах в разрезе муниципальных  образований</a:t>
            </a:r>
            <a:endParaRPr lang="ru-RU" sz="1400"/>
          </a:p>
          <a:p>
            <a:pPr>
              <a:defRPr sz="1600"/>
            </a:pPr>
            <a:r>
              <a:rPr lang="ru-RU" sz="1400" b="1" i="0"/>
              <a:t>за 2020 - 2026 годы</a:t>
            </a:r>
            <a:endParaRPr lang="ru-RU" sz="1400"/>
          </a:p>
        </c:rich>
      </c:tx>
      <c:layout/>
      <c:overlay val="0"/>
    </c:title>
    <c:plotArea>
      <c:layout>
        <c:manualLayout>
          <c:layoutTarget val="inner"/>
          <c:xMode val="edge"/>
          <c:yMode val="edge"/>
          <c:x val="0.011574074074074073"/>
          <c:y val="0.04039682539682541"/>
          <c:w val="0.96759259259259278"/>
          <c:h val="0.66745253296521012"/>
        </c:manualLayout>
      </c:layout>
      <c:lineChart>
        <c:grouping val="standard"/>
        <c:varyColors val="0"/>
        <c:ser>
          <c:idx val="1"/>
          <c:order val="0"/>
          <c:tx>
            <c:strRef>
              <c:f>Лист1!$A$2</c:f>
              <c:strCache>
                <c:ptCount val="1"/>
                <c:pt idx="0">
                  <c:v xml:space="preserve">Кировский район</c:v>
                </c:pt>
              </c:strCache>
            </c:strRef>
          </c:tx>
          <c:marker>
            <c:symbol val="none"/>
          </c:marker>
          <c:trendline>
            <c:spPr bwMode="auto">
              <a:prstGeom prst="rect">
                <a:avLst/>
              </a:prstGeom>
              <a:ln w="12700">
                <a:noFill/>
              </a:ln>
            </c:spPr>
            <c:trendlineType val="linear"/>
          </c:trendline>
          <c:cat>
            <c:strRef>
              <c:f>Лист1!$B$1:$I$1</c:f>
              <c:strCache>
                <c:ptCount val="8"/>
                <c:pt idx="0">
                  <c:v xml:space="preserve">принято в 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</c:strCache>
            </c:strRef>
          </c:cat>
          <c:val>
            <c:numRef>
              <c:f>Лист1!$B$2:$I$2</c:f>
              <c:numCache>
                <c:formatCode>0.00</c:formatCode>
                <c:ptCount val="8"/>
                <c:pt idx="0">
                  <c:v>193</c:v>
                </c:pt>
                <c:pt idx="1">
                  <c:v>92</c:v>
                </c:pt>
                <c:pt idx="2">
                  <c:v>73.5</c:v>
                </c:pt>
                <c:pt idx="3">
                  <c:v>71</c:v>
                </c:pt>
                <c:pt idx="4">
                  <c:v>69.5</c:v>
                </c:pt>
                <c:pt idx="5">
                  <c:v>60.5</c:v>
                </c:pt>
                <c:pt idx="6">
                  <c:v>64.5</c:v>
                </c:pt>
                <c:pt idx="7">
                  <c:v>68.5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Лист1!$A$3</c:f>
              <c:strCache>
                <c:ptCount val="1"/>
                <c:pt idx="0">
                  <c:v xml:space="preserve">Ленинский район</c:v>
                </c:pt>
              </c:strCache>
            </c:strRef>
          </c:tx>
          <c:marker>
            <c:symbol val="none"/>
          </c:marker>
          <c:cat>
            <c:strRef>
              <c:f>Лист1!$B$1:$I$1</c:f>
              <c:strCache>
                <c:ptCount val="8"/>
                <c:pt idx="0">
                  <c:v xml:space="preserve">принято в 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</c:strCache>
            </c:strRef>
          </c:cat>
          <c:val>
            <c:numRef>
              <c:f>Лист1!$B$3:$I$3</c:f>
              <c:numCache>
                <c:formatCode>0.00</c:formatCode>
                <c:ptCount val="8"/>
                <c:pt idx="0">
                  <c:v>385.5</c:v>
                </c:pt>
                <c:pt idx="1">
                  <c:v>175</c:v>
                </c:pt>
                <c:pt idx="2">
                  <c:v>173</c:v>
                </c:pt>
                <c:pt idx="3">
                  <c:v>164</c:v>
                </c:pt>
                <c:pt idx="4">
                  <c:v>157</c:v>
                </c:pt>
                <c:pt idx="5">
                  <c:v>153</c:v>
                </c:pt>
                <c:pt idx="6">
                  <c:v>347</c:v>
                </c:pt>
                <c:pt idx="7">
                  <c:v>694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 xml:space="preserve">Советский район</c:v>
                </c:pt>
              </c:strCache>
            </c:strRef>
          </c:tx>
          <c:marker>
            <c:symbol val="none"/>
          </c:marker>
          <c:cat>
            <c:strRef>
              <c:f>Лист1!$B$1:$I$1</c:f>
              <c:strCache>
                <c:ptCount val="8"/>
                <c:pt idx="0">
                  <c:v xml:space="preserve">принято в 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</c:strCache>
            </c:strRef>
          </c:cat>
          <c:val>
            <c:numRef>
              <c:f>Лист1!$B$4:$I$4</c:f>
              <c:numCache>
                <c:formatCode>0.00</c:formatCode>
                <c:ptCount val="8"/>
                <c:pt idx="0">
                  <c:v>903</c:v>
                </c:pt>
                <c:pt idx="1">
                  <c:v>275</c:v>
                </c:pt>
                <c:pt idx="2">
                  <c:v>228</c:v>
                </c:pt>
                <c:pt idx="3">
                  <c:v>310</c:v>
                </c:pt>
                <c:pt idx="4">
                  <c:v>256</c:v>
                </c:pt>
                <c:pt idx="5">
                  <c:v>217</c:v>
                </c:pt>
                <c:pt idx="6">
                  <c:v>235</c:v>
                </c:pt>
                <c:pt idx="7">
                  <c:v>277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 xml:space="preserve">Трусовский район</c:v>
                </c:pt>
              </c:strCache>
            </c:strRef>
          </c:tx>
          <c:marker>
            <c:symbol val="none"/>
          </c:marker>
          <c:cat>
            <c:strRef>
              <c:f>Лист1!$B$1:$I$1</c:f>
              <c:strCache>
                <c:ptCount val="8"/>
                <c:pt idx="0">
                  <c:v xml:space="preserve">принято в 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</c:strCache>
            </c:strRef>
          </c:cat>
          <c:val>
            <c:numRef>
              <c:f>Лист1!$B$5:$I$5</c:f>
              <c:numCache>
                <c:formatCode>0.00</c:formatCode>
                <c:ptCount val="8"/>
                <c:pt idx="0">
                  <c:v>60</c:v>
                </c:pt>
                <c:pt idx="1">
                  <c:v>55</c:v>
                </c:pt>
                <c:pt idx="2">
                  <c:v>67</c:v>
                </c:pt>
                <c:pt idx="3">
                  <c:v>59</c:v>
                </c:pt>
                <c:pt idx="4">
                  <c:v>54</c:v>
                </c:pt>
                <c:pt idx="5">
                  <c:v>57</c:v>
                </c:pt>
                <c:pt idx="6">
                  <c:v>56</c:v>
                </c:pt>
                <c:pt idx="7">
                  <c:v>53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 xml:space="preserve">Ахтубинский район</c:v>
                </c:pt>
              </c:strCache>
            </c:strRef>
          </c:tx>
          <c:marker>
            <c:symbol val="none"/>
          </c:marker>
          <c:cat>
            <c:strRef>
              <c:f>Лист1!$B$1:$I$1</c:f>
              <c:strCache>
                <c:ptCount val="8"/>
                <c:pt idx="0">
                  <c:v xml:space="preserve">принято в 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</c:strCache>
            </c:strRef>
          </c:cat>
          <c:val>
            <c:numRef>
              <c:f>Лист1!$B$6:$I$6</c:f>
              <c:numCache>
                <c:formatCode>0.00</c:formatCode>
                <c:ptCount val="8"/>
                <c:pt idx="0">
                  <c:v>57</c:v>
                </c:pt>
                <c:pt idx="1">
                  <c:v>496</c:v>
                </c:pt>
                <c:pt idx="2">
                  <c:v>86</c:v>
                </c:pt>
                <c:pt idx="3">
                  <c:v>63</c:v>
                </c:pt>
                <c:pt idx="4">
                  <c:v>61</c:v>
                </c:pt>
                <c:pt idx="5">
                  <c:v>61</c:v>
                </c:pt>
                <c:pt idx="6">
                  <c:v>69</c:v>
                </c:pt>
                <c:pt idx="7">
                  <c:v>63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Лист1!$A$7</c:f>
              <c:strCache>
                <c:ptCount val="1"/>
                <c:pt idx="0">
                  <c:v xml:space="preserve">Володврский район</c:v>
                </c:pt>
              </c:strCache>
            </c:strRef>
          </c:tx>
          <c:marker>
            <c:symbol val="none"/>
          </c:marker>
          <c:cat>
            <c:strRef>
              <c:f>Лист1!$B$1:$I$1</c:f>
              <c:strCache>
                <c:ptCount val="8"/>
                <c:pt idx="0">
                  <c:v xml:space="preserve">принято в 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</c:strCache>
            </c:strRef>
          </c:cat>
          <c:val>
            <c:numRef>
              <c:f>Лист1!$B$7:$I$7</c:f>
              <c:numCache>
                <c:formatCode>0.00</c:formatCode>
                <c:ptCount val="8"/>
                <c:pt idx="0">
                  <c:v>483</c:v>
                </c:pt>
                <c:pt idx="1">
                  <c:v>140</c:v>
                </c:pt>
                <c:pt idx="2">
                  <c:v>124</c:v>
                </c:pt>
                <c:pt idx="3">
                  <c:v>123</c:v>
                </c:pt>
                <c:pt idx="4">
                  <c:v>133</c:v>
                </c:pt>
                <c:pt idx="5">
                  <c:v>122</c:v>
                </c:pt>
                <c:pt idx="6">
                  <c:v>112</c:v>
                </c:pt>
                <c:pt idx="7">
                  <c:v>124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Лист1!$A$8</c:f>
              <c:strCache>
                <c:ptCount val="1"/>
                <c:pt idx="0">
                  <c:v xml:space="preserve">Енотаевский район</c:v>
                </c:pt>
              </c:strCache>
            </c:strRef>
          </c:tx>
          <c:marker>
            <c:symbol val="none"/>
          </c:marker>
          <c:cat>
            <c:strRef>
              <c:f>Лист1!$B$1:$I$1</c:f>
              <c:strCache>
                <c:ptCount val="8"/>
                <c:pt idx="0">
                  <c:v xml:space="preserve">принято в 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</c:strCache>
            </c:strRef>
          </c:cat>
          <c:val>
            <c:numRef>
              <c:f>Лист1!$B$8:$I$8</c:f>
              <c:numCache>
                <c:formatCode>0.00</c:formatCode>
                <c:ptCount val="8"/>
                <c:pt idx="0">
                  <c:v>82</c:v>
                </c:pt>
                <c:pt idx="1">
                  <c:v>73</c:v>
                </c:pt>
                <c:pt idx="2">
                  <c:v>65</c:v>
                </c:pt>
                <c:pt idx="3">
                  <c:v>69</c:v>
                </c:pt>
                <c:pt idx="4">
                  <c:v>70</c:v>
                </c:pt>
                <c:pt idx="5">
                  <c:v>59</c:v>
                </c:pt>
                <c:pt idx="6">
                  <c:v>68</c:v>
                </c:pt>
                <c:pt idx="7">
                  <c:v>57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Лист1!$A$9</c:f>
              <c:strCache>
                <c:ptCount val="1"/>
                <c:pt idx="0">
                  <c:v xml:space="preserve">ЗАТО Знаменск АО</c:v>
                </c:pt>
              </c:strCache>
            </c:strRef>
          </c:tx>
          <c:marker>
            <c:symbol val="none"/>
          </c:marker>
          <c:cat>
            <c:strRef>
              <c:f>Лист1!$B$1:$I$1</c:f>
              <c:strCache>
                <c:ptCount val="8"/>
                <c:pt idx="0">
                  <c:v xml:space="preserve">принято в 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</c:strCache>
            </c:strRef>
          </c:cat>
          <c:val>
            <c:numRef>
              <c:f>Лист1!$B$9:$I$9</c:f>
              <c:numCache>
                <c:formatCode>0.00</c:formatCode>
                <c:ptCount val="8"/>
                <c:pt idx="0">
                  <c:v>184</c:v>
                </c:pt>
                <c:pt idx="1">
                  <c:v>162.5</c:v>
                </c:pt>
                <c:pt idx="2">
                  <c:v>143.5</c:v>
                </c:pt>
                <c:pt idx="3">
                  <c:v>118.5</c:v>
                </c:pt>
                <c:pt idx="4">
                  <c:v>110.5</c:v>
                </c:pt>
                <c:pt idx="5">
                  <c:v>110.5</c:v>
                </c:pt>
                <c:pt idx="6">
                  <c:v>101.5</c:v>
                </c:pt>
                <c:pt idx="7">
                  <c:v>120.5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Лист1!$A$10</c:f>
              <c:strCache>
                <c:ptCount val="1"/>
                <c:pt idx="0">
                  <c:v xml:space="preserve">Икрянинский район</c:v>
                </c:pt>
              </c:strCache>
            </c:strRef>
          </c:tx>
          <c:marker>
            <c:symbol val="none"/>
          </c:marker>
          <c:cat>
            <c:strRef>
              <c:f>Лист1!$B$1:$I$1</c:f>
              <c:strCache>
                <c:ptCount val="8"/>
                <c:pt idx="0">
                  <c:v xml:space="preserve">принято в 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</c:strCache>
            </c:strRef>
          </c:cat>
          <c:val>
            <c:numRef>
              <c:f>Лист1!$B$10:$I$10</c:f>
              <c:numCache>
                <c:formatCode>0.00</c:formatCode>
                <c:ptCount val="8"/>
                <c:pt idx="0">
                  <c:v>120</c:v>
                </c:pt>
                <c:pt idx="1">
                  <c:v>249.5</c:v>
                </c:pt>
                <c:pt idx="2">
                  <c:v>234</c:v>
                </c:pt>
                <c:pt idx="3">
                  <c:v>241</c:v>
                </c:pt>
                <c:pt idx="4">
                  <c:v>230</c:v>
                </c:pt>
                <c:pt idx="5">
                  <c:v>244</c:v>
                </c:pt>
                <c:pt idx="6">
                  <c:v>224</c:v>
                </c:pt>
                <c:pt idx="7">
                  <c:v>223</c:v>
                </c:pt>
              </c:numCache>
            </c:numRef>
          </c:val>
          <c:smooth val="0"/>
        </c:ser>
        <c:ser>
          <c:idx val="9"/>
          <c:order val="9"/>
          <c:tx>
            <c:strRef>
              <c:f>Лист1!$A$11</c:f>
              <c:strCache>
                <c:ptCount val="1"/>
                <c:pt idx="0">
                  <c:v xml:space="preserve">Камызякский район</c:v>
                </c:pt>
              </c:strCache>
            </c:strRef>
          </c:tx>
          <c:marker>
            <c:symbol val="none"/>
          </c:marker>
          <c:cat>
            <c:strRef>
              <c:f>Лист1!$B$1:$I$1</c:f>
              <c:strCache>
                <c:ptCount val="8"/>
                <c:pt idx="0">
                  <c:v xml:space="preserve">принято в 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</c:strCache>
            </c:strRef>
          </c:cat>
          <c:val>
            <c:numRef>
              <c:f>Лист1!$B$11:$I$11</c:f>
              <c:numCache>
                <c:formatCode>0.00</c:formatCode>
                <c:ptCount val="8"/>
                <c:pt idx="0">
                  <c:v>624</c:v>
                </c:pt>
                <c:pt idx="1">
                  <c:v>256</c:v>
                </c:pt>
                <c:pt idx="2">
                  <c:v>182</c:v>
                </c:pt>
                <c:pt idx="3">
                  <c:v>192</c:v>
                </c:pt>
                <c:pt idx="4">
                  <c:v>162</c:v>
                </c:pt>
                <c:pt idx="5">
                  <c:v>190</c:v>
                </c:pt>
                <c:pt idx="6">
                  <c:v>181</c:v>
                </c:pt>
                <c:pt idx="7">
                  <c:v>161</c:v>
                </c:pt>
              </c:numCache>
            </c:numRef>
          </c:val>
          <c:smooth val="0"/>
        </c:ser>
        <c:ser>
          <c:idx val="10"/>
          <c:order val="10"/>
          <c:tx>
            <c:strRef>
              <c:f>Лист1!$A$12</c:f>
              <c:strCache>
                <c:ptCount val="1"/>
                <c:pt idx="0">
                  <c:v xml:space="preserve">Красноярский район</c:v>
                </c:pt>
              </c:strCache>
            </c:strRef>
          </c:tx>
          <c:marker>
            <c:symbol val="none"/>
          </c:marker>
          <c:cat>
            <c:strRef>
              <c:f>Лист1!$B$1:$I$1</c:f>
              <c:strCache>
                <c:ptCount val="8"/>
                <c:pt idx="0">
                  <c:v xml:space="preserve">принято в 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</c:strCache>
            </c:strRef>
          </c:cat>
          <c:val>
            <c:numRef>
              <c:f>Лист1!$B$12:$I$12</c:f>
              <c:numCache>
                <c:formatCode>0.00</c:formatCode>
                <c:ptCount val="8"/>
                <c:pt idx="0">
                  <c:v>102</c:v>
                </c:pt>
                <c:pt idx="1">
                  <c:v>40</c:v>
                </c:pt>
                <c:pt idx="2">
                  <c:v>45.15</c:v>
                </c:pt>
                <c:pt idx="3">
                  <c:v>35</c:v>
                </c:pt>
                <c:pt idx="4">
                  <c:v>25</c:v>
                </c:pt>
                <c:pt idx="5">
                  <c:v>34</c:v>
                </c:pt>
                <c:pt idx="6">
                  <c:v>27.5</c:v>
                </c:pt>
                <c:pt idx="7">
                  <c:v>26</c:v>
                </c:pt>
              </c:numCache>
            </c:numRef>
          </c:val>
          <c:smooth val="0"/>
        </c:ser>
        <c:ser>
          <c:idx val="11"/>
          <c:order val="11"/>
          <c:tx>
            <c:strRef>
              <c:f>Лист1!$A$13</c:f>
              <c:strCache>
                <c:ptCount val="1"/>
                <c:pt idx="0">
                  <c:v xml:space="preserve">Лиманский район</c:v>
                </c:pt>
              </c:strCache>
            </c:strRef>
          </c:tx>
          <c:marker>
            <c:symbol val="none"/>
          </c:marker>
          <c:cat>
            <c:strRef>
              <c:f>Лист1!$B$1:$I$1</c:f>
              <c:strCache>
                <c:ptCount val="8"/>
                <c:pt idx="0">
                  <c:v xml:space="preserve">принято в 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</c:strCache>
            </c:strRef>
          </c:cat>
          <c:val>
            <c:numRef>
              <c:f>Лист1!$B$13:$I$13</c:f>
              <c:numCache>
                <c:formatCode>0.00</c:formatCode>
                <c:ptCount val="8"/>
                <c:pt idx="0">
                  <c:v>316</c:v>
                </c:pt>
                <c:pt idx="1">
                  <c:v>155</c:v>
                </c:pt>
                <c:pt idx="2">
                  <c:v>136</c:v>
                </c:pt>
                <c:pt idx="3">
                  <c:v>151</c:v>
                </c:pt>
                <c:pt idx="4">
                  <c:v>131</c:v>
                </c:pt>
                <c:pt idx="5">
                  <c:v>125</c:v>
                </c:pt>
                <c:pt idx="6">
                  <c:v>135</c:v>
                </c:pt>
                <c:pt idx="7">
                  <c:v>126</c:v>
                </c:pt>
              </c:numCache>
            </c:numRef>
          </c:val>
          <c:smooth val="0"/>
        </c:ser>
        <c:ser>
          <c:idx val="12"/>
          <c:order val="12"/>
          <c:tx>
            <c:strRef>
              <c:f>Лист1!$A$14</c:f>
              <c:strCache>
                <c:ptCount val="1"/>
                <c:pt idx="0">
                  <c:v xml:space="preserve">Наримановский район</c:v>
                </c:pt>
              </c:strCache>
            </c:strRef>
          </c:tx>
          <c:marker>
            <c:symbol val="none"/>
          </c:marker>
          <c:cat>
            <c:strRef>
              <c:f>Лист1!$B$1:$I$1</c:f>
              <c:strCache>
                <c:ptCount val="8"/>
                <c:pt idx="0">
                  <c:v xml:space="preserve">принято в 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</c:strCache>
            </c:strRef>
          </c:cat>
          <c:val>
            <c:numRef>
              <c:f>Лист1!$B$14:$I$14</c:f>
              <c:numCache>
                <c:formatCode>0.00</c:formatCode>
                <c:ptCount val="8"/>
                <c:pt idx="0">
                  <c:v>1554</c:v>
                </c:pt>
                <c:pt idx="1">
                  <c:v>596</c:v>
                </c:pt>
                <c:pt idx="2">
                  <c:v>375</c:v>
                </c:pt>
                <c:pt idx="3">
                  <c:v>198</c:v>
                </c:pt>
                <c:pt idx="4">
                  <c:v>230</c:v>
                </c:pt>
                <c:pt idx="5">
                  <c:v>243</c:v>
                </c:pt>
                <c:pt idx="6">
                  <c:v>238</c:v>
                </c:pt>
                <c:pt idx="7">
                  <c:v>246</c:v>
                </c:pt>
              </c:numCache>
            </c:numRef>
          </c:val>
          <c:smooth val="0"/>
        </c:ser>
        <c:ser>
          <c:idx val="13"/>
          <c:order val="13"/>
          <c:tx>
            <c:strRef>
              <c:f>Лист1!$A$15</c:f>
              <c:strCache>
                <c:ptCount val="1"/>
                <c:pt idx="0">
                  <c:v xml:space="preserve">Приволжский район</c:v>
                </c:pt>
              </c:strCache>
            </c:strRef>
          </c:tx>
          <c:marker>
            <c:symbol val="none"/>
          </c:marker>
          <c:cat>
            <c:strRef>
              <c:f>Лист1!$B$1:$I$1</c:f>
              <c:strCache>
                <c:ptCount val="8"/>
                <c:pt idx="0">
                  <c:v xml:space="preserve">принято в 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</c:strCache>
            </c:strRef>
          </c:cat>
          <c:val>
            <c:numRef>
              <c:f>Лист1!$B$15:$I$15</c:f>
              <c:numCache>
                <c:formatCode>0.00</c:formatCode>
                <c:ptCount val="8"/>
                <c:pt idx="0">
                  <c:v>29.900000000000002</c:v>
                </c:pt>
                <c:pt idx="1">
                  <c:v>11.3</c:v>
                </c:pt>
                <c:pt idx="2">
                  <c:v>7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7</c:v>
                </c:pt>
              </c:numCache>
            </c:numRef>
          </c:val>
          <c:smooth val="0"/>
        </c:ser>
        <c:ser>
          <c:idx val="14"/>
          <c:order val="14"/>
          <c:tx>
            <c:strRef>
              <c:f>Лист1!$A$16</c:f>
              <c:strCache>
                <c:ptCount val="1"/>
                <c:pt idx="0">
                  <c:v xml:space="preserve">Харабалинский район</c:v>
                </c:pt>
              </c:strCache>
            </c:strRef>
          </c:tx>
          <c:marker>
            <c:symbol val="none"/>
          </c:marker>
          <c:cat>
            <c:strRef>
              <c:f>Лист1!$B$1:$I$1</c:f>
              <c:strCache>
                <c:ptCount val="8"/>
                <c:pt idx="0">
                  <c:v xml:space="preserve">принято в 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</c:strCache>
            </c:strRef>
          </c:cat>
          <c:val>
            <c:numRef>
              <c:f>Лист1!$B$16:$I$16</c:f>
              <c:numCache>
                <c:formatCode>0.00</c:formatCode>
                <c:ptCount val="8"/>
                <c:pt idx="0">
                  <c:v>584</c:v>
                </c:pt>
                <c:pt idx="1">
                  <c:v>381</c:v>
                </c:pt>
                <c:pt idx="2">
                  <c:v>359</c:v>
                </c:pt>
                <c:pt idx="3">
                  <c:v>348</c:v>
                </c:pt>
                <c:pt idx="4">
                  <c:v>340</c:v>
                </c:pt>
                <c:pt idx="5">
                  <c:v>351</c:v>
                </c:pt>
                <c:pt idx="6">
                  <c:v>70</c:v>
                </c:pt>
                <c:pt idx="7">
                  <c:v>69</c:v>
                </c:pt>
              </c:numCache>
            </c:numRef>
          </c:val>
          <c:smooth val="0"/>
        </c:ser>
        <c:ser>
          <c:idx val="15"/>
          <c:order val="15"/>
          <c:tx>
            <c:strRef>
              <c:f>Лист1!$A$17</c:f>
              <c:strCache>
                <c:ptCount val="1"/>
                <c:pt idx="0">
                  <c:v xml:space="preserve">Черноярский район</c:v>
                </c:pt>
              </c:strCache>
            </c:strRef>
          </c:tx>
          <c:marker>
            <c:symbol val="none"/>
          </c:marker>
          <c:cat>
            <c:strRef>
              <c:f>Лист1!$B$1:$I$1</c:f>
              <c:strCache>
                <c:ptCount val="8"/>
                <c:pt idx="0">
                  <c:v xml:space="preserve">принято в 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</c:strCache>
            </c:strRef>
          </c:cat>
          <c:val>
            <c:numRef>
              <c:f>Лист1!$B$17:$I$17</c:f>
              <c:numCache>
                <c:formatCode>0.00</c:formatCode>
                <c:ptCount val="8"/>
                <c:pt idx="0">
                  <c:v>108</c:v>
                </c:pt>
                <c:pt idx="1">
                  <c:v>86</c:v>
                </c:pt>
                <c:pt idx="2">
                  <c:v>55</c:v>
                </c:pt>
                <c:pt idx="3">
                  <c:v>42</c:v>
                </c:pt>
                <c:pt idx="4">
                  <c:v>55</c:v>
                </c:pt>
                <c:pt idx="5">
                  <c:v>60</c:v>
                </c:pt>
                <c:pt idx="6">
                  <c:v>47</c:v>
                </c:pt>
                <c:pt idx="7">
                  <c:v>40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100643584"/>
        <c:axId val="100645120"/>
      </c:lineChart>
      <c:catAx>
        <c:axId val="10064358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00645120"/>
        <c:crosses val="autoZero"/>
        <c:auto val="1"/>
        <c:lblAlgn val="ctr"/>
        <c:lblOffset val="100"/>
        <c:noMultiLvlLbl val="0"/>
      </c:catAx>
      <c:valAx>
        <c:axId val="100645120"/>
        <c:scaling>
          <c:orientation val="minMax"/>
        </c:scaling>
        <c:delete val="1"/>
        <c:axPos val="l"/>
        <c:majorGridlines>
          <c:spPr bwMode="auto">
            <a:prstGeom prst="rect">
              <a:avLst/>
            </a:prstGeom>
            <a:ln>
              <a:noFill/>
            </a:ln>
          </c:spPr>
        </c:majorGridlines>
        <c:numFmt formatCode="0.00" sourceLinked="1"/>
        <c:majorTickMark val="none"/>
        <c:minorTickMark val="none"/>
        <c:tickLblPos val="none"/>
        <c:crossAx val="100643584"/>
        <c:crosses val="autoZero"/>
        <c:crossBetween val="between"/>
        <c:dispUnits>
          <c:builtInUnit val="thousands"/>
          <c:dispUnitsLbl>
            <c:layout/>
            <c:tx>
              <c:rich>
                <a:bodyPr/>
                <a:lstStyle/>
                <a:p>
                  <a:pPr>
                    <a:defRPr/>
                  </a:pPr>
                  <a:r>
                    <a:rPr/>
                    <a:t> </a:t>
                  </a:r>
                  <a:endParaRPr/>
                </a:p>
              </c:rich>
            </c:tx>
          </c:dispUnitsLbl>
        </c:dispUnits>
      </c:valAx>
    </c:plotArea>
    <c:legend>
      <c:legendPos val="b"/>
      <c:legendEntry>
        <c:idx val="16"/>
        <c:delete val="1"/>
      </c:legendEntry>
      <c:layout>
        <c:manualLayout>
          <c:xMode val="edge"/>
          <c:yMode val="edge"/>
          <c:x val="0.017291666666666667"/>
          <c:y val="0.86129654845775849"/>
          <c:w val="0.92143518518518519"/>
          <c:h val="0.11501167617205744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11"/>
    </mc:Choice>
    <mc:Fallback>
      <c:style val="11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Потребность в квалифицированных кадрах</a:t>
            </a:r>
            <a:endParaRPr/>
          </a:p>
          <a:p>
            <a:pPr>
              <a:defRPr sz="1400"/>
            </a:pPr>
            <a:r>
              <a:rPr lang="ru-RU" sz="1400"/>
              <a:t>в территориальном разрезе</a:t>
            </a:r>
            <a:endParaRPr/>
          </a:p>
        </c:rich>
      </c:tx>
      <c:layout/>
      <c:overlay val="0"/>
    </c:title>
    <c:view3D>
      <c:rAngAx val="1"/>
    </c:view3D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Город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strCache>
            </c:strRef>
          </c:cat>
          <c:val>
            <c:numRef>
              <c:f>Лист1!$B$2:$H$2</c:f>
              <c:numCache>
                <c:formatCode>0.0%</c:formatCode>
                <c:ptCount val="7"/>
                <c:pt idx="0">
                  <c:v>0.18407177874387196</c:v>
                </c:pt>
                <c:pt idx="1">
                  <c:v>0.23011707710940654</c:v>
                </c:pt>
                <c:pt idx="2">
                  <c:v>0.2756103125712982</c:v>
                </c:pt>
                <c:pt idx="3">
                  <c:v>0.2565758010521282</c:v>
                </c:pt>
                <c:pt idx="4">
                  <c:v>0.2328080229226361</c:v>
                </c:pt>
                <c:pt idx="5">
                  <c:v>0.3543505674653216</c:v>
                </c:pt>
                <c:pt idx="6">
                  <c:v>0.46390658174097676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Село</c:v>
                </c:pt>
              </c:strCache>
            </c:strRef>
          </c:tx>
          <c:cat>
            <c:strRef>
              <c:f>Лист1!$B$1:$H$1</c:f>
              <c:strCach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strCache>
            </c:strRef>
          </c:cat>
          <c:val>
            <c:numRef>
              <c:f>Лист1!$B$3:$H$3</c:f>
              <c:numCache>
                <c:formatCode>0.0%</c:formatCode>
                <c:ptCount val="7"/>
                <c:pt idx="0">
                  <c:v>0.8159282212561282</c:v>
                </c:pt>
                <c:pt idx="1">
                  <c:v>0.7698829228905937</c:v>
                </c:pt>
                <c:pt idx="2">
                  <c:v>0.7243896874287019</c:v>
                </c:pt>
                <c:pt idx="3">
                  <c:v>0.7434241989478718</c:v>
                </c:pt>
                <c:pt idx="4">
                  <c:v>0.767191977077364</c:v>
                </c:pt>
                <c:pt idx="5">
                  <c:v>0.6456494325346789</c:v>
                </c:pt>
                <c:pt idx="6">
                  <c:v>0.5360934182590235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55"/>
        <c:gapDepth val="55"/>
        <c:shape val="cylinder"/>
        <c:axId val="100879744"/>
        <c:axId val="100889728"/>
      </c:bar3DChart>
      <c:catAx>
        <c:axId val="100879744"/>
        <c:scaling>
          <c:orientation val="minMax"/>
        </c:scaling>
        <c:delete val="0"/>
        <c:axPos val="b"/>
        <c:majorTickMark val="none"/>
        <c:minorTickMark val="none"/>
        <c:tickLblPos val="nextTo"/>
        <c:crossAx val="100889728"/>
        <c:crosses val="autoZero"/>
        <c:auto val="1"/>
        <c:lblAlgn val="ctr"/>
        <c:lblOffset val="100"/>
        <c:noMultiLvlLbl val="0"/>
      </c:catAx>
      <c:valAx>
        <c:axId val="100889728"/>
        <c:scaling>
          <c:orientation val="minMax"/>
        </c:scaling>
        <c:delete val="0"/>
        <c:axPos val="l"/>
        <c:majorGridlines>
          <c:spPr bwMode="auto"/>
        </c:majorGridlines>
        <c:numFmt formatCode="0%" sourceLinked="0"/>
        <c:majorTickMark val="none"/>
        <c:minorTickMark val="none"/>
        <c:tickLblPos val="nextTo"/>
        <c:crossAx val="100879744"/>
        <c:crosses val="autoZero"/>
        <c:crossBetween val="between"/>
        <c:majorUnit val="0.20000000000000001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Структура потребности по видам образования </a:t>
            </a:r>
            <a:endParaRPr/>
          </a:p>
          <a:p>
            <a:pPr>
              <a:defRPr sz="1600"/>
            </a:pPr>
            <a:r>
              <a:rPr lang="ru-RU" sz="1600"/>
              <a:t>                                в 2020 - 2026 гг. </a:t>
            </a:r>
            <a:endParaRPr/>
          </a:p>
        </c:rich>
      </c:tx>
      <c:layout>
        <c:manualLayout>
          <c:xMode val="edge"/>
          <c:yMode val="edge"/>
          <c:x val="0.46562947820813599"/>
          <c:y val="0.022490863086870969"/>
        </c:manualLayout>
      </c:layout>
      <c:overlay val="0"/>
    </c:title>
    <c:view3D>
      <c:rotX val="30"/>
      <c:rotY val="210"/>
      <c:perspective val="30"/>
    </c:view3D>
    <c:plotArea>
      <c:layout>
        <c:manualLayout>
          <c:layoutTarget val="inner"/>
          <c:xMode val="edge"/>
          <c:yMode val="edge"/>
          <c:x val="0.070758250747765553"/>
          <c:y val="0.21226593231932603"/>
          <c:w val="0.92922016880270009"/>
          <c:h val="0.6914767155370689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Потребность в кадрах</c:v>
                </c:pt>
              </c:strCache>
            </c:strRef>
          </c:tx>
          <c:explosion val="16"/>
          <c:dPt>
            <c:idx val="2"/>
          </c:dPt>
          <c:dLbls>
            <c:dLbl>
              <c:idx val="0"/>
              <c:layout>
                <c:manualLayout>
                  <c:x val="0.064306656241346419"/>
                  <c:y val="-0.18142736868577763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2"/>
              <c:layout>
                <c:manualLayout>
                  <c:x val="0.056932249390471916"/>
                  <c:y val="0.049856221249568074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1"/>
            <c:showLegendKey val="0"/>
            <c:showPercent val="0"/>
            <c:showSerName val="0"/>
            <c:showVal val="1"/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5"/>
                <c:pt idx="0">
                  <c:v xml:space="preserve">Высшее профессиональное образование (бакалавриат)</c:v>
                </c:pt>
                <c:pt idx="1">
                  <c:v xml:space="preserve">Высшее профессиональное образование (специалитет, магистратура)</c:v>
                </c:pt>
                <c:pt idx="2">
                  <c:v xml:space="preserve">Высшее профессиональное образование (подготовка кадров высшей квалификации)</c:v>
                </c:pt>
                <c:pt idx="3">
                  <c:v xml:space="preserve">Среднее профессиональное образование</c:v>
                </c:pt>
                <c:pt idx="4">
                  <c:v xml:space="preserve">Основное образование (основное общее образование и  среднее общее образование)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0.0718963943230353</c:v>
                </c:pt>
                <c:pt idx="1">
                  <c:v>0.19405420366669168</c:v>
                </c:pt>
                <c:pt idx="2">
                  <c:v>0.05232887982249164</c:v>
                </c:pt>
                <c:pt idx="3">
                  <c:v>0.4211603187443516</c:v>
                </c:pt>
                <c:pt idx="4">
                  <c:v>0.2605602034434299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</c:pie3DChart>
    </c:plotArea>
    <c:legend>
      <c:legendPos val="r"/>
      <c:layout>
        <c:manualLayout>
          <c:xMode val="edge"/>
          <c:yMode val="edge"/>
          <c:x val="0.014672736148191812"/>
          <c:y val="0.03298860383370722"/>
          <c:w val="0.28375409226276432"/>
          <c:h val="0.93347012199878499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27"/>
    </mc:Choice>
    <mc:Fallback>
      <c:style val="27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Востребованные профессии</a:t>
            </a:r>
            <a:endParaRPr/>
          </a:p>
          <a:p>
            <a:pPr>
              <a:defRPr sz="1200"/>
            </a:pPr>
            <a:r>
              <a:rPr lang="ru-RU" sz="1200"/>
              <a:t>(по мере убывания удельного веса от общей потребности в кадрах, %) </a:t>
            </a:r>
            <a:endParaRPr/>
          </a:p>
        </c:rich>
      </c:tx>
      <c:layout>
        <c:manualLayout>
          <c:xMode val="edge"/>
          <c:yMode val="edge"/>
          <c:x val="0.20086231408573929"/>
          <c:y val="0.021439321692505484"/>
        </c:manualLayout>
      </c:layout>
      <c:overlay val="0"/>
    </c:title>
    <c:plotArea>
      <c:layout>
        <c:manualLayout>
          <c:layoutTarget val="inner"/>
          <c:xMode val="edge"/>
          <c:yMode val="edge"/>
          <c:x val="0.21901507848647897"/>
          <c:y val="0.27196604960271081"/>
          <c:w val="0.6390577991377665"/>
          <c:h val="0.65839608368042324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Лист1!$A$4</c:f>
              <c:strCache>
                <c:ptCount val="1"/>
                <c:pt idx="0">
                  <c:v>2019</c:v>
                </c:pt>
              </c:strCache>
            </c:strRef>
          </c:tx>
          <c:dPt>
            <c:idx val="0"/>
          </c:dPt>
          <c:dPt>
            <c:idx val="1"/>
          </c:dPt>
          <c:dPt>
            <c:idx val="2"/>
          </c:dPt>
          <c:dPt>
            <c:idx val="3"/>
          </c:dPt>
          <c:dPt>
            <c:idx val="4"/>
          </c:dPt>
          <c:dPt>
            <c:idx val="5"/>
          </c:dPt>
          <c:cat>
            <c:strRef>
              <c:f>Лист1!$B$3:$L$3</c:f>
              <c:strCache>
                <c:ptCount val="11"/>
                <c:pt idx="0">
                  <c:v>бухгалтер</c:v>
                </c:pt>
                <c:pt idx="1">
                  <c:v xml:space="preserve">уборщик служебных помещений</c:v>
                </c:pt>
                <c:pt idx="2">
                  <c:v>сторож</c:v>
                </c:pt>
                <c:pt idx="3">
                  <c:v>воспитатель</c:v>
                </c:pt>
                <c:pt idx="4">
                  <c:v xml:space="preserve">водитель автомобиля</c:v>
                </c:pt>
                <c:pt idx="5">
                  <c:v>учитель</c:v>
                </c:pt>
                <c:pt idx="6">
                  <c:v>повар</c:v>
                </c:pt>
                <c:pt idx="7">
                  <c:v xml:space="preserve">медицинская сестра</c:v>
                </c:pt>
                <c:pt idx="8">
                  <c:v>библиотекарь</c:v>
                </c:pt>
                <c:pt idx="9">
                  <c:v>делопроизводитель</c:v>
                </c:pt>
                <c:pt idx="10">
                  <c:v>юрист</c:v>
                </c:pt>
              </c:strCache>
            </c:strRef>
          </c:cat>
          <c:val>
            <c:numRef>
              <c:f>Лист1!$B$4:$L$4</c:f>
              <c:numCache>
                <c:formatCode>General</c:formatCode>
                <c:ptCount val="11"/>
                <c:pt idx="0">
                  <c:v>6.9</c:v>
                </c:pt>
                <c:pt idx="1">
                  <c:v>6.6</c:v>
                </c:pt>
                <c:pt idx="2">
                  <c:v>6</c:v>
                </c:pt>
                <c:pt idx="3">
                  <c:v>5</c:v>
                </c:pt>
                <c:pt idx="4">
                  <c:v>4.7</c:v>
                </c:pt>
                <c:pt idx="5">
                  <c:v>4.6</c:v>
                </c:pt>
                <c:pt idx="6">
                  <c:v>4.1</c:v>
                </c:pt>
                <c:pt idx="7">
                  <c:v>2.8</c:v>
                </c:pt>
                <c:pt idx="8">
                  <c:v>2</c:v>
                </c:pt>
                <c:pt idx="9">
                  <c:v>1.8</c:v>
                </c:pt>
                <c:pt idx="10">
                  <c:v>1.7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axId val="115274112"/>
        <c:axId val="115275648"/>
      </c:barChart>
      <c:catAx>
        <c:axId val="115274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crossAx val="115275648"/>
        <c:crosses val="autoZero"/>
        <c:crossesAt val="0"/>
        <c:auto val="1"/>
        <c:lblAlgn val="ctr"/>
        <c:lblOffset val="100"/>
        <c:noMultiLvlLbl val="0"/>
      </c:catAx>
      <c:valAx>
        <c:axId val="115275648"/>
        <c:scaling>
          <c:orientation val="minMax"/>
          <c:max val="6"/>
        </c:scaling>
        <c:delete val="0"/>
        <c:axPos val="b"/>
        <c:majorGridlines>
          <c:spPr bwMode="auto"/>
        </c:majorGridlines>
        <c:numFmt formatCode="General" sourceLinked="1"/>
        <c:majorTickMark val="none"/>
        <c:minorTickMark val="none"/>
        <c:tickLblPos val="nextTo"/>
        <c:crossAx val="115274112"/>
        <c:crosses val="autoZero"/>
        <c:crossBetween val="between"/>
        <c:maj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 xmlns:r="http://schemas.openxmlformats.org/officeDocument/2006/relationships" xmlns:p="http://schemas.openxmlformats.org/presentation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Arial"/>
      <a:cs typeface="Arial"/>
    </a:majorFont>
    <a:minorFont>
      <a:latin typeface="Calibri"/>
      <a:ea typeface="Arial"/>
      <a:cs typeface="Arial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gradFill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/>
      </a:gradFill>
      <a:gradFill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/>
      </a:gradFill>
    </a:bgFillStyleLst>
  </a:fmtScheme>
</a:themeOverrid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AD024D8F-5BA0-473A-87B9-93A08FAA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Агентство по занятости населения Ао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Светлана Федоровна</dc:creator>
  <cp:lastModifiedBy>Имя Фамилия</cp:lastModifiedBy>
  <cp:revision>3</cp:revision>
  <dcterms:created xsi:type="dcterms:W3CDTF">2021-01-28T08:09:00Z</dcterms:created>
  <dcterms:modified xsi:type="dcterms:W3CDTF">2022-07-20T09:39:05Z</dcterms:modified>
</cp:coreProperties>
</file>