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41"/>
      </w:pPr>
      <w:r>
        <w:rPr>
          <w:rStyle w:val="1378"/>
          <w:rFonts w:ascii="Times New Roman" w:hAnsi="Times New Roman" w:cs="Times New Roman"/>
          <w:b w:val="0"/>
          <w:bCs w:val="0"/>
          <w:sz w:val="32"/>
        </w:rPr>
        <w:br/>
      </w:r>
      <w:r>
        <w:rPr>
          <w:rFonts w:ascii="Times New Roman" w:hAnsi="Times New Roman" w:cs="Times New Roman"/>
        </w:rPr>
        <w:t xml:space="preserve">Статистико-аналитический отчет о результатах государственной итоговой аттестации по образовательным программам среднего общего образования в 2021 году</w:t>
      </w:r>
      <w:r/>
    </w:p>
    <w:p>
      <w:pPr>
        <w:pStyle w:val="940"/>
        <w:jc w:val="center"/>
        <w:rPr>
          <w:b/>
          <w:sz w:val="32"/>
          <w:szCs w:val="32"/>
          <w:u w:val="single"/>
        </w:rPr>
      </w:pPr>
      <w:r>
        <w:rPr>
          <w:b/>
          <w:sz w:val="32"/>
          <w:szCs w:val="32"/>
          <w:u w:val="single"/>
        </w:rPr>
        <w:t xml:space="preserve">в Астраханской области</w:t>
      </w:r>
      <w:r/>
    </w:p>
    <w:p>
      <w:pPr>
        <w:pStyle w:val="940"/>
        <w:jc w:val="center"/>
        <w:rPr>
          <w:b/>
          <w:sz w:val="32"/>
          <w:szCs w:val="32"/>
          <w:u w:val="single"/>
        </w:rPr>
      </w:pPr>
      <w:r>
        <w:rPr>
          <w:b/>
          <w:sz w:val="32"/>
          <w:szCs w:val="32"/>
          <w:u w:val="single"/>
        </w:rPr>
      </w:r>
      <w:r/>
    </w:p>
    <w:p>
      <w:pPr>
        <w:pStyle w:val="940"/>
        <w:jc w:val="center"/>
        <w:rPr>
          <w:b/>
          <w:bCs/>
          <w:sz w:val="28"/>
          <w:szCs w:val="28"/>
        </w:rPr>
      </w:pPr>
      <w:r>
        <w:rPr>
          <w:b/>
          <w:bCs/>
          <w:sz w:val="28"/>
          <w:szCs w:val="28"/>
        </w:rPr>
        <w:t xml:space="preserve">Перечень условных обозначений, сокращений и терминов</w:t>
      </w:r>
      <w:r/>
    </w:p>
    <w:p>
      <w:pPr>
        <w:pStyle w:val="940"/>
        <w:rPr>
          <w:b/>
          <w:bCs/>
          <w:sz w:val="28"/>
          <w:szCs w:val="28"/>
        </w:rPr>
      </w:pPr>
      <w:r>
        <w:rPr>
          <w:b/>
          <w:bCs/>
          <w:sz w:val="28"/>
          <w:szCs w:val="28"/>
        </w:rPr>
      </w:r>
      <w:r/>
    </w:p>
    <w:tbl>
      <w:tblPr>
        <w:tblW w:w="4900" w:type="pct"/>
        <w:tblInd w:w="-129" w:type="dxa"/>
        <w:tblLayout w:type="fixed"/>
        <w:tblCellMar>
          <w:left w:w="108" w:type="dxa"/>
          <w:top w:w="57" w:type="dxa"/>
          <w:right w:w="108" w:type="dxa"/>
          <w:bottom w:w="57" w:type="dxa"/>
        </w:tblCellMar>
        <w:tblLook w:val="04A0" w:firstRow="1" w:lastRow="0" w:firstColumn="1" w:lastColumn="0" w:noHBand="0" w:noVBand="1"/>
      </w:tblPr>
      <w:tblGrid>
        <w:gridCol w:w="1884"/>
        <w:gridCol w:w="7561"/>
      </w:tblGrid>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АТЕ</w:t>
            </w:r>
            <w:r/>
          </w:p>
        </w:tc>
        <w:tc>
          <w:tcPr>
            <w:tcBorders>
              <w:top w:val="single" w:color="000000" w:sz="6" w:space="0"/>
              <w:left w:val="single" w:color="000000" w:sz="6" w:space="0"/>
              <w:bottom w:val="single" w:color="000000" w:sz="6" w:space="0"/>
              <w:right w:val="single" w:color="000000" w:sz="6" w:space="0"/>
            </w:tcBorders>
            <w:tcW w:w="7561" w:type="dxa"/>
            <w:textDirection w:val="lrTb"/>
            <w:noWrap w:val="false"/>
          </w:tcPr>
          <w:p>
            <w:pPr>
              <w:pStyle w:val="940"/>
              <w:jc w:val="both"/>
              <w:widowControl w:val="off"/>
            </w:pPr>
            <w:r>
              <w:t xml:space="preserve">Административно-территориальная единица</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ВПЛ</w:t>
            </w:r>
            <w:r/>
          </w:p>
        </w:tc>
        <w:tc>
          <w:tcPr>
            <w:tcBorders>
              <w:top w:val="single" w:color="000000" w:sz="6" w:space="0"/>
              <w:left w:val="single" w:color="000000" w:sz="6" w:space="0"/>
              <w:bottom w:val="single" w:color="000000" w:sz="6" w:space="0"/>
              <w:right w:val="single" w:color="000000" w:sz="6" w:space="0"/>
            </w:tcBorders>
            <w:tcW w:w="7561" w:type="dxa"/>
            <w:textDirection w:val="lrTb"/>
            <w:noWrap w:val="false"/>
          </w:tcPr>
          <w:p>
            <w:pPr>
              <w:pStyle w:val="940"/>
              <w:jc w:val="both"/>
              <w:widowControl w:val="off"/>
            </w:pPr>
            <w:r>
              <w:t xml:space="preserve">Выпускники прошлых лет</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ВТГ</w:t>
            </w:r>
            <w:r/>
          </w:p>
        </w:tc>
        <w:tc>
          <w:tcPr>
            <w:tcBorders>
              <w:top w:val="single" w:color="000000" w:sz="6" w:space="0"/>
              <w:left w:val="single" w:color="000000" w:sz="6" w:space="0"/>
              <w:bottom w:val="single" w:color="000000" w:sz="6" w:space="0"/>
              <w:right w:val="single" w:color="000000" w:sz="6" w:space="0"/>
            </w:tcBorders>
            <w:tcW w:w="7561" w:type="dxa"/>
            <w:textDirection w:val="lrTb"/>
            <w:noWrap w:val="false"/>
          </w:tcPr>
          <w:p>
            <w:pPr>
              <w:pStyle w:val="940"/>
              <w:jc w:val="both"/>
              <w:widowControl w:val="off"/>
            </w:pPr>
            <w:r>
              <w:t xml:space="preserve">Выпускники текущего года</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ГВЭ-11</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Государственный выпускной экзамен по образовательным программам среднего общего образования </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ГВЭ-аттестат</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Государственный выпускной экзамен по образовательным программам среднего общего образования, проводимый для выпускников 11 классов, не планирующих в 2021 году поступать в вуз.</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ГИА-11</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Государственная итоговая аттестация по образовательным программам среднего общего образования</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ЕГЭ </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Единый государственный экзамен</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КИМ</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Контрольные измерительные материалы </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ОИВ</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Органы исполнительной власти субъектов Российской Федерации, осуществляющие государственное управление в сфере образования</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ОО</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Образовательная организация, осуществляющая образовательную деятельность по имеющей государственную аккредитацию образовательной программе</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РИС</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УМК</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rPr>
                <w:iCs/>
              </w:rPr>
            </w:pPr>
            <w:r>
              <w:rPr>
                <w:iCs/>
              </w:rPr>
              <w:t xml:space="preserve">Учебник из Федерального перечня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Участник ЕГЭ / участник экзамена / участник</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Обучающиеся, допущенные в установленном порядке к ГИА в форме ЕГЭ, выпускники прошлых лет, допущенные в установленном порядке к сдаче ЕГЭ</w:t>
            </w:r>
            <w:r/>
          </w:p>
        </w:tc>
      </w:tr>
      <w:tr>
        <w:trPr>
          <w:cantSplit/>
        </w:trPr>
        <w:tc>
          <w:tcPr>
            <w:tcBorders>
              <w:top w:val="single" w:color="000000" w:sz="6" w:space="0"/>
              <w:left w:val="single" w:color="000000" w:sz="6" w:space="0"/>
              <w:bottom w:val="single" w:color="000000" w:sz="6" w:space="0"/>
            </w:tcBorders>
            <w:tcW w:w="1884" w:type="dxa"/>
            <w:textDirection w:val="lrTb"/>
            <w:noWrap w:val="false"/>
          </w:tcPr>
          <w:p>
            <w:pPr>
              <w:pStyle w:val="940"/>
              <w:widowControl w:val="off"/>
            </w:pPr>
            <w:r>
              <w:t xml:space="preserve">Участники ЕГЭ с ОВЗ</w:t>
            </w:r>
            <w:r/>
          </w:p>
        </w:tc>
        <w:tc>
          <w:tcPr>
            <w:tcBorders>
              <w:top w:val="single" w:color="000000" w:sz="6" w:space="0"/>
              <w:left w:val="single" w:color="000000" w:sz="6" w:space="0"/>
              <w:bottom w:val="single" w:color="000000" w:sz="6" w:space="0"/>
              <w:right w:val="single" w:color="000000" w:sz="6" w:space="0"/>
            </w:tcBorders>
            <w:tcW w:w="7561" w:type="dxa"/>
            <w:vAlign w:val="center"/>
            <w:textDirection w:val="lrTb"/>
            <w:noWrap w:val="false"/>
          </w:tcPr>
          <w:p>
            <w:pPr>
              <w:pStyle w:val="940"/>
              <w:jc w:val="both"/>
              <w:widowControl w:val="off"/>
            </w:pPr>
            <w:r>
              <w:t xml:space="preserve">Участники ЕГЭ с ограниченными возможностями здоровья</w:t>
            </w:r>
            <w:r/>
          </w:p>
        </w:tc>
      </w:tr>
    </w:tbl>
    <w:p>
      <w:pPr>
        <w:pStyle w:val="940"/>
        <w:jc w:val="center"/>
      </w:pPr>
      <w:r/>
      <w:r/>
    </w:p>
    <w:p>
      <w:pPr>
        <w:pStyle w:val="940"/>
        <w:jc w:val="center"/>
      </w:pPr>
      <w:r/>
      <w:r/>
    </w:p>
    <w:p>
      <w:pPr>
        <w:pStyle w:val="940"/>
        <w:rPr>
          <w:b/>
          <w:sz w:val="32"/>
          <w:szCs w:val="32"/>
          <w:u w:val="single"/>
        </w:rPr>
      </w:pPr>
      <w:r>
        <w:rPr>
          <w:b/>
          <w:sz w:val="32"/>
          <w:szCs w:val="32"/>
          <w:u w:val="single"/>
        </w:rPr>
      </w:r>
      <w:r/>
    </w:p>
    <w:p>
      <w:pPr>
        <w:pStyle w:val="941"/>
      </w:pPr>
      <w:r>
        <w:rPr>
          <w:rStyle w:val="1378"/>
          <w:rFonts w:ascii="Times New Roman" w:hAnsi="Times New Roman" w:cs="Times New Roman"/>
          <w:b/>
          <w:bCs w:val="0"/>
          <w:sz w:val="32"/>
          <w:lang w:val="ru-RU"/>
        </w:rPr>
        <w:t xml:space="preserve">Глава 1.</w:t>
      </w:r>
      <w:r/>
    </w:p>
    <w:p>
      <w:pPr>
        <w:pStyle w:val="941"/>
      </w:pPr>
      <w:r>
        <w:rPr>
          <w:rStyle w:val="1378"/>
          <w:rFonts w:ascii="Times New Roman" w:hAnsi="Times New Roman" w:cs="Times New Roman"/>
          <w:b/>
          <w:bCs w:val="0"/>
          <w:sz w:val="32"/>
        </w:rPr>
        <w:t xml:space="preserve">Основные количественные характеристики экзаменационной кампании </w:t>
      </w:r>
      <w:r>
        <w:rPr>
          <w:rStyle w:val="1378"/>
          <w:rFonts w:ascii="Times New Roman" w:hAnsi="Times New Roman" w:cs="Times New Roman"/>
          <w:b/>
          <w:bCs w:val="0"/>
          <w:sz w:val="32"/>
          <w:lang w:val="ru-RU"/>
        </w:rPr>
        <w:t xml:space="preserve">ГИА-11</w:t>
      </w:r>
      <w:r>
        <w:rPr>
          <w:rStyle w:val="1378"/>
          <w:rFonts w:ascii="Times New Roman" w:hAnsi="Times New Roman" w:cs="Times New Roman"/>
          <w:b/>
          <w:bCs w:val="0"/>
          <w:sz w:val="32"/>
        </w:rPr>
        <w:t xml:space="preserve"> в 2021 году в субъекте Российской Федерации</w:t>
      </w:r>
      <w:r/>
    </w:p>
    <w:p>
      <w:pPr>
        <w:pStyle w:val="940"/>
        <w:spacing w:line="276" w:lineRule="auto"/>
      </w:pPr>
      <w:r/>
      <w:r/>
    </w:p>
    <w:p>
      <w:pPr>
        <w:pStyle w:val="940"/>
        <w:jc w:val="both"/>
        <w:rPr>
          <w:b/>
        </w:rPr>
      </w:pPr>
      <w:r>
        <w:rPr>
          <w:b/>
        </w:rPr>
        <w:t xml:space="preserve">1. Количество участников экзаменационной кампании ЕГЭ в 2021 году в субъекте Российской Федерации</w:t>
      </w:r>
      <w:r/>
    </w:p>
    <w:p>
      <w:pPr>
        <w:pStyle w:val="1409"/>
        <w:keepNext/>
        <w:rPr>
          <w:bCs w:val="0"/>
          <w:iCs/>
        </w:rPr>
      </w:pPr>
      <w:r>
        <w:rPr>
          <w:bCs w:val="0"/>
          <w:iCs/>
          <w:sz w:val="24"/>
          <w:szCs w:val="24"/>
        </w:rPr>
        <w:t xml:space="preserve">Таблица 1</w:t>
        <w:noBreakHyphen/>
      </w:r>
      <w:r>
        <w:rPr>
          <w:bCs w:val="0"/>
          <w:iCs/>
          <w:sz w:val="24"/>
          <w:szCs w:val="24"/>
        </w:rPr>
        <w:fldChar w:fldCharType="begin"/>
      </w:r>
      <w:r>
        <w:rPr>
          <w:bCs w:val="0"/>
          <w:iCs/>
          <w:sz w:val="24"/>
          <w:szCs w:val="24"/>
        </w:rPr>
        <w:instrText xml:space="preserve"> SEQ Таблица \* ARABIC </w:instrText>
      </w:r>
      <w:r>
        <w:rPr>
          <w:bCs w:val="0"/>
          <w:iCs/>
          <w:sz w:val="24"/>
          <w:szCs w:val="24"/>
        </w:rPr>
        <w:fldChar w:fldCharType="separate"/>
      </w:r>
      <w:r>
        <w:rPr>
          <w:bCs w:val="0"/>
          <w:iCs/>
          <w:sz w:val="24"/>
          <w:szCs w:val="24"/>
        </w:rPr>
        <w:t xml:space="preserve">1</w:t>
      </w:r>
      <w:r>
        <w:rPr>
          <w:bCs w:val="0"/>
          <w:iCs/>
          <w:sz w:val="24"/>
          <w:szCs w:val="24"/>
        </w:rPr>
        <w:fldChar w:fldCharType="end"/>
      </w:r>
      <w:r/>
    </w:p>
    <w:tbl>
      <w:tblPr>
        <w:tblW w:w="9511" w:type="dxa"/>
        <w:tblInd w:w="104" w:type="dxa"/>
        <w:tblLayout w:type="fixed"/>
        <w:tblCellMar>
          <w:left w:w="108" w:type="dxa"/>
          <w:top w:w="0" w:type="dxa"/>
          <w:right w:w="108" w:type="dxa"/>
          <w:bottom w:w="0" w:type="dxa"/>
        </w:tblCellMar>
        <w:tblLook w:val="04A0" w:firstRow="1" w:lastRow="0" w:firstColumn="1" w:lastColumn="0" w:noHBand="0" w:noVBand="1"/>
      </w:tblPr>
      <w:tblGrid>
        <w:gridCol w:w="668"/>
        <w:gridCol w:w="2941"/>
        <w:gridCol w:w="2139"/>
        <w:gridCol w:w="1872"/>
        <w:gridCol w:w="1891"/>
      </w:tblGrid>
      <w:tr>
        <w:trPr>
          <w:cantSplit/>
          <w:trHeight w:val="1691"/>
          <w:tblHeader/>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contextualSpacing/>
              <w:ind w:left="0" w:right="0" w:firstLine="0"/>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Наименование учебного предмета</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ВТГ</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w:t>
              <w:br/>
              <w:t xml:space="preserve">ЕГЭ</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ГВЭ-11 (традиционные категории участников)</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3726</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3911</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92</w:t>
            </w:r>
            <w:r/>
          </w:p>
        </w:tc>
      </w:tr>
      <w:tr>
        <w:trPr>
          <w:cantSplit/>
          <w:trHeight w:val="572"/>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Русский язык в форме</w:t>
              <w:br/>
              <w:t xml:space="preserve">ГВЭ-аттестат</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18</w:t>
            </w:r>
            <w:r>
              <w:rPr>
                <w:rFonts w:ascii="Times New Roman" w:hAnsi="Times New Roman" w:cs="Times New Roman"/>
                <w:sz w:val="24"/>
                <w:szCs w:val="24"/>
                <w:lang w:val="en-US"/>
              </w:rPr>
              <w:t xml:space="preserve">8</w:t>
            </w:r>
            <w:r/>
          </w:p>
        </w:tc>
        <w:tc>
          <w:tcPr>
            <w:shd w:val="clear" w:color="auto" w:fill="d9d9d9"/>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shd w:val="clear" w:color="auto" w:fill="d9d9d9"/>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r>
      <w:tr>
        <w:trPr>
          <w:cantSplit/>
          <w:trHeight w:val="55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(профильный уровень)</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2019</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2158</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88</w:t>
            </w:r>
            <w:r/>
          </w:p>
        </w:tc>
      </w:tr>
      <w:tr>
        <w:trPr>
          <w:cantSplit/>
          <w:trHeight w:val="55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Математика в форме</w:t>
              <w:br/>
              <w:t xml:space="preserve">ГВЭ-аттестат</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188</w:t>
            </w:r>
            <w:r/>
          </w:p>
        </w:tc>
        <w:tc>
          <w:tcPr>
            <w:shd w:val="clear" w:color="auto" w:fill="d9d9d9"/>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shd w:val="clear" w:color="auto" w:fill="d9d9d9"/>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Физика</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928</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972</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Химия</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714</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768</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92"/>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Информатика и ИКТ</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480</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517</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Биология</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739</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825</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История</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604</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659</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География</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72</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80</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Английский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436</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466</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Немецкий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Французский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Обществознание</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1740</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1852</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Испанский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Литература</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193</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225</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r>
        <w:trPr>
          <w:cantSplit/>
          <w:trHeight w:val="279"/>
        </w:trPr>
        <w:tc>
          <w:tcPr>
            <w:tcBorders>
              <w:top w:val="single" w:color="000000" w:sz="4" w:space="0"/>
              <w:left w:val="single" w:color="000000" w:sz="4" w:space="0"/>
              <w:bottom w:val="single" w:color="000000" w:sz="4" w:space="0"/>
            </w:tcBorders>
            <w:tcW w:w="668" w:type="dxa"/>
            <w:vAlign w:val="center"/>
            <w:textDirection w:val="lrTb"/>
            <w:noWrap w:val="false"/>
          </w:tcPr>
          <w:p>
            <w:pPr>
              <w:pStyle w:val="1400"/>
              <w:numPr>
                <w:ilvl w:val="0"/>
                <w:numId w:val="56"/>
              </w:numPr>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2941" w:type="dxa"/>
            <w:vAlign w:val="center"/>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Китайский язык</w:t>
            </w:r>
            <w:r/>
          </w:p>
        </w:tc>
        <w:tc>
          <w:tcPr>
            <w:tcBorders>
              <w:top w:val="single" w:color="000000" w:sz="4" w:space="0"/>
              <w:left w:val="single" w:color="000000" w:sz="4" w:space="0"/>
              <w:bottom w:val="single" w:color="000000" w:sz="4" w:space="0"/>
            </w:tcBorders>
            <w:tcW w:w="213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8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right w:val="single" w:color="000000" w:sz="4" w:space="0"/>
            </w:tcBorders>
            <w:tcW w:w="189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1400"/>
        <w:contextualSpacing/>
        <w:ind w:left="0" w:right="0" w:firstLine="0"/>
        <w:spacing w:before="0" w:after="0" w:line="240" w:lineRule="auto"/>
        <w:rPr>
          <w:rFonts w:ascii="Times New Roman" w:hAnsi="Times New Roman" w:cs="Times New Roman"/>
          <w:sz w:val="18"/>
          <w:szCs w:val="20"/>
        </w:rPr>
      </w:pPr>
      <w:r>
        <w:rPr>
          <w:rFonts w:ascii="Times New Roman" w:hAnsi="Times New Roman" w:cs="Times New Roman"/>
          <w:sz w:val="18"/>
          <w:szCs w:val="20"/>
        </w:rPr>
      </w:r>
      <w:r/>
    </w:p>
    <w:p>
      <w:pPr>
        <w:pStyle w:val="940"/>
        <w:jc w:val="both"/>
        <w:rPr>
          <w:b/>
          <w:lang w:eastAsia="en-US"/>
        </w:rPr>
      </w:pPr>
      <w:r>
        <w:rPr>
          <w:b/>
          <w:lang w:eastAsia="en-US"/>
        </w:rPr>
        <w:t xml:space="preserve">2. Ранжирование всех ОО субъекта Российской Федерации по интегральным показателям качества подготовки выпускников </w:t>
      </w:r>
      <w:r/>
    </w:p>
    <w:p>
      <w:pPr>
        <w:pStyle w:val="1409"/>
        <w:keepNext/>
        <w:rPr>
          <w:bCs w:val="0"/>
          <w:iCs/>
        </w:rPr>
      </w:pPr>
      <w:r>
        <w:rPr>
          <w:bCs w:val="0"/>
          <w:iCs/>
        </w:rPr>
        <w:t xml:space="preserve">Таблица 1</w:t>
        <w:noBreakHyphen/>
      </w:r>
      <w:r>
        <w:rPr>
          <w:bCs w:val="0"/>
          <w:iCs/>
        </w:rPr>
        <w:fldChar w:fldCharType="begin"/>
      </w:r>
      <w:r>
        <w:rPr>
          <w:bCs w:val="0"/>
          <w:iCs/>
        </w:rPr>
        <w:instrText xml:space="preserve"> SEQ Таблица \* ARABIC </w:instrText>
      </w:r>
      <w:r>
        <w:rPr>
          <w:bCs w:val="0"/>
          <w:iCs/>
        </w:rPr>
        <w:fldChar w:fldCharType="separate"/>
      </w:r>
      <w:r>
        <w:rPr>
          <w:bCs w:val="0"/>
          <w:iCs/>
        </w:rPr>
        <w:t xml:space="preserve">2</w:t>
      </w:r>
      <w:r>
        <w:rPr>
          <w:bCs w:val="0"/>
          <w:iCs/>
        </w:rPr>
        <w:fldChar w:fldCharType="end"/>
      </w:r>
      <w:r/>
    </w:p>
    <w:tbl>
      <w:tblPr>
        <w:tblW w:w="9624" w:type="dxa"/>
        <w:tblInd w:w="127" w:type="dxa"/>
        <w:tblLayout w:type="fixed"/>
        <w:tblCellMar>
          <w:left w:w="108" w:type="dxa"/>
          <w:top w:w="0" w:type="dxa"/>
          <w:right w:w="108" w:type="dxa"/>
          <w:bottom w:w="0" w:type="dxa"/>
        </w:tblCellMar>
        <w:tblLook w:val="04A0" w:firstRow="1" w:lastRow="0" w:firstColumn="1" w:lastColumn="0" w:noHBand="0" w:noVBand="1"/>
      </w:tblPr>
      <w:tblGrid>
        <w:gridCol w:w="709"/>
        <w:gridCol w:w="3827"/>
        <w:gridCol w:w="567"/>
        <w:gridCol w:w="709"/>
        <w:gridCol w:w="567"/>
        <w:gridCol w:w="709"/>
        <w:gridCol w:w="567"/>
        <w:gridCol w:w="699"/>
        <w:gridCol w:w="576"/>
        <w:gridCol w:w="694"/>
      </w:tblGrid>
      <w:tr>
        <w:trPr>
          <w:trHeight w:val="630"/>
        </w:trPr>
        <w:tc>
          <w:tcPr>
            <w:tcBorders>
              <w:top w:val="single" w:color="000000" w:sz="4" w:space="0"/>
              <w:left w:val="single" w:color="000000" w:sz="4" w:space="0"/>
              <w:bottom w:val="single" w:color="000000" w:sz="4" w:space="0"/>
            </w:tcBorders>
            <w:tcW w:w="709" w:type="dxa"/>
            <w:vMerge w:val="restart"/>
            <w:textDirection w:val="lrTb"/>
            <w:noWrap w:val="false"/>
          </w:tcPr>
          <w:p>
            <w:pPr>
              <w:pStyle w:val="940"/>
            </w:pPr>
            <w:r>
              <w:t xml:space="preserve">№</w:t>
            </w:r>
            <w:r>
              <w:rPr>
                <w:rFonts w:eastAsia="Times New Roman"/>
              </w:rPr>
              <w:t xml:space="preserve"> </w:t>
            </w:r>
            <w:r>
              <w:t xml:space="preserve">п/п</w:t>
            </w:r>
            <w:r/>
          </w:p>
        </w:tc>
        <w:tc>
          <w:tcPr>
            <w:tcBorders>
              <w:top w:val="single" w:color="000000" w:sz="4" w:space="0"/>
              <w:left w:val="single" w:color="000000" w:sz="4" w:space="0"/>
              <w:bottom w:val="single" w:color="000000" w:sz="4" w:space="0"/>
            </w:tcBorders>
            <w:tcW w:w="3827" w:type="dxa"/>
            <w:vMerge w:val="restart"/>
            <w:textDirection w:val="lrTb"/>
            <w:noWrap w:val="false"/>
          </w:tcPr>
          <w:p>
            <w:pPr>
              <w:pStyle w:val="940"/>
            </w:pPr>
            <w:r>
              <w:t xml:space="preserve">Наименование ОО</w:t>
            </w:r>
            <w:r/>
          </w:p>
        </w:tc>
        <w:tc>
          <w:tcPr>
            <w:gridSpan w:val="8"/>
            <w:tcBorders>
              <w:top w:val="single" w:color="000000" w:sz="4" w:space="0"/>
              <w:left w:val="single" w:color="000000" w:sz="4" w:space="0"/>
              <w:bottom w:val="single" w:color="000000" w:sz="4" w:space="0"/>
              <w:right w:val="single" w:color="000000" w:sz="4" w:space="0"/>
            </w:tcBorders>
            <w:tcW w:w="5088" w:type="dxa"/>
            <w:textDirection w:val="lrTb"/>
            <w:noWrap w:val="false"/>
          </w:tcPr>
          <w:p>
            <w:pPr>
              <w:pStyle w:val="940"/>
            </w:pPr>
            <w:r>
              <w:t xml:space="preserve">ВТГ, получившие суммарно по трём предметам соответствующее количество тестовых баллов</w:t>
            </w:r>
            <w:r/>
          </w:p>
        </w:tc>
      </w:tr>
      <w:tr>
        <w:trPr>
          <w:trHeight w:val="315"/>
        </w:trPr>
        <w:tc>
          <w:tcPr>
            <w:tcBorders>
              <w:top w:val="single" w:color="000000" w:sz="4" w:space="0"/>
              <w:left w:val="single" w:color="000000" w:sz="4" w:space="0"/>
              <w:bottom w:val="single" w:color="000000" w:sz="4" w:space="0"/>
            </w:tcBorders>
            <w:tcW w:w="709" w:type="dxa"/>
            <w:vMerge w:val="continue"/>
            <w:textDirection w:val="lrTb"/>
            <w:noWrap w:val="false"/>
          </w:tcPr>
          <w:p>
            <w:pPr>
              <w:pStyle w:val="940"/>
            </w:pPr>
            <w:r/>
            <w:r/>
          </w:p>
        </w:tc>
        <w:tc>
          <w:tcPr>
            <w:tcBorders>
              <w:top w:val="single" w:color="000000" w:sz="4" w:space="0"/>
              <w:left w:val="single" w:color="000000" w:sz="4" w:space="0"/>
              <w:bottom w:val="single" w:color="000000" w:sz="4" w:space="0"/>
            </w:tcBorders>
            <w:tcW w:w="3827" w:type="dxa"/>
            <w:vMerge w:val="continue"/>
            <w:textDirection w:val="lrTb"/>
            <w:noWrap w:val="false"/>
          </w:tcPr>
          <w:p>
            <w:pPr>
              <w:pStyle w:val="940"/>
            </w:pPr>
            <w:r/>
            <w:r/>
          </w:p>
        </w:tc>
        <w:tc>
          <w:tcPr>
            <w:gridSpan w:val="2"/>
            <w:tcBorders>
              <w:top w:val="single" w:color="000000" w:sz="4" w:space="0"/>
              <w:left w:val="single" w:color="000000" w:sz="4" w:space="0"/>
              <w:bottom w:val="single" w:color="000000" w:sz="4" w:space="0"/>
            </w:tcBorders>
            <w:tcW w:w="1276" w:type="dxa"/>
            <w:textDirection w:val="lrTb"/>
            <w:noWrap w:val="false"/>
          </w:tcPr>
          <w:p>
            <w:pPr>
              <w:pStyle w:val="940"/>
            </w:pPr>
            <w:r>
              <w:t xml:space="preserve">до 160</w:t>
            </w:r>
            <w:r/>
          </w:p>
        </w:tc>
        <w:tc>
          <w:tcPr>
            <w:gridSpan w:val="2"/>
            <w:tcBorders>
              <w:top w:val="single" w:color="000000" w:sz="4" w:space="0"/>
              <w:left w:val="single" w:color="000000" w:sz="4" w:space="0"/>
              <w:bottom w:val="single" w:color="000000" w:sz="4" w:space="0"/>
            </w:tcBorders>
            <w:tcW w:w="1276" w:type="dxa"/>
            <w:textDirection w:val="lrTb"/>
            <w:noWrap w:val="false"/>
          </w:tcPr>
          <w:p>
            <w:pPr>
              <w:pStyle w:val="940"/>
            </w:pPr>
            <w:r>
              <w:t xml:space="preserve">от 161 до 220</w:t>
            </w:r>
            <w:r/>
          </w:p>
        </w:tc>
        <w:tc>
          <w:tcPr>
            <w:gridSpan w:val="2"/>
            <w:tcBorders>
              <w:top w:val="single" w:color="000000" w:sz="4" w:space="0"/>
              <w:left w:val="single" w:color="000000" w:sz="4" w:space="0"/>
              <w:bottom w:val="single" w:color="000000" w:sz="4" w:space="0"/>
            </w:tcBorders>
            <w:tcW w:w="1266" w:type="dxa"/>
            <w:textDirection w:val="lrTb"/>
            <w:noWrap w:val="false"/>
          </w:tcPr>
          <w:p>
            <w:pPr>
              <w:pStyle w:val="940"/>
            </w:pPr>
            <w:r>
              <w:t xml:space="preserve">от 221 до 250</w:t>
            </w:r>
            <w:r/>
          </w:p>
        </w:tc>
        <w:tc>
          <w:tcPr>
            <w:gridSpan w:val="2"/>
            <w:tcBorders>
              <w:top w:val="single" w:color="000000" w:sz="4" w:space="0"/>
              <w:left w:val="single" w:color="000000" w:sz="4" w:space="0"/>
              <w:bottom w:val="single" w:color="000000" w:sz="4" w:space="0"/>
              <w:right w:val="single" w:color="000000" w:sz="4" w:space="0"/>
            </w:tcBorders>
            <w:tcW w:w="1270" w:type="dxa"/>
            <w:textDirection w:val="lrTb"/>
            <w:noWrap w:val="false"/>
          </w:tcPr>
          <w:p>
            <w:pPr>
              <w:pStyle w:val="940"/>
            </w:pPr>
            <w:r>
              <w:t xml:space="preserve">от 251 до 300</w:t>
            </w:r>
            <w:r/>
          </w:p>
        </w:tc>
      </w:tr>
      <w:tr>
        <w:trPr>
          <w:trHeight w:val="315"/>
        </w:trPr>
        <w:tc>
          <w:tcPr>
            <w:tcBorders>
              <w:top w:val="single" w:color="000000" w:sz="4" w:space="0"/>
              <w:left w:val="single" w:color="000000" w:sz="4" w:space="0"/>
              <w:bottom w:val="single" w:color="000000" w:sz="4" w:space="0"/>
            </w:tcBorders>
            <w:tcW w:w="709" w:type="dxa"/>
            <w:vMerge w:val="continue"/>
            <w:textDirection w:val="lrTb"/>
            <w:noWrap w:val="false"/>
          </w:tcPr>
          <w:p>
            <w:pPr>
              <w:pStyle w:val="940"/>
            </w:pPr>
            <w:r/>
            <w:r/>
          </w:p>
        </w:tc>
        <w:tc>
          <w:tcPr>
            <w:tcBorders>
              <w:top w:val="single" w:color="000000" w:sz="4" w:space="0"/>
              <w:left w:val="single" w:color="000000" w:sz="4" w:space="0"/>
              <w:bottom w:val="single" w:color="000000" w:sz="4" w:space="0"/>
            </w:tcBorders>
            <w:tcW w:w="3827" w:type="dxa"/>
            <w:vMerge w:val="continue"/>
            <w:textDirection w:val="lrTb"/>
            <w:noWrap w:val="false"/>
          </w:tcPr>
          <w:p>
            <w:pPr>
              <w:pStyle w:val="940"/>
            </w:pPr>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чел.</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чел.</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чел.</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чел.</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ГБОУ АО «Астраханский технический лицей»</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29,8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29</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34,5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ГБОУ АО «Астраханская лингвистическая гимназия»</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51,7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31,0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4</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13,8</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ГБОУ АО «Школа-интернат одаренных детей им. А.П.Гужвина»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38,2</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17</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ГБОУ АО «Инженерная школа»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31,3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62,5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ФГКОУ АСВУ МВД России</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ГБОУ АО «АКШИ им. П.О. Сухого»</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82,8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ГАПОУ АО «Черноярский губернский колледж»</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ГАОУ АО «Казачий кадетский корпус имени атамана И.А. Бирюкова»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«Гимназия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23,1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38,5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«Гимназия №2»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21,9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9,6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4</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«Гимназия №3»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23,3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17</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16,5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«Гимназия № 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43,8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23,8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21,9</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«Лицей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27</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25,7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19,0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«Лицей № 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17,2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48,3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24,1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9</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«Лицей № 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31,8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13,6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17,9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7,1</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8,3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37,0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34,2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11»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56,0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№12»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54,8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7,1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2,4</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№13»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№14»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№18»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41,9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44,2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11,6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54,5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№22»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31,6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57,9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№23»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37,0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8,7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24»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65,5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3,4</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№26»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56,0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27»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11,5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5</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9,6</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28»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64,0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29»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21,1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 30»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17,0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7</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14,9</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11,1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7,4</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№35»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68,2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13,6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9,1</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36»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56,3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16,7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2,1</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37»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71,4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3,6</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№39»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42,5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40»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№45»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48»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29,0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58,1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6,5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49»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9,7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г.Астрахани «СОШ № 51»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47,2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13,9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71,4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31,6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59»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8,0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61»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34,6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19,2</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64»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37,0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22,2</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№71»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«СОШ № 74 имени Г.Тукая»</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7,0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г. Астрахани «ООШ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МАОУ «СОШ №1 с УИОП имени С.Г.Хуснетдинова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18,3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16,7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 2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№3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№4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23,7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57,9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18,4</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№5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88,2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 6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49,2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5</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7,9</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 8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76,0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 11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6,3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№12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«Болхунская СОШ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«Золотухинская СОШ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«Капустиноярская СОШ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44,4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«Нижнебаскунчакская СОШ МО «Ахтубинский район» имени К.К.Искалиева»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90,9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«Покровская СОШ МО «Ахтубинский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ЗАТО Знаменск Гимназия №231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29,8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48,9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14,9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6,4</w:t>
            </w:r>
            <w:r/>
          </w:p>
        </w:tc>
      </w:tr>
      <w:tr>
        <w:trPr>
          <w:cantSplit/>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ЗАТО Знаменск СОШ №232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56,0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28,0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4,0</w:t>
            </w:r>
            <w:r/>
          </w:p>
        </w:tc>
      </w:tr>
    </w:tbl>
    <w:p>
      <w:pPr>
        <w:pStyle w:val="940"/>
      </w:pPr>
      <w:r>
        <w:br w:type="page"/>
      </w:r>
      <w:r/>
      <w:r/>
    </w:p>
    <w:tbl>
      <w:tblPr>
        <w:tblW w:w="9624" w:type="dxa"/>
        <w:tblInd w:w="127" w:type="dxa"/>
        <w:tblLayout w:type="fixed"/>
        <w:tblCellMar>
          <w:left w:w="108" w:type="dxa"/>
          <w:top w:w="0" w:type="dxa"/>
          <w:right w:w="108" w:type="dxa"/>
          <w:bottom w:w="0" w:type="dxa"/>
        </w:tblCellMar>
        <w:tblLook w:val="04A0" w:firstRow="1" w:lastRow="0" w:firstColumn="1" w:lastColumn="0" w:noHBand="0" w:noVBand="1"/>
      </w:tblPr>
      <w:tblGrid>
        <w:gridCol w:w="709"/>
        <w:gridCol w:w="3827"/>
        <w:gridCol w:w="567"/>
        <w:gridCol w:w="709"/>
        <w:gridCol w:w="567"/>
        <w:gridCol w:w="709"/>
        <w:gridCol w:w="567"/>
        <w:gridCol w:w="699"/>
        <w:gridCol w:w="576"/>
        <w:gridCol w:w="694"/>
      </w:tblGrid>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ЗАТО Знаменск СОШ №233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68,2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27,3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ЗАТО Знаменск СОШ №234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ЗАТО Знаменск СОШ №236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16,7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«Володарская СОШ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4</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21,1</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«Володарская СОШ № 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48,1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18,5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7,4</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«Алтынжарская СОШ им. Курмангазы»</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«Зеленгинская СОШ им. Н.В.Кашина»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69,2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7,7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«Козловская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«Марфинская СОШ им. М.Д.Колосова»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«Мултановская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«Новинская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«Сизобугорская СОШ им. поэта Мажлиса Утежанова»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44,4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22,2</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«Тишковская СОШ» им. П.П.Мурыгина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«Тумакская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22,2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11,1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«Цветновская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6,7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МКОО «Калининская СОШ им. академика Ережепа Мамбетказиева»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«Замьяновская СОШ» МО «Енотаевский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«Ленинская СОШ» МО «Енотаевский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п. Волжский» МО «Енотаевский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16,7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 Енотаевка» МО «Енотаевский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51,6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9,7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3,2</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 Никольское» МО «Енотаевский район»</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18,2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72,7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«Бахтемирская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«Житнинская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«Икрянинская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9,5</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«Ильинская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36,4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63,6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«Краснобаррикадная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48,0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«Мумринская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«Оранжерейнинская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«Седлистинская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«Трудфронтская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«Лицей №1 им. А.П. Гужвина г. Камызяк»</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18,2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22,7</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13,6</w:t>
            </w:r>
            <w:r/>
          </w:p>
        </w:tc>
      </w:tr>
    </w:tbl>
    <w:p>
      <w:pPr>
        <w:pStyle w:val="940"/>
      </w:pPr>
      <w:r>
        <w:br w:type="page"/>
      </w:r>
      <w:r/>
      <w:r/>
    </w:p>
    <w:tbl>
      <w:tblPr>
        <w:tblW w:w="9624" w:type="dxa"/>
        <w:tblInd w:w="127" w:type="dxa"/>
        <w:tblLayout w:type="fixed"/>
        <w:tblCellMar>
          <w:left w:w="108" w:type="dxa"/>
          <w:top w:w="0" w:type="dxa"/>
          <w:right w:w="108" w:type="dxa"/>
          <w:bottom w:w="0" w:type="dxa"/>
        </w:tblCellMar>
        <w:tblLook w:val="04A0" w:firstRow="1" w:lastRow="0" w:firstColumn="1" w:lastColumn="0" w:noHBand="0" w:noVBand="1"/>
      </w:tblPr>
      <w:tblGrid>
        <w:gridCol w:w="709"/>
        <w:gridCol w:w="3827"/>
        <w:gridCol w:w="567"/>
        <w:gridCol w:w="709"/>
        <w:gridCol w:w="567"/>
        <w:gridCol w:w="709"/>
        <w:gridCol w:w="567"/>
        <w:gridCol w:w="699"/>
        <w:gridCol w:w="576"/>
        <w:gridCol w:w="694"/>
      </w:tblGrid>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«Верхнекалиновская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57,1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14,3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«Волго-Каспийская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«Камызякская СОШ № 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23,5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64,7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11,8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«Кировская СОШ им.П.М. Смирнова»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«Никольская СОШ им. Героя Советского Союза Кошманова М.М.»</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«Полдневская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«Раздорская СОШ им. А.П.Гужвина»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«Травинская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«Семибугровская СОШ им.Н.С.Искакова»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«Красноярская СОШ №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15,0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«Красноярская СОШ № 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34,4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53,1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БМОУ «Ахтубинская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«Байбекская СОШ имени Абая Кунанбаева»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«Верхнебузанская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119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«Забузанская СОШ имени Турченко Э.П»</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28,6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42,9</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14,3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«Новоурусовская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«Лиманская СОШ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«ЛСОШ № 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36,8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52,6</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«Зензелинская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«Караванненская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«Новогеоргиевская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«Олинская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«Яндыковская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61,5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30,8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г.Нариманов»</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45,9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29,7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21,6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с.Солянка»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32,0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44,0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16,0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п.Трусово»</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54,5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36,4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с.Старокучергановка»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6,3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«Бирюковская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«Карагалинская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46,2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15,4</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«Килинчинская СОШ им. Героя России А. Тасимова»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77,8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22,2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«Кирпичнозаводская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64,7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17,6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11,8</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«Приволжская СОШ №1»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«Осыпнобугорская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36,4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27,3</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27,3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им. А.Джанибекова с. Растопуловка»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12,5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12,5</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6,3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139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«Татаробашмаковская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«Трёхпротокская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«Яксатовская СОШ»</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58,8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5,9</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 1 г. Харабали им. М.А. Орлова»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22,2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26</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57,8</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15,6</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4,4</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№3 г. Харабали»</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38,5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46,2</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12,8</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2,6</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 Заволжское»</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145</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 Сасыколи им. Г.Г. Коноплёва»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25,0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8,3</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146</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 Селитренное имени Елены Лосевой»</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80,0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147</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с.Тамбовки»</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50,0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35,7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7,1</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7,1</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148</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МКОУ «СОШ с.Хошеутово им.М.Бекмухамбетова»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9,1</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90,9</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149</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Вязовка»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150</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Зубовка»</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33,3</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151</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Каменный Яр им. Героя Советского Союза Аблязова Ф.Р.»</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100,0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0</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152</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Солодники им. Героя Советского Союза Татарченкова П.И»</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60,0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0</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2</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40,0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153</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Старица им.Героя Советского Союза Конева П.Ф.»</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20,0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1</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20,0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154</w:t>
            </w:r>
            <w:r/>
          </w:p>
        </w:tc>
        <w:tc>
          <w:tcPr>
            <w:tcBorders>
              <w:top w:val="single" w:color="000000" w:sz="4" w:space="0"/>
              <w:left w:val="single" w:color="000000" w:sz="4" w:space="0"/>
              <w:bottom w:val="single" w:color="000000" w:sz="4" w:space="0"/>
            </w:tcBorders>
            <w:tcW w:w="3827" w:type="dxa"/>
            <w:textDirection w:val="lrTb"/>
            <w:noWrap w:val="false"/>
          </w:tcPr>
          <w:p>
            <w:pPr>
              <w:pStyle w:val="940"/>
            </w:pPr>
            <w:r>
              <w:t xml:space="preserve">МБОУ «СОШ с. Черный Яр»</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30,4</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10</w:t>
            </w:r>
            <w:r/>
          </w:p>
        </w:tc>
        <w:tc>
          <w:tcPr>
            <w:tcBorders>
              <w:top w:val="single" w:color="000000" w:sz="4" w:space="0"/>
              <w:left w:val="single" w:color="000000" w:sz="4" w:space="0"/>
              <w:bottom w:val="single" w:color="000000" w:sz="4" w:space="0"/>
            </w:tcBorders>
            <w:tcW w:w="709" w:type="dxa"/>
            <w:textDirection w:val="lrTb"/>
            <w:noWrap w:val="false"/>
          </w:tcPr>
          <w:p>
            <w:pPr>
              <w:pStyle w:val="940"/>
            </w:pPr>
            <w:r>
              <w:t xml:space="preserve">43,5</w:t>
            </w:r>
            <w:r/>
          </w:p>
        </w:tc>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699" w:type="dxa"/>
            <w:textDirection w:val="lrTb"/>
            <w:noWrap w:val="false"/>
          </w:tcPr>
          <w:p>
            <w:pPr>
              <w:pStyle w:val="940"/>
            </w:pPr>
            <w:r>
              <w:t xml:space="preserve">13,0</w:t>
            </w:r>
            <w:r/>
          </w:p>
        </w:tc>
        <w:tc>
          <w:tcPr>
            <w:tcBorders>
              <w:top w:val="single" w:color="000000" w:sz="4" w:space="0"/>
              <w:left w:val="single" w:color="000000" w:sz="4" w:space="0"/>
              <w:bottom w:val="single" w:color="000000" w:sz="4" w:space="0"/>
            </w:tcBorders>
            <w:tcW w:w="576" w:type="dxa"/>
            <w:textDirection w:val="lrTb"/>
            <w:noWrap w:val="false"/>
          </w:tcPr>
          <w:p>
            <w:pPr>
              <w:pStyle w:val="940"/>
            </w:pPr>
            <w:r>
              <w:t xml:space="preserve">3</w:t>
            </w:r>
            <w:r/>
          </w:p>
        </w:tc>
        <w:tc>
          <w:tcPr>
            <w:tcBorders>
              <w:top w:val="single" w:color="000000" w:sz="4" w:space="0"/>
              <w:left w:val="single" w:color="000000" w:sz="4" w:space="0"/>
              <w:bottom w:val="single" w:color="000000" w:sz="4" w:space="0"/>
              <w:right w:val="single" w:color="000000" w:sz="4" w:space="0"/>
            </w:tcBorders>
            <w:tcW w:w="694" w:type="dxa"/>
            <w:textDirection w:val="lrTb"/>
            <w:noWrap w:val="false"/>
          </w:tcPr>
          <w:p>
            <w:pPr>
              <w:pStyle w:val="940"/>
            </w:pPr>
            <w:r>
              <w:t xml:space="preserve">13,0</w:t>
            </w:r>
            <w:r/>
          </w:p>
        </w:tc>
      </w:tr>
    </w:tbl>
    <w:p>
      <w:pPr>
        <w:pStyle w:val="940"/>
      </w:pPr>
      <w:r/>
      <w:r/>
    </w:p>
    <w:p>
      <w:pPr>
        <w:pStyle w:val="941"/>
        <w:rPr>
          <w:rFonts w:ascii="Times New Roman" w:hAnsi="Times New Roman" w:cs="Times New Roman"/>
        </w:rPr>
      </w:pPr>
      <w:r>
        <w:rPr>
          <w:rFonts w:ascii="Times New Roman" w:hAnsi="Times New Roman" w:cs="Times New Roman"/>
        </w:rPr>
      </w:r>
      <w:r/>
    </w:p>
    <w:p>
      <w:pPr>
        <w:pStyle w:val="941"/>
        <w:rPr>
          <w:rFonts w:ascii="Times New Roman" w:hAnsi="Times New Roman" w:cs="Times New Roman"/>
        </w:rPr>
      </w:pPr>
      <w:r>
        <w:rPr>
          <w:rFonts w:ascii="Times New Roman" w:hAnsi="Times New Roman" w:cs="Times New Roman"/>
        </w:rPr>
      </w:r>
      <w:r/>
    </w:p>
    <w:p>
      <w:pPr>
        <w:pStyle w:val="941"/>
        <w:rPr>
          <w:rFonts w:ascii="Times New Roman" w:hAnsi="Times New Roman" w:cs="Times New Roman"/>
        </w:rPr>
      </w:pPr>
      <w:r>
        <w:rPr>
          <w:rFonts w:ascii="Times New Roman" w:hAnsi="Times New Roman" w:cs="Times New Roman"/>
        </w:rPr>
      </w:r>
      <w:r/>
    </w:p>
    <w:p>
      <w:pPr>
        <w:pStyle w:val="941"/>
        <w:rPr>
          <w:rFonts w:ascii="Times New Roman" w:hAnsi="Times New Roman" w:cs="Times New Roman"/>
        </w:rPr>
      </w:pPr>
      <w:r>
        <w:rPr>
          <w:rFonts w:ascii="Times New Roman" w:hAnsi="Times New Roman" w:cs="Times New Roman"/>
        </w:rPr>
      </w:r>
      <w:r/>
    </w:p>
    <w:p>
      <w:pPr>
        <w:pStyle w:val="941"/>
        <w:rPr>
          <w:rFonts w:ascii="Times New Roman" w:hAnsi="Times New Roman" w:cs="Times New Roman"/>
        </w:rPr>
      </w:pPr>
      <w:r>
        <w:rPr>
          <w:rFonts w:ascii="Times New Roman" w:hAnsi="Times New Roman" w:cs="Times New Roman"/>
        </w:rPr>
      </w:r>
      <w:r/>
    </w:p>
    <w:p>
      <w:pPr>
        <w:pStyle w:val="940"/>
        <w:rPr>
          <w:rFonts w:ascii="Times New Roman" w:hAnsi="Times New Roman" w:cs="Times New Roman"/>
          <w:lang w:val="en-US"/>
        </w:rPr>
      </w:pPr>
      <w:r>
        <w:rPr>
          <w:rFonts w:cs="Times New Roman"/>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1"/>
        <w:rPr>
          <w:rFonts w:ascii="Times New Roman" w:hAnsi="Times New Roman" w:cs="Times New Roman"/>
          <w:lang w:val="ru-RU"/>
        </w:rPr>
      </w:pPr>
      <w:r>
        <w:rPr>
          <w:rFonts w:ascii="Times New Roman" w:hAnsi="Times New Roman" w:cs="Times New Roman"/>
          <w:lang w:val="ru-RU"/>
        </w:rPr>
        <w:t xml:space="preserve">Глава 2 </w:t>
      </w:r>
      <w:r/>
    </w:p>
    <w:p>
      <w:pPr>
        <w:pStyle w:val="941"/>
        <w:rPr>
          <w:rFonts w:ascii="Times New Roman" w:hAnsi="Times New Roman" w:cs="Times New Roman"/>
        </w:rPr>
      </w:pPr>
      <w:r>
        <w:rPr>
          <w:rFonts w:ascii="Times New Roman" w:hAnsi="Times New Roman" w:cs="Times New Roman"/>
        </w:rPr>
        <w:t xml:space="preserve">Методический анализ результатов ЕГЭ</w:t>
        <w:br/>
        <w:t xml:space="preserve">по Русскому языку</w:t>
        <w:br/>
        <w:t xml:space="preserve">  (учебный предмет)</w:t>
      </w:r>
      <w:r/>
    </w:p>
    <w:p>
      <w:pPr>
        <w:pStyle w:val="940"/>
        <w:rPr>
          <w:lang w:val="en-US"/>
        </w:rPr>
      </w:pPr>
      <w:r>
        <w:rPr>
          <w:lang w:val="en-US"/>
        </w:r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0"/>
        <w:jc w:val="both"/>
        <w:rPr>
          <w:b/>
          <w:bCs/>
          <w:sz w:val="28"/>
          <w:szCs w:val="28"/>
        </w:rPr>
      </w:pPr>
      <w:r>
        <w:rPr>
          <w:b/>
          <w:bCs/>
          <w:sz w:val="28"/>
          <w:szCs w:val="28"/>
        </w:rPr>
      </w:r>
      <w:r/>
    </w:p>
    <w:p>
      <w:pPr>
        <w:pStyle w:val="943"/>
        <w:tabs>
          <w:tab w:val="left" w:pos="142" w:leader="none"/>
          <w:tab w:val="clear" w:pos="708" w:leader="none"/>
        </w:tabs>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rPr>
          <w:b/>
          <w:lang w:val="en-US" w:eastAsia="en-US"/>
        </w:rPr>
      </w:pPr>
      <w:r>
        <w:t xml:space="preserve">Таблица 2</w:t>
        <w:noBreakHyphen/>
        <w:t xml:space="preserve">1</w:t>
      </w:r>
      <w:r/>
    </w:p>
    <w:tbl>
      <w:tblPr>
        <w:tblW w:w="4800" w:type="pct"/>
        <w:tblInd w:w="127" w:type="dxa"/>
        <w:tblLayout w:type="fixed"/>
        <w:tblCellMar>
          <w:left w:w="108" w:type="dxa"/>
          <w:top w:w="0" w:type="dxa"/>
          <w:right w:w="108" w:type="dxa"/>
          <w:bottom w:w="0" w:type="dxa"/>
        </w:tblCellMar>
        <w:tblLook w:val="04A0" w:firstRow="1" w:lastRow="0" w:firstColumn="1" w:lastColumn="0" w:noHBand="0" w:noVBand="1"/>
      </w:tblPr>
      <w:tblGrid>
        <w:gridCol w:w="1690"/>
        <w:gridCol w:w="1690"/>
        <w:gridCol w:w="1428"/>
        <w:gridCol w:w="1560"/>
        <w:gridCol w:w="1300"/>
        <w:gridCol w:w="1584"/>
      </w:tblGrid>
      <w:tr>
        <w:trPr/>
        <w:tc>
          <w:tcPr>
            <w:gridSpan w:val="2"/>
            <w:tcBorders>
              <w:top w:val="single" w:color="000000" w:sz="4" w:space="0"/>
              <w:left w:val="single" w:color="000000" w:sz="4" w:space="0"/>
              <w:bottom w:val="single" w:color="000000" w:sz="4" w:space="0"/>
            </w:tcBorders>
            <w:tcW w:w="3380"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298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2884"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69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9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42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30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58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69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4127</w:t>
            </w:r>
            <w:r/>
          </w:p>
        </w:tc>
        <w:tc>
          <w:tcPr>
            <w:tcBorders>
              <w:top w:val="single" w:color="000000" w:sz="4" w:space="0"/>
              <w:left w:val="single" w:color="000000" w:sz="4" w:space="0"/>
              <w:bottom w:val="single" w:color="000000" w:sz="4" w:space="0"/>
            </w:tcBorders>
            <w:tcW w:w="169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95,5</w:t>
            </w:r>
            <w:r/>
          </w:p>
        </w:tc>
        <w:tc>
          <w:tcPr>
            <w:tcBorders>
              <w:top w:val="single" w:color="000000" w:sz="4" w:space="0"/>
              <w:left w:val="single" w:color="000000" w:sz="4" w:space="0"/>
              <w:bottom w:val="single" w:color="000000" w:sz="4" w:space="0"/>
            </w:tcBorders>
            <w:tcW w:w="1428" w:type="dxa"/>
            <w:vAlign w:val="bottom"/>
            <w:textDirection w:val="lrTb"/>
            <w:noWrap w:val="false"/>
          </w:tcPr>
          <w:p>
            <w:pPr>
              <w:pStyle w:val="940"/>
              <w:jc w:val="center"/>
            </w:pPr>
            <w:r>
              <w:t xml:space="preserve">3899</w:t>
            </w:r>
            <w:r/>
          </w:p>
        </w:tc>
        <w:tc>
          <w:tcPr>
            <w:tcBorders>
              <w:top w:val="single" w:color="000000" w:sz="4" w:space="0"/>
              <w:left w:val="single" w:color="000000" w:sz="4" w:space="0"/>
              <w:bottom w:val="single" w:color="000000" w:sz="4" w:space="0"/>
            </w:tcBorders>
            <w:tcW w:w="1560" w:type="dxa"/>
            <w:vAlign w:val="bottom"/>
            <w:textDirection w:val="lrTb"/>
            <w:noWrap w:val="false"/>
          </w:tcPr>
          <w:p>
            <w:pPr>
              <w:pStyle w:val="940"/>
              <w:jc w:val="center"/>
            </w:pPr>
            <w:r>
              <w:t xml:space="preserve">95,9</w:t>
            </w:r>
            <w:r/>
          </w:p>
        </w:tc>
        <w:tc>
          <w:tcPr>
            <w:tcBorders>
              <w:top w:val="single" w:color="000000" w:sz="4" w:space="0"/>
              <w:left w:val="single" w:color="000000" w:sz="4" w:space="0"/>
              <w:bottom w:val="single" w:color="000000" w:sz="4" w:space="0"/>
            </w:tcBorders>
            <w:tcW w:w="1300" w:type="dxa"/>
            <w:vAlign w:val="bottom"/>
            <w:textDirection w:val="lrTb"/>
            <w:noWrap w:val="false"/>
          </w:tcPr>
          <w:p>
            <w:pPr>
              <w:pStyle w:val="940"/>
              <w:jc w:val="center"/>
              <w:rPr>
                <w:lang w:val="en-US"/>
              </w:rPr>
            </w:pPr>
            <w:r>
              <w:rPr>
                <w:lang w:val="en-US"/>
              </w:rPr>
              <w:t xml:space="preserve">3911</w:t>
            </w:r>
            <w:r/>
          </w:p>
        </w:tc>
        <w:tc>
          <w:tcPr>
            <w:tcBorders>
              <w:top w:val="single" w:color="000000" w:sz="4" w:space="0"/>
              <w:left w:val="single" w:color="000000" w:sz="4" w:space="0"/>
              <w:bottom w:val="single" w:color="000000" w:sz="4" w:space="0"/>
              <w:right w:val="single" w:color="000000" w:sz="4" w:space="0"/>
            </w:tcBorders>
            <w:tcW w:w="1584" w:type="dxa"/>
            <w:vAlign w:val="bottom"/>
            <w:textDirection w:val="lrTb"/>
            <w:noWrap w:val="false"/>
          </w:tcPr>
          <w:p>
            <w:pPr>
              <w:pStyle w:val="940"/>
              <w:jc w:val="center"/>
            </w:pPr>
            <w:r>
              <w:t xml:space="preserve">95,8</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4800" w:type="pct"/>
        <w:tblInd w:w="127" w:type="dxa"/>
        <w:tblLayout w:type="fixed"/>
        <w:tblCellMar>
          <w:left w:w="108" w:type="dxa"/>
          <w:top w:w="0" w:type="dxa"/>
          <w:right w:w="108" w:type="dxa"/>
          <w:bottom w:w="0" w:type="dxa"/>
        </w:tblCellMar>
        <w:tblLook w:val="04A0" w:firstRow="1" w:lastRow="0" w:firstColumn="1" w:lastColumn="0" w:noHBand="0" w:noVBand="1"/>
      </w:tblPr>
      <w:tblGrid>
        <w:gridCol w:w="2080"/>
        <w:gridCol w:w="1040"/>
        <w:gridCol w:w="1559"/>
        <w:gridCol w:w="907"/>
        <w:gridCol w:w="1429"/>
        <w:gridCol w:w="775"/>
        <w:gridCol w:w="1462"/>
      </w:tblGrid>
      <w:tr>
        <w:trPr/>
        <w:tc>
          <w:tcPr>
            <w:tcBorders>
              <w:top w:val="single" w:color="000000" w:sz="4" w:space="0"/>
              <w:left w:val="single" w:color="000000" w:sz="4" w:space="0"/>
              <w:bottom w:val="single" w:color="000000" w:sz="4" w:space="0"/>
            </w:tcBorders>
            <w:tcW w:w="2080"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59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33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237"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2080"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104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5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90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42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77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46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2080"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1040" w:type="dxa"/>
            <w:vAlign w:val="center"/>
            <w:textDirection w:val="lrTb"/>
            <w:noWrap w:val="false"/>
          </w:tcPr>
          <w:p>
            <w:pPr>
              <w:pStyle w:val="940"/>
              <w:jc w:val="center"/>
              <w:tabs>
                <w:tab w:val="clear" w:pos="708" w:leader="none"/>
                <w:tab w:val="left" w:pos="10320" w:leader="none"/>
              </w:tabs>
            </w:pPr>
            <w:r>
              <w:t xml:space="preserve">2246</w:t>
            </w:r>
            <w:r/>
          </w:p>
        </w:tc>
        <w:tc>
          <w:tcPr>
            <w:tcBorders>
              <w:top w:val="single" w:color="000000" w:sz="4" w:space="0"/>
              <w:left w:val="single" w:color="000000" w:sz="4" w:space="0"/>
              <w:bottom w:val="single" w:color="000000" w:sz="4" w:space="0"/>
            </w:tcBorders>
            <w:tcW w:w="1559" w:type="dxa"/>
            <w:vAlign w:val="center"/>
            <w:textDirection w:val="lrTb"/>
            <w:noWrap w:val="false"/>
          </w:tcPr>
          <w:p>
            <w:pPr>
              <w:pStyle w:val="940"/>
              <w:jc w:val="center"/>
              <w:tabs>
                <w:tab w:val="clear" w:pos="708" w:leader="none"/>
                <w:tab w:val="left" w:pos="10320" w:leader="none"/>
              </w:tabs>
            </w:pPr>
            <w:r>
              <w:t xml:space="preserve">54,4</w:t>
            </w:r>
            <w:r/>
          </w:p>
        </w:tc>
        <w:tc>
          <w:tcPr>
            <w:tcBorders>
              <w:top w:val="single" w:color="000000" w:sz="4" w:space="0"/>
              <w:left w:val="single" w:color="000000" w:sz="4" w:space="0"/>
              <w:bottom w:val="single" w:color="000000" w:sz="4" w:space="0"/>
            </w:tcBorders>
            <w:tcW w:w="907" w:type="dxa"/>
            <w:vAlign w:val="bottom"/>
            <w:textDirection w:val="lrTb"/>
            <w:noWrap w:val="false"/>
          </w:tcPr>
          <w:p>
            <w:pPr>
              <w:pStyle w:val="940"/>
              <w:jc w:val="center"/>
            </w:pPr>
            <w:r>
              <w:t xml:space="preserve">2207</w:t>
            </w:r>
            <w:r/>
          </w:p>
        </w:tc>
        <w:tc>
          <w:tcPr>
            <w:tcBorders>
              <w:top w:val="single" w:color="000000" w:sz="4" w:space="0"/>
              <w:left w:val="single" w:color="000000" w:sz="4" w:space="0"/>
              <w:bottom w:val="single" w:color="000000" w:sz="4" w:space="0"/>
            </w:tcBorders>
            <w:tcW w:w="1429" w:type="dxa"/>
            <w:vAlign w:val="bottom"/>
            <w:textDirection w:val="lrTb"/>
            <w:noWrap w:val="false"/>
          </w:tcPr>
          <w:p>
            <w:pPr>
              <w:pStyle w:val="940"/>
              <w:jc w:val="center"/>
            </w:pPr>
            <w:r>
              <w:t xml:space="preserve">56,6</w:t>
            </w:r>
            <w:r/>
          </w:p>
        </w:tc>
        <w:tc>
          <w:tcPr>
            <w:tcBorders>
              <w:top w:val="single" w:color="000000" w:sz="4" w:space="0"/>
              <w:left w:val="single" w:color="000000" w:sz="4" w:space="0"/>
              <w:bottom w:val="single" w:color="000000" w:sz="4" w:space="0"/>
            </w:tcBorders>
            <w:tcW w:w="775" w:type="dxa"/>
            <w:vAlign w:val="bottom"/>
            <w:textDirection w:val="lrTb"/>
            <w:noWrap w:val="false"/>
          </w:tcPr>
          <w:p>
            <w:pPr>
              <w:pStyle w:val="940"/>
              <w:jc w:val="right"/>
            </w:pPr>
            <w:r>
              <w:t xml:space="preserve">2163</w:t>
            </w:r>
            <w:r/>
          </w:p>
        </w:tc>
        <w:tc>
          <w:tcPr>
            <w:tcBorders>
              <w:top w:val="single" w:color="000000" w:sz="4" w:space="0"/>
              <w:left w:val="single" w:color="000000" w:sz="4" w:space="0"/>
              <w:bottom w:val="single" w:color="000000" w:sz="4" w:space="0"/>
              <w:right w:val="single" w:color="000000" w:sz="4" w:space="0"/>
            </w:tcBorders>
            <w:tcW w:w="1462" w:type="dxa"/>
            <w:vAlign w:val="bottom"/>
            <w:textDirection w:val="lrTb"/>
            <w:noWrap w:val="false"/>
          </w:tcPr>
          <w:p>
            <w:pPr>
              <w:pStyle w:val="940"/>
              <w:jc w:val="center"/>
            </w:pPr>
            <w:r>
              <w:t xml:space="preserve">55,3</w:t>
            </w:r>
            <w:r/>
          </w:p>
        </w:tc>
      </w:tr>
      <w:tr>
        <w:trPr/>
        <w:tc>
          <w:tcPr>
            <w:tcBorders>
              <w:top w:val="single" w:color="000000" w:sz="4" w:space="0"/>
              <w:left w:val="single" w:color="000000" w:sz="4" w:space="0"/>
              <w:bottom w:val="single" w:color="000000" w:sz="4" w:space="0"/>
            </w:tcBorders>
            <w:tcW w:w="2080"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1040" w:type="dxa"/>
            <w:vAlign w:val="center"/>
            <w:textDirection w:val="lrTb"/>
            <w:noWrap w:val="false"/>
          </w:tcPr>
          <w:p>
            <w:pPr>
              <w:pStyle w:val="940"/>
              <w:jc w:val="center"/>
              <w:tabs>
                <w:tab w:val="clear" w:pos="708" w:leader="none"/>
                <w:tab w:val="left" w:pos="10320" w:leader="none"/>
              </w:tabs>
            </w:pPr>
            <w:r>
              <w:t xml:space="preserve">1881</w:t>
            </w:r>
            <w:r/>
          </w:p>
        </w:tc>
        <w:tc>
          <w:tcPr>
            <w:tcBorders>
              <w:top w:val="single" w:color="000000" w:sz="4" w:space="0"/>
              <w:left w:val="single" w:color="000000" w:sz="4" w:space="0"/>
              <w:bottom w:val="single" w:color="000000" w:sz="4" w:space="0"/>
            </w:tcBorders>
            <w:tcW w:w="1559" w:type="dxa"/>
            <w:vAlign w:val="center"/>
            <w:textDirection w:val="lrTb"/>
            <w:noWrap w:val="false"/>
          </w:tcPr>
          <w:p>
            <w:pPr>
              <w:pStyle w:val="940"/>
              <w:jc w:val="center"/>
              <w:tabs>
                <w:tab w:val="clear" w:pos="708" w:leader="none"/>
                <w:tab w:val="left" w:pos="10320" w:leader="none"/>
              </w:tabs>
            </w:pPr>
            <w:r>
              <w:t xml:space="preserve">45,6</w:t>
            </w:r>
            <w:r/>
          </w:p>
        </w:tc>
        <w:tc>
          <w:tcPr>
            <w:tcBorders>
              <w:top w:val="single" w:color="000000" w:sz="4" w:space="0"/>
              <w:left w:val="single" w:color="000000" w:sz="4" w:space="0"/>
              <w:bottom w:val="single" w:color="000000" w:sz="4" w:space="0"/>
            </w:tcBorders>
            <w:tcW w:w="907" w:type="dxa"/>
            <w:vAlign w:val="bottom"/>
            <w:textDirection w:val="lrTb"/>
            <w:noWrap w:val="false"/>
          </w:tcPr>
          <w:p>
            <w:pPr>
              <w:pStyle w:val="940"/>
              <w:jc w:val="center"/>
            </w:pPr>
            <w:r>
              <w:t xml:space="preserve">1692</w:t>
            </w:r>
            <w:r/>
          </w:p>
        </w:tc>
        <w:tc>
          <w:tcPr>
            <w:tcBorders>
              <w:top w:val="single" w:color="000000" w:sz="4" w:space="0"/>
              <w:left w:val="single" w:color="000000" w:sz="4" w:space="0"/>
              <w:bottom w:val="single" w:color="000000" w:sz="4" w:space="0"/>
            </w:tcBorders>
            <w:tcW w:w="1429" w:type="dxa"/>
            <w:vAlign w:val="bottom"/>
            <w:textDirection w:val="lrTb"/>
            <w:noWrap w:val="false"/>
          </w:tcPr>
          <w:p>
            <w:pPr>
              <w:pStyle w:val="940"/>
              <w:jc w:val="center"/>
            </w:pPr>
            <w:r>
              <w:t xml:space="preserve">43,4</w:t>
            </w:r>
            <w:r/>
          </w:p>
        </w:tc>
        <w:tc>
          <w:tcPr>
            <w:tcBorders>
              <w:top w:val="single" w:color="000000" w:sz="4" w:space="0"/>
              <w:left w:val="single" w:color="000000" w:sz="4" w:space="0"/>
              <w:bottom w:val="single" w:color="000000" w:sz="4" w:space="0"/>
            </w:tcBorders>
            <w:tcW w:w="775" w:type="dxa"/>
            <w:vAlign w:val="bottom"/>
            <w:textDirection w:val="lrTb"/>
            <w:noWrap w:val="false"/>
          </w:tcPr>
          <w:p>
            <w:pPr>
              <w:pStyle w:val="940"/>
              <w:jc w:val="right"/>
            </w:pPr>
            <w:r>
              <w:t xml:space="preserve">1748</w:t>
            </w:r>
            <w:r/>
          </w:p>
        </w:tc>
        <w:tc>
          <w:tcPr>
            <w:tcBorders>
              <w:top w:val="single" w:color="000000" w:sz="4" w:space="0"/>
              <w:left w:val="single" w:color="000000" w:sz="4" w:space="0"/>
              <w:bottom w:val="single" w:color="000000" w:sz="4" w:space="0"/>
              <w:right w:val="single" w:color="000000" w:sz="4" w:space="0"/>
            </w:tcBorders>
            <w:tcW w:w="1462" w:type="dxa"/>
            <w:vAlign w:val="bottom"/>
            <w:textDirection w:val="lrTb"/>
            <w:noWrap w:val="false"/>
          </w:tcPr>
          <w:p>
            <w:pPr>
              <w:pStyle w:val="940"/>
              <w:jc w:val="center"/>
            </w:pPr>
            <w:r>
              <w:t xml:space="preserve">44,7</w:t>
            </w:r>
            <w:r/>
          </w:p>
        </w:tc>
      </w:tr>
    </w:tbl>
    <w:p>
      <w:pPr>
        <w:pStyle w:val="940"/>
      </w:pPr>
      <w:r/>
      <w:r/>
    </w:p>
    <w:p>
      <w:pPr>
        <w:pStyle w:val="943"/>
        <w:tabs>
          <w:tab w:val="left" w:pos="142" w:leader="none"/>
          <w:tab w:val="clear" w:pos="708" w:leader="none"/>
        </w:tabs>
      </w:pPr>
      <w:r>
        <w:rPr>
          <w:rFonts w:ascii="Times New Roman" w:hAnsi="Times New Roman" w:cs="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462" w:type="dxa"/>
        <w:tblInd w:w="127" w:type="dxa"/>
        <w:tblLayout w:type="fixed"/>
        <w:tblCellMar>
          <w:left w:w="108" w:type="dxa"/>
          <w:top w:w="0" w:type="dxa"/>
          <w:right w:w="108" w:type="dxa"/>
          <w:bottom w:w="0" w:type="dxa"/>
        </w:tblCellMar>
        <w:tblLook w:val="04A0" w:firstRow="1" w:lastRow="0" w:firstColumn="1" w:lastColumn="0" w:noHBand="0" w:noVBand="1"/>
      </w:tblPr>
      <w:tblGrid>
        <w:gridCol w:w="7315"/>
        <w:gridCol w:w="2147"/>
      </w:tblGrid>
      <w:tr>
        <w:trPr>
          <w:trHeight w:val="267"/>
        </w:trPr>
        <w:tc>
          <w:tcPr>
            <w:tcBorders>
              <w:top w:val="single" w:color="000000" w:sz="4" w:space="0"/>
              <w:left w:val="single" w:color="000000" w:sz="4" w:space="0"/>
              <w:bottom w:val="single" w:color="000000" w:sz="4" w:space="0"/>
            </w:tcBorders>
            <w:tcW w:w="7315"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3911</w:t>
            </w:r>
            <w:r/>
          </w:p>
        </w:tc>
      </w:tr>
      <w:tr>
        <w:trPr>
          <w:trHeight w:val="535"/>
        </w:trPr>
        <w:tc>
          <w:tcPr>
            <w:tcBorders>
              <w:top w:val="single" w:color="000000" w:sz="4" w:space="0"/>
              <w:left w:val="single" w:color="000000" w:sz="4" w:space="0"/>
              <w:bottom w:val="single" w:color="000000" w:sz="4" w:space="0"/>
            </w:tcBorders>
            <w:tcW w:w="7315"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cs="Times New Roman"/>
              </w:rPr>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2"/>
              <w:t xml:space="preserve">*</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rPr>
                <w:rFonts w:cs="Times New Roman"/>
              </w:rPr>
            </w:pPr>
            <w:r>
              <w:rPr>
                <w:rFonts w:cs="Times New Roman"/>
              </w:rPr>
            </w:r>
            <w:r/>
          </w:p>
          <w:p>
            <w:pPr>
              <w:pStyle w:val="940"/>
              <w:contextualSpacing/>
              <w:jc w:val="both"/>
              <w:spacing w:before="0" w:after="0"/>
            </w:pPr>
            <w:r>
              <w:t xml:space="preserve">3682</w:t>
            </w:r>
            <w:r/>
          </w:p>
        </w:tc>
      </w:tr>
      <w:tr>
        <w:trPr>
          <w:trHeight w:val="292"/>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w:t>
            </w:r>
            <w:r/>
          </w:p>
        </w:tc>
      </w:tr>
      <w:tr>
        <w:trPr>
          <w:trHeight w:val="279"/>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139</w:t>
            </w:r>
            <w:r/>
          </w:p>
        </w:tc>
      </w:tr>
      <w:tr>
        <w:trPr>
          <w:trHeight w:val="279"/>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26</w:t>
            </w:r>
            <w:r/>
          </w:p>
        </w:tc>
      </w:tr>
      <w:tr>
        <w:trPr>
          <w:trHeight w:val="292"/>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43</w:t>
            </w:r>
            <w:r/>
          </w:p>
        </w:tc>
      </w:tr>
      <w:tr>
        <w:trPr>
          <w:trHeight w:val="279"/>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2</w:t>
            </w:r>
            <w:r/>
          </w:p>
        </w:tc>
      </w:tr>
      <w:tr>
        <w:trPr>
          <w:trHeight w:val="292"/>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43</w:t>
            </w:r>
            <w:r/>
          </w:p>
        </w:tc>
      </w:tr>
      <w:tr>
        <w:trPr>
          <w:trHeight w:val="279"/>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1</w:t>
            </w:r>
            <w:r/>
          </w:p>
        </w:tc>
      </w:tr>
      <w:tr>
        <w:trPr>
          <w:trHeight w:val="547"/>
        </w:trPr>
        <w:tc>
          <w:tcPr>
            <w:tcBorders>
              <w:top w:val="single" w:color="000000" w:sz="4" w:space="0"/>
              <w:left w:val="single" w:color="000000" w:sz="4" w:space="0"/>
              <w:bottom w:val="single" w:color="000000" w:sz="4" w:space="0"/>
            </w:tcBorders>
            <w:tcW w:w="731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X классов, завершившие освоение программы за курс средней школы</w:t>
            </w:r>
            <w:r/>
          </w:p>
        </w:tc>
        <w:tc>
          <w:tcPr>
            <w:tcBorders>
              <w:top w:val="single" w:color="000000" w:sz="4" w:space="0"/>
              <w:left w:val="single" w:color="000000" w:sz="4" w:space="0"/>
              <w:bottom w:val="single" w:color="000000" w:sz="4" w:space="0"/>
              <w:right w:val="single" w:color="000000" w:sz="4" w:space="0"/>
            </w:tcBorders>
            <w:tcW w:w="2147" w:type="dxa"/>
            <w:textDirection w:val="lrTb"/>
            <w:noWrap w:val="false"/>
          </w:tcPr>
          <w:p>
            <w:pPr>
              <w:pStyle w:val="940"/>
              <w:contextualSpacing/>
              <w:jc w:val="both"/>
              <w:spacing w:before="0" w:after="0"/>
            </w:pPr>
            <w:r>
              <w:t xml:space="preserve">1</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579" w:type="dxa"/>
        <w:tblInd w:w="127" w:type="dxa"/>
        <w:tblLayout w:type="fixed"/>
        <w:tblCellMar>
          <w:left w:w="108" w:type="dxa"/>
          <w:top w:w="0" w:type="dxa"/>
          <w:right w:w="108" w:type="dxa"/>
          <w:bottom w:w="0" w:type="dxa"/>
        </w:tblCellMar>
        <w:tblLook w:val="04A0" w:firstRow="1" w:lastRow="0" w:firstColumn="1" w:lastColumn="0" w:noHBand="0" w:noVBand="1"/>
      </w:tblPr>
      <w:tblGrid>
        <w:gridCol w:w="7405"/>
        <w:gridCol w:w="2174"/>
      </w:tblGrid>
      <w:tr>
        <w:trPr>
          <w:trHeight w:val="268"/>
        </w:trPr>
        <w:tc>
          <w:tcPr>
            <w:tcBorders>
              <w:top w:val="single" w:color="000000" w:sz="4" w:space="0"/>
              <w:left w:val="single" w:color="000000" w:sz="4" w:space="0"/>
              <w:bottom w:val="single" w:color="000000" w:sz="4" w:space="0"/>
            </w:tcBorders>
            <w:tcW w:w="7405"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174" w:type="dxa"/>
            <w:textDirection w:val="lrTb"/>
            <w:noWrap w:val="false"/>
          </w:tcPr>
          <w:p>
            <w:pPr>
              <w:pStyle w:val="940"/>
              <w:contextualSpacing/>
              <w:jc w:val="both"/>
              <w:spacing w:before="0" w:after="0"/>
            </w:pPr>
            <w:r>
              <w:t xml:space="preserve">3682</w:t>
            </w:r>
            <w:r/>
          </w:p>
        </w:tc>
      </w:tr>
      <w:tr>
        <w:trPr>
          <w:trHeight w:val="563"/>
        </w:trPr>
        <w:tc>
          <w:tcPr>
            <w:tcBorders>
              <w:top w:val="single" w:color="000000" w:sz="4" w:space="0"/>
              <w:left w:val="single" w:color="000000" w:sz="4" w:space="0"/>
              <w:bottom w:val="single" w:color="000000" w:sz="4" w:space="0"/>
            </w:tcBorders>
            <w:tcW w:w="7405"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174" w:type="dxa"/>
            <w:textDirection w:val="lrTb"/>
            <w:noWrap w:val="false"/>
          </w:tcPr>
          <w:p>
            <w:pPr>
              <w:pStyle w:val="940"/>
              <w:contextualSpacing/>
              <w:jc w:val="both"/>
              <w:spacing w:before="0" w:after="0"/>
            </w:pPr>
            <w:r>
              <w:t xml:space="preserve">742</w:t>
            </w:r>
            <w:r/>
          </w:p>
        </w:tc>
      </w:tr>
      <w:tr>
        <w:trPr>
          <w:trHeight w:val="281"/>
        </w:trPr>
        <w:tc>
          <w:tcPr>
            <w:tcBorders>
              <w:top w:val="single" w:color="000000" w:sz="4" w:space="0"/>
              <w:left w:val="single" w:color="000000" w:sz="4" w:space="0"/>
              <w:bottom w:val="single" w:color="000000" w:sz="4" w:space="0"/>
            </w:tcBorders>
            <w:tcW w:w="740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174" w:type="dxa"/>
            <w:textDirection w:val="lrTb"/>
            <w:noWrap w:val="false"/>
          </w:tcPr>
          <w:p>
            <w:pPr>
              <w:pStyle w:val="940"/>
              <w:contextualSpacing/>
              <w:jc w:val="both"/>
              <w:spacing w:before="0" w:after="0"/>
            </w:pPr>
            <w:r>
              <w:t xml:space="preserve">2718</w:t>
            </w:r>
            <w:r/>
          </w:p>
        </w:tc>
      </w:tr>
      <w:tr>
        <w:trPr>
          <w:trHeight w:val="281"/>
        </w:trPr>
        <w:tc>
          <w:tcPr>
            <w:tcBorders>
              <w:top w:val="single" w:color="000000" w:sz="4" w:space="0"/>
              <w:left w:val="single" w:color="000000" w:sz="4" w:space="0"/>
              <w:bottom w:val="single" w:color="000000" w:sz="4" w:space="0"/>
            </w:tcBorders>
            <w:tcW w:w="740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174" w:type="dxa"/>
            <w:textDirection w:val="lrTb"/>
            <w:noWrap w:val="false"/>
          </w:tcPr>
          <w:p>
            <w:pPr>
              <w:pStyle w:val="940"/>
              <w:contextualSpacing/>
              <w:jc w:val="both"/>
              <w:spacing w:before="0" w:after="0"/>
            </w:pPr>
            <w:r>
              <w:t xml:space="preserve">9</w:t>
            </w:r>
            <w:r/>
          </w:p>
        </w:tc>
      </w:tr>
      <w:tr>
        <w:trPr>
          <w:trHeight w:val="563"/>
        </w:trPr>
        <w:tc>
          <w:tcPr>
            <w:tcBorders>
              <w:top w:val="single" w:color="000000" w:sz="4" w:space="0"/>
              <w:left w:val="single" w:color="000000" w:sz="4" w:space="0"/>
              <w:bottom w:val="single" w:color="000000" w:sz="4" w:space="0"/>
            </w:tcBorders>
            <w:tcW w:w="740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174" w:type="dxa"/>
            <w:textDirection w:val="lrTb"/>
            <w:noWrap w:val="false"/>
          </w:tcPr>
          <w:p>
            <w:pPr>
              <w:pStyle w:val="940"/>
              <w:contextualSpacing/>
              <w:jc w:val="both"/>
              <w:spacing w:before="0" w:after="0"/>
            </w:pPr>
            <w:r>
              <w:t xml:space="preserve">213</w:t>
            </w:r>
            <w:r/>
          </w:p>
        </w:tc>
      </w:tr>
    </w:tbl>
    <w:p>
      <w:pPr>
        <w:pStyle w:val="940"/>
      </w:pPr>
      <w:r/>
      <w:r/>
    </w:p>
    <w:p>
      <w:pPr>
        <w:pStyle w:val="943"/>
        <w:tabs>
          <w:tab w:val="left" w:pos="142" w:leader="none"/>
          <w:tab w:val="clear" w:pos="708" w:leader="none"/>
        </w:tabs>
      </w:pPr>
      <w:r>
        <w:rPr>
          <w:rFonts w:ascii="Times New Roman" w:hAnsi="Times New Roman" w:cs="Times New Roman"/>
          <w:lang w:val="ru-RU"/>
        </w:rPr>
        <w:t xml:space="preserve">1.5. </w:t>
      </w:r>
      <w:r>
        <w:rPr>
          <w:rFonts w:ascii="Times New Roman" w:hAnsi="Times New Roman" w:cs="Times New Roman"/>
        </w:rPr>
        <w:t xml:space="preserve">Количество участников ЕГЭ по предмету по АТЕ региона</w:t>
      </w:r>
      <w:r/>
    </w:p>
    <w:p>
      <w:pPr>
        <w:pStyle w:val="1409"/>
        <w:keepNext/>
        <w:rPr>
          <w:rFonts w:eastAsia="Times New Roman"/>
          <w:color w:val="000000"/>
        </w:rPr>
      </w:pPr>
      <w:r>
        <w:t xml:space="preserve">Таблица 2</w:t>
        <w:noBreakHyphen/>
        <w:t xml:space="preserve">5</w:t>
      </w:r>
      <w:r/>
    </w:p>
    <w:tbl>
      <w:tblPr>
        <w:tblW w:w="9525" w:type="dxa"/>
        <w:tblInd w:w="127" w:type="dxa"/>
        <w:tblLayout w:type="fixed"/>
        <w:tblCellMar>
          <w:left w:w="108" w:type="dxa"/>
          <w:top w:w="0" w:type="dxa"/>
          <w:right w:w="108" w:type="dxa"/>
          <w:bottom w:w="0" w:type="dxa"/>
        </w:tblCellMar>
        <w:tblLook w:val="04A0" w:firstRow="1" w:lastRow="0" w:firstColumn="1" w:lastColumn="0" w:noHBand="0" w:noVBand="1"/>
      </w:tblPr>
      <w:tblGrid>
        <w:gridCol w:w="3079"/>
        <w:gridCol w:w="3213"/>
        <w:gridCol w:w="3233"/>
      </w:tblGrid>
      <w:tr>
        <w:trPr>
          <w:trHeight w:val="941"/>
        </w:trPr>
        <w:tc>
          <w:tcPr>
            <w:shd w:val="clear" w:color="auto" w:fill="ffffff"/>
            <w:tcBorders>
              <w:top w:val="single" w:color="000000" w:sz="4" w:space="0"/>
              <w:left w:val="single" w:color="000000" w:sz="4" w:space="0"/>
              <w:bottom w:val="single" w:color="000000" w:sz="4" w:space="0"/>
            </w:tcBorders>
            <w:tcW w:w="3079"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русскому языку</w:t>
            </w:r>
            <w:r/>
          </w:p>
        </w:tc>
        <w:tc>
          <w:tcPr>
            <w:shd w:val="clear" w:color="auto" w:fill="ffffff"/>
            <w:tcBorders>
              <w:top w:val="single" w:color="000000" w:sz="4" w:space="0"/>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2142</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54,8</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401</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10,3</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138</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3,5</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148</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3,8</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60</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86</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2,2</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115</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2,9</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84</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72</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89"/>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93</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142</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r>
      <w:tr>
        <w:trPr>
          <w:trHeight w:val="431"/>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142</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60</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139</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43</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213" w:type="dxa"/>
            <w:vAlign w:val="center"/>
            <w:textDirection w:val="lrTb"/>
            <w:noWrap w:val="false"/>
          </w:tcPr>
          <w:p>
            <w:pPr>
              <w:pStyle w:val="940"/>
              <w:jc w:val="center"/>
              <w:rPr>
                <w:rFonts w:eastAsia="Times New Roman"/>
                <w:color w:val="000000"/>
              </w:rPr>
            </w:pPr>
            <w:r>
              <w:rPr>
                <w:rFonts w:eastAsia="Times New Roman"/>
                <w:color w:val="000000"/>
              </w:rPr>
              <w:t xml:space="preserve">2</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0,1</w:t>
            </w:r>
            <w:r/>
          </w:p>
        </w:tc>
      </w:tr>
      <w:tr>
        <w:trPr>
          <w:trHeight w:val="313"/>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213"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43</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627"/>
        </w:trPr>
        <w:tc>
          <w:tcPr>
            <w:shd w:val="clear" w:color="auto" w:fill="ffffff"/>
            <w:tcBorders>
              <w:left w:val="single" w:color="000000" w:sz="4" w:space="0"/>
              <w:bottom w:val="single" w:color="000000" w:sz="4" w:space="0"/>
            </w:tcBorders>
            <w:tcW w:w="3079"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213"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1</w:t>
            </w:r>
            <w:r/>
          </w:p>
        </w:tc>
        <w:tc>
          <w:tcPr>
            <w:shd w:val="clear" w:color="auto" w:fill="ffffff"/>
            <w:tcBorders>
              <w:left w:val="single" w:color="000000" w:sz="4" w:space="0"/>
              <w:bottom w:val="single" w:color="000000" w:sz="4" w:space="0"/>
              <w:right w:val="single" w:color="000000" w:sz="4" w:space="0"/>
            </w:tcBorders>
            <w:tcW w:w="3233"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3"/>
        <w:jc w:val="both"/>
        <w:tabs>
          <w:tab w:val="left" w:pos="142" w:leader="none"/>
          <w:tab w:val="clear" w:pos="708" w:leader="none"/>
        </w:tabs>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1409"/>
        <w:jc w:val="left"/>
        <w:keepNext/>
      </w:pPr>
      <w:r/>
      <w:r/>
    </w:p>
    <w:p>
      <w:pPr>
        <w:pStyle w:val="940"/>
      </w:pPr>
      <w:r/>
      <w:r/>
    </w:p>
    <w:p>
      <w:pPr>
        <w:pStyle w:val="940"/>
      </w:pPr>
      <w:r/>
      <w:r/>
    </w:p>
    <w:p>
      <w:pPr>
        <w:pStyle w:val="940"/>
      </w:pPr>
      <w:r/>
      <w:r/>
    </w:p>
    <w:p>
      <w:pPr>
        <w:pStyle w:val="1409"/>
        <w:keepNext/>
      </w:pPr>
      <w:r>
        <w:t xml:space="preserve">Таблица 2</w:t>
        <w:noBreakHyphen/>
        <w:t xml:space="preserve">6</w:t>
      </w:r>
      <w:r/>
    </w:p>
    <w:tbl>
      <w:tblPr>
        <w:tblW w:w="10105" w:type="dxa"/>
        <w:tblInd w:w="-451" w:type="dxa"/>
        <w:tblLayout w:type="fixed"/>
        <w:tblCellMar>
          <w:left w:w="108" w:type="dxa"/>
          <w:top w:w="0" w:type="dxa"/>
          <w:right w:w="108" w:type="dxa"/>
          <w:bottom w:w="0" w:type="dxa"/>
        </w:tblCellMar>
        <w:tblLook w:val="04A0" w:firstRow="1" w:lastRow="0" w:firstColumn="1" w:lastColumn="0" w:noHBand="0" w:noVBand="1"/>
      </w:tblPr>
      <w:tblGrid>
        <w:gridCol w:w="720"/>
        <w:gridCol w:w="6652"/>
        <w:gridCol w:w="2733"/>
      </w:tblGrid>
      <w:tr>
        <w:trPr>
          <w:cantSplit/>
          <w:tblHeader/>
        </w:trPr>
        <w:tc>
          <w:tcPr>
            <w:tcBorders>
              <w:top w:val="single" w:color="000000" w:sz="4" w:space="0"/>
              <w:left w:val="single" w:color="000000" w:sz="4" w:space="0"/>
              <w:bottom w:val="single" w:color="000000" w:sz="4" w:space="0"/>
            </w:tcBorders>
            <w:tcW w:w="720" w:type="dxa"/>
            <w:vAlign w:val="center"/>
            <w:textDirection w:val="lrTb"/>
            <w:noWrap w:val="false"/>
          </w:tcPr>
          <w:p>
            <w:pPr>
              <w:pStyle w:val="940"/>
              <w:contextualSpacing/>
              <w:jc w:val="center"/>
              <w:spacing w:before="0" w:after="0"/>
            </w:pPr>
            <w:r>
              <w:t xml:space="preserve">№</w:t>
            </w:r>
            <w:r>
              <w:rPr>
                <w:rFonts w:eastAsia="Times New Roman"/>
              </w:rPr>
              <w:t xml:space="preserve"> </w:t>
            </w:r>
            <w:r>
              <w:t xml:space="preserve">п/п</w:t>
            </w:r>
            <w:r/>
          </w:p>
        </w:tc>
        <w:tc>
          <w:tcPr>
            <w:tcBorders>
              <w:top w:val="single" w:color="000000" w:sz="4" w:space="0"/>
              <w:left w:val="single" w:color="000000" w:sz="4" w:space="0"/>
              <w:bottom w:val="single" w:color="000000" w:sz="4" w:space="0"/>
            </w:tcBorders>
            <w:tcW w:w="6652" w:type="dxa"/>
            <w:vAlign w:val="center"/>
            <w:textDirection w:val="lrTb"/>
            <w:noWrap w:val="false"/>
          </w:tcPr>
          <w:p>
            <w:pPr>
              <w:pStyle w:val="940"/>
              <w:contextualSpacing/>
              <w:jc w:val="center"/>
              <w:spacing w:before="0" w:after="0"/>
            </w:pPr>
            <w: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2733" w:type="dxa"/>
            <w:vAlign w:val="center"/>
            <w:textDirection w:val="lrTb"/>
            <w:noWrap w:val="false"/>
          </w:tcPr>
          <w:p>
            <w:pPr>
              <w:pStyle w:val="940"/>
              <w:contextualSpacing/>
              <w:jc w:val="center"/>
              <w:spacing w:before="0" w:after="0"/>
            </w:pPr>
            <w: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720" w:type="dxa"/>
            <w:textDirection w:val="lrTb"/>
            <w:noWrap w:val="false"/>
          </w:tcPr>
          <w:p>
            <w:pPr>
              <w:pStyle w:val="940"/>
              <w:numPr>
                <w:ilvl w:val="0"/>
                <w:numId w:val="59"/>
              </w:numPr>
              <w:ind w:left="360" w:hanging="360"/>
            </w:pPr>
            <w:r/>
            <w:r/>
          </w:p>
        </w:tc>
        <w:tc>
          <w:tcPr>
            <w:tcBorders>
              <w:top w:val="single" w:color="000000" w:sz="4" w:space="0"/>
              <w:left w:val="single" w:color="000000" w:sz="4" w:space="0"/>
              <w:bottom w:val="single" w:color="000000" w:sz="4" w:space="0"/>
            </w:tcBorders>
            <w:tcW w:w="6652" w:type="dxa"/>
            <w:textDirection w:val="lrTb"/>
            <w:noWrap w:val="false"/>
          </w:tcPr>
          <w:p>
            <w:pPr>
              <w:pStyle w:val="940"/>
            </w:pPr>
            <w:r>
              <w:t xml:space="preserve">Линия УМК  И.В. Гусаровой. Русский язык (10-11) (баз., углуб.), 2019</w:t>
            </w:r>
            <w:r/>
          </w:p>
        </w:tc>
        <w:tc>
          <w:tcPr>
            <w:tcBorders>
              <w:top w:val="single" w:color="000000" w:sz="4" w:space="0"/>
              <w:left w:val="single" w:color="000000" w:sz="4" w:space="0"/>
              <w:bottom w:val="single" w:color="000000" w:sz="4" w:space="0"/>
              <w:right w:val="single" w:color="000000" w:sz="4" w:space="0"/>
            </w:tcBorders>
            <w:tcW w:w="2733" w:type="dxa"/>
            <w:vAlign w:val="center"/>
            <w:textDirection w:val="lrTb"/>
            <w:noWrap w:val="false"/>
          </w:tcPr>
          <w:p>
            <w:pPr>
              <w:pStyle w:val="940"/>
              <w:contextualSpacing/>
              <w:jc w:val="center"/>
              <w:spacing w:before="0" w:after="0"/>
            </w:pPr>
            <w:r>
              <w:t xml:space="preserve">44,3</w:t>
            </w:r>
            <w:r/>
          </w:p>
        </w:tc>
      </w:tr>
      <w:tr>
        <w:trPr>
          <w:cantSplit/>
        </w:trPr>
        <w:tc>
          <w:tcPr>
            <w:tcBorders>
              <w:top w:val="single" w:color="000000" w:sz="4" w:space="0"/>
              <w:left w:val="single" w:color="000000" w:sz="4" w:space="0"/>
              <w:bottom w:val="single" w:color="000000" w:sz="4" w:space="0"/>
            </w:tcBorders>
            <w:tcW w:w="720" w:type="dxa"/>
            <w:textDirection w:val="lrTb"/>
            <w:noWrap w:val="false"/>
          </w:tcPr>
          <w:p>
            <w:pPr>
              <w:pStyle w:val="940"/>
              <w:numPr>
                <w:ilvl w:val="0"/>
                <w:numId w:val="59"/>
              </w:numPr>
              <w:ind w:left="360" w:hanging="360"/>
            </w:pPr>
            <w:r/>
            <w:r/>
          </w:p>
        </w:tc>
        <w:tc>
          <w:tcPr>
            <w:tcBorders>
              <w:top w:val="single" w:color="000000" w:sz="4" w:space="0"/>
              <w:left w:val="single" w:color="000000" w:sz="4" w:space="0"/>
              <w:bottom w:val="single" w:color="000000" w:sz="4" w:space="0"/>
            </w:tcBorders>
            <w:tcW w:w="6652" w:type="dxa"/>
            <w:textDirection w:val="lrTb"/>
            <w:noWrap w:val="false"/>
          </w:tcPr>
          <w:p>
            <w:pPr>
              <w:pStyle w:val="940"/>
            </w:pPr>
            <w:r>
              <w:t xml:space="preserve">Русский язык  УМК  Власенков А.И., Рыбченкова Л.М. М. Просвещение 2018</w:t>
            </w:r>
            <w:r/>
          </w:p>
        </w:tc>
        <w:tc>
          <w:tcPr>
            <w:tcBorders>
              <w:top w:val="single" w:color="000000" w:sz="4" w:space="0"/>
              <w:left w:val="single" w:color="000000" w:sz="4" w:space="0"/>
              <w:bottom w:val="single" w:color="000000" w:sz="4" w:space="0"/>
              <w:right w:val="single" w:color="000000" w:sz="4" w:space="0"/>
            </w:tcBorders>
            <w:tcW w:w="2733" w:type="dxa"/>
            <w:vAlign w:val="center"/>
            <w:textDirection w:val="lrTb"/>
            <w:noWrap w:val="false"/>
          </w:tcPr>
          <w:p>
            <w:pPr>
              <w:pStyle w:val="940"/>
              <w:contextualSpacing/>
              <w:jc w:val="center"/>
              <w:spacing w:before="0" w:after="0"/>
            </w:pPr>
            <w:r>
              <w:t xml:space="preserve">30,3</w:t>
            </w:r>
            <w:r/>
          </w:p>
        </w:tc>
      </w:tr>
    </w:tbl>
    <w:p>
      <w:pPr>
        <w:pStyle w:val="1400"/>
        <w:contextualSpacing/>
        <w:ind w:left="0" w:right="0" w:firstLine="0"/>
        <w:jc w:val="both"/>
        <w:spacing w:before="0"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Запланировано перейти:</w:t>
      </w:r>
      <w:r/>
    </w:p>
    <w:p>
      <w:pPr>
        <w:pStyle w:val="1400"/>
        <w:contextualSpacing/>
        <w:ind w:left="0" w:right="0" w:firstLine="0"/>
        <w:jc w:val="both"/>
        <w:spacing w:before="0" w:after="0" w:line="240" w:lineRule="auto"/>
        <w:rPr>
          <w:rFonts w:ascii="Times New Roman" w:hAnsi="Times New Roman" w:cs="Times New Roman"/>
          <w:iCs/>
          <w:sz w:val="24"/>
          <w:szCs w:val="24"/>
        </w:rPr>
      </w:pPr>
      <w:r>
        <w:rPr>
          <w:rFonts w:ascii="Times New Roman" w:hAnsi="Times New Roman" w:cs="Times New Roman"/>
          <w:iCs/>
          <w:sz w:val="24"/>
          <w:szCs w:val="24"/>
        </w:rPr>
        <w:t xml:space="preserve">1. Русский язык (базовый уровень).10 -11 кл. АО "Издательство "Просвещение". Рыбченкова Л.М., Александрова О.М., Нарушевич А.Г. и др.</w:t>
      </w:r>
      <w:r/>
    </w:p>
    <w:p>
      <w:pPr>
        <w:pStyle w:val="943"/>
        <w:jc w:val="both"/>
      </w:pPr>
      <w:r>
        <w:rPr>
          <w:rFonts w:ascii="Times New Roman" w:hAnsi="Times New Roman" w:cs="Times New Roman" w:eastAsia="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rPr>
          <w:lang w:val="en-US"/>
        </w:rPr>
      </w:pPr>
      <w:r>
        <w:rPr>
          <w:lang w:val="en-US"/>
        </w:rPr>
      </w:r>
      <w:r/>
    </w:p>
    <w:p>
      <w:pPr>
        <w:pStyle w:val="940"/>
        <w:ind w:firstLine="708"/>
        <w:jc w:val="both"/>
      </w:pPr>
      <w:r>
        <w:t xml:space="preserve">Процент участников ЕГЭ по русскому языку по отношению к 2020 году можно назвать стабильным. Доля участия девушек и юношей в ЕГЭ по русскому языку по отношению к прош</w:t>
      </w:r>
      <w:r>
        <w:t xml:space="preserve">лому году сместилась в сторону уменьшения и увеличения соответственно (на 1.2-1,3%), что обусловлено изменением соотношения девушек и юношей как участников ЕГЭ в целом. То есть в 2021 году девушек среди выпускников 11 классов на 1% больше чем в 2020 году. </w:t>
      </w:r>
      <w:r/>
    </w:p>
    <w:p>
      <w:pPr>
        <w:pStyle w:val="940"/>
        <w:ind w:firstLine="708"/>
        <w:jc w:val="both"/>
      </w:pPr>
      <w:r>
        <w:t xml:space="preserve">Лидирующую позицию среди участников ЕГЭ занимают обучающиеся по программам</w:t>
      </w:r>
      <w:r>
        <w:t xml:space="preserve"> среднего общего образования. При этом следует отметить ежегодно увеличивающееся количество лиц, обучающихся вне образовательной организации (семейное обучение, самообразование), что позволило нам выделить их как отдельную категорию участников – экстерны. </w:t>
      </w:r>
      <w:r/>
    </w:p>
    <w:p>
      <w:pPr>
        <w:pStyle w:val="940"/>
        <w:ind w:firstLine="708"/>
        <w:jc w:val="both"/>
      </w:pPr>
      <w:r>
        <w:t xml:space="preserve">Среди выпускников текущего года большинство составляют выпускники СОШ. На втором месте – выпускники лицеев и гимназий. Уменьшение количества участников ЕГЭ среди выпускников О(с)ОШ наблюдается в последние 2 года (более чем в 3 раза</w:t>
      </w:r>
      <w:r>
        <w:t xml:space="preserve"> по отношению к 2019 году) и связано с возможностью получения аттестата по результатам текущей успеваемости в 2020 году и возможностью сдачи ГВЭ в 2021 году на основании особенностей проведения ГИА в условиях распространения новой коронавирусной инфекции (</w:t>
      </w:r>
      <w:r>
        <w:rPr>
          <w:lang w:val="en-US"/>
        </w:rPr>
        <w:t xml:space="preserve">COVID</w:t>
      </w:r>
      <w:r>
        <w:t xml:space="preserve">-19). </w:t>
      </w:r>
      <w:r/>
    </w:p>
    <w:p>
      <w:pPr>
        <w:pStyle w:val="940"/>
        <w:ind w:firstLine="708"/>
        <w:jc w:val="both"/>
      </w:pPr>
      <w:r>
        <w:t xml:space="preserve">Изменения числа участников по АТЕ обусловлены демографической ситуацией и урбанизационными процессами.</w:t>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«Русский язык»</w:t>
      </w:r>
      <w:r/>
    </w:p>
    <w:p>
      <w:pPr>
        <w:pStyle w:val="1400"/>
        <w:contextualSpacing/>
        <w:ind w:left="0" w:right="0" w:firstLine="0"/>
        <w:keepLines/>
        <w:keepNext/>
        <w:spacing w:before="200" w:after="0" w:line="240" w:lineRule="auto"/>
        <w:rPr>
          <w:rFonts w:ascii="Times New Roman" w:hAnsi="Times New Roman" w:cs="Times New Roman" w:eastAsia="SimSun;宋体"/>
          <w:b/>
          <w:vanish/>
          <w:sz w:val="28"/>
          <w:szCs w:val="24"/>
          <w:lang w:eastAsia="ru-RU"/>
        </w:rPr>
      </w:pPr>
      <w:r>
        <w:rPr>
          <w:rFonts w:ascii="Times New Roman" w:hAnsi="Times New Roman" w:cs="Times New Roman" w:eastAsia="SimSun;宋体"/>
          <w:b/>
          <w:vanish/>
          <w:sz w:val="28"/>
          <w:szCs w:val="24"/>
          <w:lang w:eastAsia="ru-RU"/>
        </w:rPr>
      </w:r>
      <w:r/>
    </w:p>
    <w:p>
      <w:pPr>
        <w:pStyle w:val="943"/>
        <w:numPr>
          <w:ilvl w:val="0"/>
          <w:numId w:val="0"/>
        </w:numPr>
        <w:ind w:left="0" w:firstLine="0"/>
        <w:jc w:val="both"/>
        <w:spacing w:before="0" w:after="0"/>
        <w:tabs>
          <w:tab w:val="left" w:pos="142" w:leader="none"/>
          <w:tab w:val="clear" w:pos="708" w:leader="none"/>
        </w:tabs>
      </w:pPr>
      <w:r>
        <w:rPr>
          <w:rFonts w:ascii="Times New Roman" w:hAnsi="Times New Roman" w:cs="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 в 2021 г.</w:t>
      </w:r>
      <w:r/>
    </w:p>
    <w:p>
      <w:pPr>
        <w:pStyle w:val="943"/>
        <w:numPr>
          <w:ilvl w:val="0"/>
          <w:numId w:val="0"/>
        </w:numPr>
        <w:ind w:left="0" w:firstLine="0"/>
        <w:jc w:val="both"/>
        <w:spacing w:before="0" w:after="0"/>
        <w:tabs>
          <w:tab w:val="left" w:pos="142" w:leader="none"/>
          <w:tab w:val="clear" w:pos="708" w:leader="none"/>
        </w:tabs>
      </w:pPr>
      <w:r>
        <w:rPr>
          <w:rFonts w:ascii="Times New Roman" w:hAnsi="Times New Roman" w:cs="Times New Roman" w:eastAsia="Times New Roman"/>
          <w:b w:val="0"/>
          <w:i/>
          <w:sz w:val="24"/>
        </w:rPr>
        <w:t xml:space="preserve"> </w:t>
      </w:r>
      <w:r>
        <w:rPr>
          <w:rFonts w:ascii="Times New Roman" w:hAnsi="Times New Roman" w:cs="Times New Roman"/>
          <w:b w:val="0"/>
          <w:i/>
          <w:sz w:val="24"/>
        </w:rPr>
        <w:t xml:space="preserve">(количество участников, получивших тот или иной тестовый балл)</w:t>
      </w:r>
      <w:r/>
    </w:p>
    <w:p>
      <w:pPr>
        <w:pStyle w:val="940"/>
        <w:rPr>
          <w:b/>
          <w:i/>
        </w:rPr>
      </w:pPr>
      <w:r>
        <w:rPr>
          <w:b/>
          <w:i/>
        </w:rPr>
      </w:r>
      <w:r/>
    </w:p>
    <w:p>
      <w:pPr>
        <w:pStyle w:val="940"/>
        <w:rPr>
          <w:lang w:val="en-US" w:eastAsia="en-US"/>
        </w:rPr>
      </w:pPr>
      <w:r>
        <w:rPr>
          <w:lang w:val="en-US" w:eastAsia="en-US"/>
        </w:rPr>
        <mc:AlternateContent>
          <mc:Choice Requires="wpg">
            <w:drawing>
              <wp:inline xmlns:wp="http://schemas.openxmlformats.org/drawingml/2006/wordprocessingDrawing" distT="0" distB="0" distL="0" distR="0">
                <wp:extent cx="6087745" cy="2246630"/>
                <wp:effectExtent l="0" t="0" r="0" b="0"/>
                <wp:docPr id="1" name="Image1"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hidden="0"/>
                        <pic:cNvPicPr>
                          <a:picLocks noChangeAspect="1"/>
                        </pic:cNvPicPr>
                        <pic:nvPr isPhoto="0" userDrawn="0"/>
                      </pic:nvPicPr>
                      <pic:blipFill>
                        <a:blip r:embed="rId11"/>
                        <a:srcRect l="0" t="8902" r="0" b="0"/>
                        <a:stretch/>
                      </pic:blipFill>
                      <pic:spPr bwMode="auto">
                        <a:xfrm>
                          <a:off x="0" y="0"/>
                          <a:ext cx="6087745" cy="224663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79.3pt;height:176.9pt;" strokecolor="#000000" strokeweight="0.75pt">
                <v:path textboxrect="0,0,0,0"/>
                <v:imagedata r:id="rId11" o:title=""/>
              </v:shape>
            </w:pict>
          </mc:Fallback>
        </mc:AlternateContent>
      </w:r>
      <w:r/>
    </w:p>
    <w:p>
      <w:pPr>
        <w:pStyle w:val="940"/>
      </w:pPr>
      <w:r/>
      <w:r/>
    </w:p>
    <w:p>
      <w:pPr>
        <w:pStyle w:val="943"/>
        <w:numPr>
          <w:ilvl w:val="0"/>
          <w:numId w:val="0"/>
        </w:numPr>
        <w:ind w:left="0" w:firstLine="0"/>
        <w:spacing w:before="0" w:after="0"/>
        <w:tabs>
          <w:tab w:val="left" w:pos="142" w:leader="none"/>
          <w:tab w:val="clear" w:pos="708" w:leader="none"/>
        </w:tabs>
      </w:pPr>
      <w:r>
        <w:rPr>
          <w:rFonts w:ascii="Times New Roman" w:hAnsi="Times New Roman" w:cs="Times New Roman"/>
          <w:lang w:val="ru-RU"/>
        </w:rPr>
        <w:t xml:space="preserve">2.2. </w:t>
      </w:r>
      <w:r>
        <w:rPr>
          <w:rFonts w:ascii="Times New Roman" w:hAnsi="Times New Roman" w:cs="Times New Roman"/>
        </w:rPr>
        <w:t xml:space="preserve">Динамика результатов ЕГЭ по предмету за последние 3 года</w:t>
      </w:r>
      <w:r/>
    </w:p>
    <w:p>
      <w:pPr>
        <w:pStyle w:val="1409"/>
        <w:keepNext/>
      </w:pPr>
      <w:r>
        <w:t xml:space="preserve">Таблица 2</w:t>
        <w:noBreakHyphen/>
        <w:t xml:space="preserve">7</w:t>
      </w:r>
      <w:r/>
    </w:p>
    <w:tbl>
      <w:tblPr>
        <w:tblW w:w="9666" w:type="dxa"/>
        <w:tblInd w:w="-5" w:type="dxa"/>
        <w:tblLayout w:type="fixed"/>
        <w:tblCellMar>
          <w:left w:w="108" w:type="dxa"/>
          <w:top w:w="0" w:type="dxa"/>
          <w:right w:w="108" w:type="dxa"/>
          <w:bottom w:w="0" w:type="dxa"/>
        </w:tblCellMar>
        <w:tblLook w:val="04A0" w:firstRow="1" w:lastRow="0" w:firstColumn="1" w:lastColumn="0" w:noHBand="0" w:noVBand="1"/>
      </w:tblPr>
      <w:tblGrid>
        <w:gridCol w:w="4889"/>
        <w:gridCol w:w="1718"/>
        <w:gridCol w:w="1453"/>
        <w:gridCol w:w="1606"/>
      </w:tblGrid>
      <w:tr>
        <w:trPr>
          <w:cantSplit/>
          <w:trHeight w:val="331"/>
          <w:tblHeader/>
        </w:trPr>
        <w:tc>
          <w:tcPr>
            <w:tcBorders>
              <w:top w:val="single" w:color="000000" w:sz="4" w:space="0"/>
              <w:left w:val="single" w:color="000000" w:sz="4" w:space="0"/>
              <w:bottom w:val="single" w:color="000000" w:sz="4" w:space="0"/>
            </w:tcBorders>
            <w:tcW w:w="4889"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777"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1"/>
          <w:tblHeader/>
        </w:trPr>
        <w:tc>
          <w:tcPr>
            <w:tcBorders>
              <w:top w:val="single" w:color="000000" w:sz="4" w:space="0"/>
              <w:left w:val="single" w:color="000000" w:sz="4" w:space="0"/>
              <w:bottom w:val="single" w:color="000000" w:sz="4" w:space="0"/>
            </w:tcBorders>
            <w:tcW w:w="4889"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718"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453"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606"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41"/>
        </w:trPr>
        <w:tc>
          <w:tcPr>
            <w:tcBorders>
              <w:top w:val="single" w:color="000000" w:sz="4" w:space="0"/>
              <w:left w:val="single" w:color="000000" w:sz="4" w:space="0"/>
              <w:bottom w:val="single" w:color="000000" w:sz="4" w:space="0"/>
            </w:tcBorders>
            <w:tcW w:w="4889"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718" w:type="dxa"/>
            <w:textDirection w:val="lrTb"/>
            <w:noWrap w:val="false"/>
          </w:tcPr>
          <w:p>
            <w:pPr>
              <w:pStyle w:val="940"/>
              <w:jc w:val="center"/>
            </w:pPr>
            <w:r>
              <w:t xml:space="preserve">0,3</w:t>
            </w:r>
            <w:r/>
          </w:p>
        </w:tc>
        <w:tc>
          <w:tcPr>
            <w:tcBorders>
              <w:top w:val="single" w:color="000000" w:sz="4" w:space="0"/>
              <w:left w:val="single" w:color="000000" w:sz="4" w:space="0"/>
              <w:bottom w:val="single" w:color="000000" w:sz="4" w:space="0"/>
            </w:tcBorders>
            <w:tcW w:w="1453" w:type="dxa"/>
            <w:textDirection w:val="lrTb"/>
            <w:noWrap w:val="false"/>
          </w:tcPr>
          <w:p>
            <w:pPr>
              <w:pStyle w:val="940"/>
              <w:jc w:val="center"/>
            </w:pPr>
            <w:r>
              <w:t xml:space="preserve">1,5</w:t>
            </w:r>
            <w:r/>
          </w:p>
        </w:tc>
        <w:tc>
          <w:tcPr>
            <w:tcBorders>
              <w:top w:val="single" w:color="000000" w:sz="4" w:space="0"/>
              <w:left w:val="single" w:color="000000" w:sz="4" w:space="0"/>
              <w:bottom w:val="single" w:color="000000" w:sz="4" w:space="0"/>
              <w:right w:val="single" w:color="000000" w:sz="4" w:space="0"/>
            </w:tcBorders>
            <w:tcW w:w="1606" w:type="dxa"/>
            <w:textDirection w:val="lrTb"/>
            <w:noWrap w:val="false"/>
          </w:tcPr>
          <w:p>
            <w:pPr>
              <w:pStyle w:val="940"/>
              <w:jc w:val="center"/>
            </w:pPr>
            <w:r>
              <w:t xml:space="preserve">0,2</w:t>
            </w:r>
            <w:r/>
          </w:p>
        </w:tc>
      </w:tr>
      <w:tr>
        <w:trPr>
          <w:cantSplit/>
          <w:trHeight w:val="346"/>
        </w:trPr>
        <w:tc>
          <w:tcPr>
            <w:tcBorders>
              <w:top w:val="single" w:color="000000" w:sz="4" w:space="0"/>
              <w:left w:val="single" w:color="000000" w:sz="4" w:space="0"/>
              <w:bottom w:val="single" w:color="000000" w:sz="4" w:space="0"/>
            </w:tcBorders>
            <w:tcW w:w="4889"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top w:val="single" w:color="000000" w:sz="4" w:space="0"/>
              <w:left w:val="single" w:color="000000" w:sz="4" w:space="0"/>
              <w:bottom w:val="single" w:color="000000" w:sz="4" w:space="0"/>
            </w:tcBorders>
            <w:tcW w:w="1718" w:type="dxa"/>
            <w:textDirection w:val="lrTb"/>
            <w:noWrap w:val="false"/>
          </w:tcPr>
          <w:p>
            <w:pPr>
              <w:pStyle w:val="940"/>
              <w:jc w:val="center"/>
            </w:pPr>
            <w:r>
              <w:t xml:space="preserve">69,9</w:t>
            </w:r>
            <w:r/>
          </w:p>
        </w:tc>
        <w:tc>
          <w:tcPr>
            <w:tcBorders>
              <w:top w:val="single" w:color="000000" w:sz="4" w:space="0"/>
              <w:left w:val="single" w:color="000000" w:sz="4" w:space="0"/>
              <w:bottom w:val="single" w:color="000000" w:sz="4" w:space="0"/>
            </w:tcBorders>
            <w:tcW w:w="1453" w:type="dxa"/>
            <w:textDirection w:val="lrTb"/>
            <w:noWrap w:val="false"/>
          </w:tcPr>
          <w:p>
            <w:pPr>
              <w:pStyle w:val="940"/>
              <w:jc w:val="center"/>
            </w:pPr>
            <w:r>
              <w:t xml:space="preserve">70,4</w:t>
            </w:r>
            <w:r/>
          </w:p>
        </w:tc>
        <w:tc>
          <w:tcPr>
            <w:tcBorders>
              <w:top w:val="single" w:color="000000" w:sz="4" w:space="0"/>
              <w:left w:val="single" w:color="000000" w:sz="4" w:space="0"/>
              <w:bottom w:val="single" w:color="000000" w:sz="4" w:space="0"/>
              <w:right w:val="single" w:color="000000" w:sz="4" w:space="0"/>
            </w:tcBorders>
            <w:tcW w:w="1606" w:type="dxa"/>
            <w:textDirection w:val="lrTb"/>
            <w:noWrap w:val="false"/>
          </w:tcPr>
          <w:p>
            <w:pPr>
              <w:pStyle w:val="940"/>
              <w:jc w:val="center"/>
            </w:pPr>
            <w:r>
              <w:t xml:space="preserve">70,3</w:t>
            </w:r>
            <w:r/>
          </w:p>
        </w:tc>
      </w:tr>
      <w:tr>
        <w:trPr>
          <w:cantSplit/>
          <w:trHeight w:val="331"/>
        </w:trPr>
        <w:tc>
          <w:tcPr>
            <w:tcBorders>
              <w:top w:val="single" w:color="000000" w:sz="4" w:space="0"/>
              <w:left w:val="single" w:color="000000" w:sz="4" w:space="0"/>
              <w:bottom w:val="single" w:color="000000" w:sz="4" w:space="0"/>
            </w:tcBorders>
            <w:tcW w:w="4889"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top w:val="single" w:color="000000" w:sz="4" w:space="0"/>
              <w:left w:val="single" w:color="000000" w:sz="4" w:space="0"/>
              <w:bottom w:val="single" w:color="000000" w:sz="4" w:space="0"/>
            </w:tcBorders>
            <w:tcW w:w="1718" w:type="dxa"/>
            <w:textDirection w:val="lrTb"/>
            <w:noWrap w:val="false"/>
          </w:tcPr>
          <w:p>
            <w:pPr>
              <w:pStyle w:val="940"/>
              <w:jc w:val="center"/>
            </w:pPr>
            <w:r>
              <w:t xml:space="preserve">23,0</w:t>
            </w:r>
            <w:r/>
          </w:p>
        </w:tc>
        <w:tc>
          <w:tcPr>
            <w:tcBorders>
              <w:top w:val="single" w:color="000000" w:sz="4" w:space="0"/>
              <w:left w:val="single" w:color="000000" w:sz="4" w:space="0"/>
              <w:bottom w:val="single" w:color="000000" w:sz="4" w:space="0"/>
            </w:tcBorders>
            <w:tcW w:w="1453" w:type="dxa"/>
            <w:textDirection w:val="lrTb"/>
            <w:noWrap w:val="false"/>
          </w:tcPr>
          <w:p>
            <w:pPr>
              <w:pStyle w:val="940"/>
              <w:jc w:val="center"/>
            </w:pPr>
            <w:r>
              <w:t xml:space="preserve">24,3</w:t>
            </w:r>
            <w:r/>
          </w:p>
        </w:tc>
        <w:tc>
          <w:tcPr>
            <w:tcBorders>
              <w:top w:val="single" w:color="000000" w:sz="4" w:space="0"/>
              <w:left w:val="single" w:color="000000" w:sz="4" w:space="0"/>
              <w:bottom w:val="single" w:color="000000" w:sz="4" w:space="0"/>
              <w:right w:val="single" w:color="000000" w:sz="4" w:space="0"/>
            </w:tcBorders>
            <w:tcW w:w="1606" w:type="dxa"/>
            <w:textDirection w:val="lrTb"/>
            <w:noWrap w:val="false"/>
          </w:tcPr>
          <w:p>
            <w:pPr>
              <w:pStyle w:val="940"/>
              <w:jc w:val="center"/>
            </w:pPr>
            <w:r>
              <w:t xml:space="preserve">26,3</w:t>
            </w:r>
            <w:r/>
          </w:p>
        </w:tc>
      </w:tr>
      <w:tr>
        <w:trPr>
          <w:cantSplit/>
          <w:trHeight w:val="331"/>
        </w:trPr>
        <w:tc>
          <w:tcPr>
            <w:tcBorders>
              <w:top w:val="single" w:color="000000" w:sz="4" w:space="0"/>
              <w:left w:val="single" w:color="000000" w:sz="4" w:space="0"/>
              <w:bottom w:val="single" w:color="000000" w:sz="4" w:space="0"/>
            </w:tcBorders>
            <w:tcW w:w="4889"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top w:val="single" w:color="000000" w:sz="4" w:space="0"/>
              <w:left w:val="single" w:color="000000" w:sz="4" w:space="0"/>
              <w:bottom w:val="single" w:color="000000" w:sz="4" w:space="0"/>
            </w:tcBorders>
            <w:tcW w:w="1718" w:type="dxa"/>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1453" w:type="dxa"/>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right w:val="single" w:color="000000" w:sz="4" w:space="0"/>
            </w:tcBorders>
            <w:tcW w:w="1606" w:type="dxa"/>
            <w:textDirection w:val="lrTb"/>
            <w:noWrap w:val="false"/>
          </w:tcPr>
          <w:p>
            <w:pPr>
              <w:pStyle w:val="940"/>
              <w:contextualSpacing/>
              <w:jc w:val="center"/>
              <w:spacing w:before="0" w:after="0"/>
              <w:rPr>
                <w:rFonts w:eastAsia="MS Mincho;ＭＳ 明朝"/>
              </w:rPr>
            </w:pPr>
            <w:r>
              <w:rPr>
                <w:rFonts w:eastAsia="MS Mincho;ＭＳ 明朝"/>
              </w:rPr>
              <w:t xml:space="preserve">9</w:t>
            </w:r>
            <w:r/>
          </w:p>
        </w:tc>
      </w:tr>
    </w:tbl>
    <w:p>
      <w:pPr>
        <w:pStyle w:val="940"/>
        <w:jc w:val="both"/>
        <w:tabs>
          <w:tab w:val="clear" w:pos="708" w:leader="none"/>
          <w:tab w:val="left" w:pos="709" w:leader="none"/>
        </w:tabs>
      </w:pPr>
      <w:r/>
      <w:r/>
    </w:p>
    <w:p>
      <w:pPr>
        <w:pStyle w:val="943"/>
        <w:numPr>
          <w:ilvl w:val="0"/>
          <w:numId w:val="0"/>
        </w:numPr>
        <w:ind w:left="0" w:firstLine="0"/>
        <w:jc w:val="both"/>
        <w:spacing w:before="0" w:after="0"/>
        <w:tabs>
          <w:tab w:val="left" w:pos="142" w:leader="none"/>
          <w:tab w:val="clear" w:pos="708" w:leader="none"/>
        </w:tabs>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w:t>
      </w:r>
      <w:r>
        <w:rPr>
          <w:rFonts w:ascii="Times New Roman" w:hAnsi="Times New Roman" w:cs="Times New Roman"/>
          <w:lang w:val="ru-RU"/>
        </w:rPr>
        <w:t xml:space="preserve">  </w:t>
      </w:r>
      <w:r>
        <w:rPr>
          <w:rFonts w:ascii="Times New Roman" w:hAnsi="Times New Roman" w:cs="Times New Roman"/>
        </w:rPr>
        <w:t xml:space="preserve">подготовки:</w:t>
      </w:r>
      <w:r/>
    </w:p>
    <w:p>
      <w:pPr>
        <w:pStyle w:val="940"/>
        <w:rPr>
          <w:lang w:val="en-US"/>
        </w:rPr>
      </w:pPr>
      <w:r>
        <w:rPr>
          <w:lang w:val="en-US"/>
        </w:rPr>
      </w:r>
      <w:r/>
    </w:p>
    <w:p>
      <w:pPr>
        <w:pStyle w:val="943"/>
        <w:numPr>
          <w:ilvl w:val="0"/>
          <w:numId w:val="0"/>
        </w:numPr>
        <w:ind w:left="0" w:firstLine="708"/>
        <w:jc w:val="both"/>
        <w:spacing w:before="0" w:after="0"/>
      </w:pP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 </w:t>
      </w:r>
      <w:r/>
    </w:p>
    <w:p>
      <w:pPr>
        <w:pStyle w:val="1409"/>
        <w:keepNext/>
      </w:pPr>
      <w: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878"/>
        <w:gridCol w:w="1207"/>
        <w:gridCol w:w="1206"/>
        <w:gridCol w:w="1207"/>
        <w:gridCol w:w="1072"/>
        <w:gridCol w:w="1207"/>
        <w:gridCol w:w="1052"/>
        <w:gridCol w:w="830"/>
      </w:tblGrid>
      <w:tr>
        <w:trPr>
          <w:cantSplit/>
          <w:trHeight w:val="1052"/>
          <w:tblHeader/>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20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07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0,1</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w:t>
            </w:r>
            <w:r/>
          </w:p>
        </w:tc>
        <w:tc>
          <w:tcPr>
            <w:tcBorders>
              <w:top w:val="single" w:color="000000" w:sz="4" w:space="0"/>
              <w:left w:val="single" w:color="000000" w:sz="4" w:space="0"/>
              <w:bottom w:val="single" w:color="000000" w:sz="4" w:space="0"/>
            </w:tcBorders>
            <w:tcW w:w="107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23,4</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39,5</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42,4</w:t>
            </w:r>
            <w:r/>
          </w:p>
        </w:tc>
        <w:tc>
          <w:tcPr>
            <w:tcBorders>
              <w:top w:val="single" w:color="000000" w:sz="4" w:space="0"/>
              <w:left w:val="single" w:color="000000" w:sz="4" w:space="0"/>
              <w:bottom w:val="single" w:color="000000" w:sz="4" w:space="0"/>
            </w:tcBorders>
            <w:tcW w:w="107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26,9</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46,5</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49,4</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55,8</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32,4</w:t>
            </w:r>
            <w:r/>
          </w:p>
        </w:tc>
        <w:tc>
          <w:tcPr>
            <w:tcBorders>
              <w:top w:val="single" w:color="000000" w:sz="4" w:space="0"/>
              <w:left w:val="single" w:color="000000" w:sz="4" w:space="0"/>
              <w:bottom w:val="single" w:color="000000" w:sz="4" w:space="0"/>
            </w:tcBorders>
            <w:tcW w:w="107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46,2</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41,9</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26,9</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4,7</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20,1</w:t>
            </w:r>
            <w:r/>
          </w:p>
        </w:tc>
        <w:tc>
          <w:tcPr>
            <w:tcBorders>
              <w:top w:val="single" w:color="000000" w:sz="4" w:space="0"/>
              <w:left w:val="single" w:color="000000" w:sz="4" w:space="0"/>
              <w:bottom w:val="single" w:color="000000" w:sz="4" w:space="0"/>
            </w:tcBorders>
            <w:tcW w:w="107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26,9</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11,6</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r>
      <w:tr>
        <w:trPr>
          <w:cantSplit/>
          <w:trHeight w:val="541"/>
        </w:trPr>
        <w:tc>
          <w:tcPr>
            <w:tcBorders>
              <w:top w:val="single" w:color="000000" w:sz="4" w:space="0"/>
              <w:left w:val="single" w:color="000000" w:sz="4" w:space="0"/>
              <w:bottom w:val="single" w:color="000000" w:sz="4" w:space="0"/>
            </w:tcBorders>
            <w:tcW w:w="187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w:t>
            </w:r>
            <w:r/>
          </w:p>
        </w:tc>
        <w:tc>
          <w:tcPr>
            <w:tcBorders>
              <w:top w:val="single" w:color="000000" w:sz="4" w:space="0"/>
              <w:left w:val="single" w:color="000000" w:sz="4" w:space="0"/>
              <w:bottom w:val="single" w:color="000000" w:sz="4" w:space="0"/>
            </w:tcBorders>
            <w:tcW w:w="12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07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0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05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83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3"/>
        <w:numPr>
          <w:ilvl w:val="0"/>
          <w:numId w:val="0"/>
        </w:numPr>
        <w:ind w:left="0" w:firstLine="708"/>
      </w:pP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1409"/>
        <w:keepNext/>
      </w:pPr>
      <w:r>
        <w:t xml:space="preserve">Таблица 2-9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901"/>
        <w:gridCol w:w="1665"/>
        <w:gridCol w:w="1665"/>
        <w:gridCol w:w="1463"/>
        <w:gridCol w:w="1463"/>
        <w:gridCol w:w="1609"/>
      </w:tblGrid>
      <w:tr>
        <w:trPr>
          <w:trHeight w:val="253"/>
        </w:trPr>
        <w:tc>
          <w:tcPr>
            <w:tcBorders>
              <w:top w:val="single" w:color="000000" w:sz="4" w:space="0"/>
              <w:left w:val="single" w:color="000000" w:sz="4" w:space="0"/>
              <w:bottom w:val="single" w:color="000000" w:sz="4" w:space="0"/>
            </w:tcBorders>
            <w:tcW w:w="1901"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5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09"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030"/>
        </w:trPr>
        <w:tc>
          <w:tcPr>
            <w:tcBorders>
              <w:top w:val="single" w:color="000000" w:sz="4" w:space="0"/>
              <w:left w:val="single" w:color="000000" w:sz="4" w:space="0"/>
              <w:bottom w:val="single" w:color="000000" w:sz="4" w:space="0"/>
            </w:tcBorders>
            <w:tcW w:w="1901"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09" w:type="dxa"/>
            <w:vAlign w:val="bottom"/>
            <w:vMerge w:val="continue"/>
            <w:textDirection w:val="lrTb"/>
            <w:noWrap w:val="false"/>
          </w:tcPr>
          <w:p>
            <w:pPr>
              <w:pStyle w:val="940"/>
              <w:rPr>
                <w:rFonts w:eastAsia="Times New Roman"/>
              </w:rPr>
            </w:pPr>
            <w:r>
              <w:rPr>
                <w:rFonts w:eastAsia="Times New Roman"/>
              </w:rPr>
            </w:r>
            <w:r/>
          </w:p>
        </w:tc>
      </w:tr>
      <w:tr>
        <w:trPr>
          <w:trHeight w:val="253"/>
        </w:trPr>
        <w:tc>
          <w:tcPr>
            <w:tcBorders>
              <w:left w:val="single" w:color="000000" w:sz="4" w:space="0"/>
              <w:bottom w:val="single" w:color="000000" w:sz="4" w:space="0"/>
            </w:tcBorders>
            <w:tcW w:w="1901" w:type="dxa"/>
            <w:vAlign w:val="bottom"/>
            <w:textDirection w:val="lrTb"/>
            <w:noWrap w:val="false"/>
          </w:tcPr>
          <w:p>
            <w:pPr>
              <w:pStyle w:val="940"/>
              <w:rPr>
                <w:rFonts w:eastAsia="Times New Roman"/>
              </w:rPr>
            </w:pPr>
            <w:r>
              <w:rPr>
                <w:rFonts w:eastAsia="Times New Roman"/>
              </w:rPr>
              <w:t xml:space="preserve">СОШ</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0,1</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26,6</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50,6</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22,7</w:t>
            </w:r>
            <w:r/>
          </w:p>
        </w:tc>
        <w:tc>
          <w:tcPr>
            <w:tcBorders>
              <w:left w:val="single" w:color="000000" w:sz="4" w:space="0"/>
              <w:bottom w:val="single" w:color="000000" w:sz="4" w:space="0"/>
              <w:right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4</w:t>
            </w:r>
            <w:r/>
          </w:p>
        </w:tc>
      </w:tr>
      <w:tr>
        <w:trPr>
          <w:trHeight w:val="253"/>
        </w:trPr>
        <w:tc>
          <w:tcPr>
            <w:tcBorders>
              <w:left w:val="single" w:color="000000" w:sz="4" w:space="0"/>
              <w:bottom w:val="single" w:color="000000" w:sz="4" w:space="0"/>
            </w:tcBorders>
            <w:tcW w:w="1901" w:type="dxa"/>
            <w:vAlign w:val="bottom"/>
            <w:textDirection w:val="lrTb"/>
            <w:noWrap w:val="false"/>
          </w:tcPr>
          <w:p>
            <w:pPr>
              <w:pStyle w:val="940"/>
              <w:rPr>
                <w:rFonts w:eastAsia="Times New Roman"/>
              </w:rPr>
            </w:pPr>
            <w:r>
              <w:rPr>
                <w:rFonts w:eastAsia="Times New Roman"/>
              </w:rPr>
              <w:t xml:space="preserve">Лицеи, гимназии</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9,3</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46,0</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44,2</w:t>
            </w:r>
            <w:r/>
          </w:p>
        </w:tc>
        <w:tc>
          <w:tcPr>
            <w:tcBorders>
              <w:left w:val="single" w:color="000000" w:sz="4" w:space="0"/>
              <w:bottom w:val="single" w:color="000000" w:sz="4" w:space="0"/>
              <w:right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4</w:t>
            </w:r>
            <w:r/>
          </w:p>
        </w:tc>
      </w:tr>
      <w:tr>
        <w:trPr>
          <w:trHeight w:val="253"/>
        </w:trPr>
        <w:tc>
          <w:tcPr>
            <w:tcBorders>
              <w:left w:val="single" w:color="000000" w:sz="4" w:space="0"/>
              <w:bottom w:val="single" w:color="000000" w:sz="4" w:space="0"/>
            </w:tcBorders>
            <w:tcW w:w="1901" w:type="dxa"/>
            <w:vAlign w:val="bottom"/>
            <w:textDirection w:val="lrTb"/>
            <w:noWrap w:val="false"/>
          </w:tcPr>
          <w:p>
            <w:pPr>
              <w:pStyle w:val="940"/>
            </w:pPr>
            <w:r>
              <w:rPr>
                <w:rFonts w:eastAsia="Times New Roman"/>
              </w:rPr>
              <w:t xml:space="preserve">О(с)ОШ</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5" w:type="dxa"/>
            <w:vAlign w:val="bottom"/>
            <w:textDirection w:val="lrTb"/>
            <w:noWrap w:val="false"/>
          </w:tcPr>
          <w:p>
            <w:pPr>
              <w:pStyle w:val="940"/>
              <w:jc w:val="center"/>
              <w:rPr>
                <w:rFonts w:eastAsia="Times New Roman"/>
              </w:rPr>
            </w:pPr>
            <w:r>
              <w:rPr>
                <w:rFonts w:eastAsia="Times New Roman"/>
              </w:rPr>
              <w:t xml:space="preserve">55,6</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44,4</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w:t>
            </w:r>
            <w:r/>
          </w:p>
        </w:tc>
      </w:tr>
      <w:tr>
        <w:trPr>
          <w:trHeight w:val="253"/>
        </w:trPr>
        <w:tc>
          <w:tcPr>
            <w:tcBorders>
              <w:left w:val="single" w:color="000000" w:sz="4" w:space="0"/>
              <w:bottom w:val="single" w:color="000000" w:sz="4" w:space="0"/>
            </w:tcBorders>
            <w:tcW w:w="1901"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65"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65" w:type="dxa"/>
            <w:vAlign w:val="bottom"/>
            <w:textDirection w:val="lrTb"/>
            <w:noWrap w:val="false"/>
          </w:tcPr>
          <w:p>
            <w:pPr>
              <w:pStyle w:val="940"/>
              <w:jc w:val="center"/>
              <w:rPr>
                <w:color w:val="000000"/>
              </w:rPr>
            </w:pPr>
            <w:r>
              <w:rPr>
                <w:color w:val="000000"/>
              </w:rPr>
              <w:t xml:space="preserve">31,5</w:t>
            </w:r>
            <w:r/>
          </w:p>
        </w:tc>
        <w:tc>
          <w:tcPr>
            <w:tcBorders>
              <w:top w:val="single" w:color="000000" w:sz="4" w:space="0"/>
              <w:left w:val="single" w:color="000000" w:sz="4" w:space="0"/>
              <w:bottom w:val="single" w:color="000000" w:sz="4" w:space="0"/>
            </w:tcBorders>
            <w:tcW w:w="1463" w:type="dxa"/>
            <w:vAlign w:val="bottom"/>
            <w:textDirection w:val="lrTb"/>
            <w:noWrap w:val="false"/>
          </w:tcPr>
          <w:p>
            <w:pPr>
              <w:pStyle w:val="940"/>
              <w:jc w:val="center"/>
              <w:rPr>
                <w:color w:val="000000"/>
              </w:rPr>
            </w:pPr>
            <w:r>
              <w:rPr>
                <w:color w:val="000000"/>
              </w:rPr>
              <w:t xml:space="preserve">46,0</w:t>
            </w:r>
            <w:r/>
          </w:p>
        </w:tc>
        <w:tc>
          <w:tcPr>
            <w:tcBorders>
              <w:top w:val="single" w:color="000000" w:sz="4" w:space="0"/>
              <w:left w:val="single" w:color="000000" w:sz="4" w:space="0"/>
              <w:bottom w:val="single" w:color="000000" w:sz="4" w:space="0"/>
            </w:tcBorders>
            <w:tcW w:w="1463" w:type="dxa"/>
            <w:vAlign w:val="bottom"/>
            <w:textDirection w:val="lrTb"/>
            <w:noWrap w:val="false"/>
          </w:tcPr>
          <w:p>
            <w:pPr>
              <w:pStyle w:val="940"/>
              <w:jc w:val="center"/>
              <w:rPr>
                <w:color w:val="000000"/>
              </w:rPr>
            </w:pPr>
            <w:r>
              <w:rPr>
                <w:color w:val="000000"/>
              </w:rPr>
              <w:t xml:space="preserve">22,1</w:t>
            </w:r>
            <w:r/>
          </w:p>
        </w:tc>
        <w:tc>
          <w:tcPr>
            <w:tcBorders>
              <w:top w:val="single" w:color="000000" w:sz="4" w:space="0"/>
              <w:left w:val="single" w:color="000000" w:sz="4" w:space="0"/>
              <w:bottom w:val="single" w:color="000000" w:sz="4" w:space="0"/>
              <w:right w:val="single" w:color="000000" w:sz="4" w:space="0"/>
            </w:tcBorders>
            <w:tcW w:w="1609" w:type="dxa"/>
            <w:vAlign w:val="bottom"/>
            <w:textDirection w:val="lrTb"/>
            <w:noWrap w:val="false"/>
          </w:tcPr>
          <w:p>
            <w:pPr>
              <w:pStyle w:val="940"/>
              <w:jc w:val="center"/>
              <w:rPr>
                <w:color w:val="000000"/>
              </w:rPr>
            </w:pPr>
            <w:r>
              <w:rPr>
                <w:color w:val="000000"/>
              </w:rPr>
              <w:t xml:space="preserve">1</w:t>
            </w:r>
            <w:r/>
          </w:p>
        </w:tc>
      </w:tr>
    </w:tbl>
    <w:p>
      <w:pPr>
        <w:pStyle w:val="940"/>
      </w:pPr>
      <w:r/>
      <w:r/>
    </w:p>
    <w:p>
      <w:pPr>
        <w:pStyle w:val="943"/>
        <w:numPr>
          <w:ilvl w:val="0"/>
          <w:numId w:val="0"/>
        </w:numPr>
        <w:ind w:left="0" w:firstLine="708"/>
      </w:pP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940"/>
        <w:rPr>
          <w:b/>
          <w:bCs/>
          <w:lang w:val="en-US"/>
        </w:rPr>
      </w:pPr>
      <w:r>
        <w:rPr>
          <w:b/>
          <w:bCs/>
          <w:lang w:val="en-US"/>
        </w:rPr>
      </w:r>
      <w:r/>
    </w:p>
    <w:p>
      <w:pPr>
        <w:pStyle w:val="1409"/>
        <w:keepNext/>
      </w:pPr>
      <w:r>
        <w:t xml:space="preserve">Таблица 2</w:t>
        <w:noBreakHyphen/>
        <w:t xml:space="preserve">10</w:t>
      </w:r>
      <w:r/>
    </w:p>
    <w:tbl>
      <w:tblPr>
        <w:tblW w:w="9718" w:type="dxa"/>
        <w:tblInd w:w="-5" w:type="dxa"/>
        <w:tblLayout w:type="fixed"/>
        <w:tblCellMar>
          <w:left w:w="108" w:type="dxa"/>
          <w:top w:w="0" w:type="dxa"/>
          <w:right w:w="108" w:type="dxa"/>
          <w:bottom w:w="0" w:type="dxa"/>
        </w:tblCellMar>
        <w:tblLook w:val="04A0" w:firstRow="1" w:lastRow="0" w:firstColumn="1" w:lastColumn="0" w:noHBand="0" w:noVBand="1"/>
      </w:tblPr>
      <w:tblGrid>
        <w:gridCol w:w="2258"/>
        <w:gridCol w:w="1594"/>
        <w:gridCol w:w="1594"/>
        <w:gridCol w:w="1461"/>
        <w:gridCol w:w="1463"/>
        <w:gridCol w:w="1348"/>
      </w:tblGrid>
      <w:tr>
        <w:trPr>
          <w:trHeight w:val="254"/>
        </w:trPr>
        <w:tc>
          <w:tcPr>
            <w:tcBorders>
              <w:top w:val="single" w:color="000000" w:sz="4" w:space="0"/>
              <w:left w:val="single" w:color="000000" w:sz="4" w:space="0"/>
              <w:bottom w:val="single" w:color="000000" w:sz="4" w:space="0"/>
            </w:tcBorders>
            <w:tcW w:w="2258"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112"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348"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033"/>
        </w:trPr>
        <w:tc>
          <w:tcPr>
            <w:tcBorders>
              <w:top w:val="single" w:color="000000" w:sz="4" w:space="0"/>
              <w:left w:val="single" w:color="000000" w:sz="4" w:space="0"/>
              <w:bottom w:val="single" w:color="000000" w:sz="4" w:space="0"/>
            </w:tcBorders>
            <w:tcW w:w="2258"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348" w:type="dxa"/>
            <w:vAlign w:val="bottom"/>
            <w:vMerge w:val="continue"/>
            <w:textDirection w:val="lrTb"/>
            <w:noWrap w:val="false"/>
          </w:tcPr>
          <w:p>
            <w:pPr>
              <w:pStyle w:val="940"/>
              <w:rPr>
                <w:rFonts w:eastAsia="Times New Roman"/>
              </w:rPr>
            </w:pPr>
            <w:r>
              <w:rPr>
                <w:rFonts w:eastAsia="Times New Roman"/>
              </w:rPr>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19,5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50,1</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30,1</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6</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39,4</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43,1</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17,0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2</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0,7</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31,2</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47,1</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21,0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29,7</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43,2</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27,0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23,3</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46,7</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30,0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15,1</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61,6</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23,3</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17,2</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59,5</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23,3</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23,8</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45,2</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31,0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19,4</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58,3</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22,2</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28,0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47,3</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24,7</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22,5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54,2</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23,2</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30,3</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44,4</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24,6</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1</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31,7</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48,3</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5,0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42,4</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32,4</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20,1</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ИОО</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Выпускники ОО других регионов</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39,5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55,8</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4,7</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r>
        <w:trPr>
          <w:trHeight w:val="254"/>
        </w:trPr>
        <w:tc>
          <w:tcPr>
            <w:tcBorders>
              <w:left w:val="single" w:color="000000" w:sz="4" w:space="0"/>
              <w:bottom w:val="single" w:color="000000" w:sz="4" w:space="0"/>
            </w:tcBorders>
            <w:tcW w:w="2258"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4" w:type="dxa"/>
            <w:vAlign w:val="bottom"/>
            <w:textDirection w:val="lrTb"/>
            <w:noWrap w:val="false"/>
          </w:tcPr>
          <w:p>
            <w:pPr>
              <w:pStyle w:val="940"/>
              <w:jc w:val="center"/>
              <w:rPr>
                <w:rFonts w:eastAsia="Times New Roman"/>
              </w:rPr>
            </w:pPr>
            <w:r>
              <w:rPr>
                <w:rFonts w:eastAsia="Times New Roman"/>
              </w:rPr>
              <w:t xml:space="preserve">46,5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41,9</w:t>
            </w:r>
            <w:r/>
          </w:p>
        </w:tc>
        <w:tc>
          <w:tcPr>
            <w:tcBorders>
              <w:left w:val="single" w:color="000000" w:sz="4" w:space="0"/>
              <w:bottom w:val="single" w:color="000000" w:sz="4" w:space="0"/>
            </w:tcBorders>
            <w:tcW w:w="1463" w:type="dxa"/>
            <w:vAlign w:val="bottom"/>
            <w:textDirection w:val="lrTb"/>
            <w:noWrap w:val="false"/>
          </w:tcPr>
          <w:p>
            <w:pPr>
              <w:pStyle w:val="940"/>
              <w:jc w:val="center"/>
              <w:rPr>
                <w:rFonts w:eastAsia="Times New Roman"/>
              </w:rPr>
            </w:pPr>
            <w:r>
              <w:rPr>
                <w:rFonts w:eastAsia="Times New Roman"/>
              </w:rPr>
              <w:t xml:space="preserve">11,6</w:t>
            </w:r>
            <w:r/>
          </w:p>
        </w:tc>
        <w:tc>
          <w:tcPr>
            <w:tcBorders>
              <w:left w:val="single" w:color="000000" w:sz="4" w:space="0"/>
              <w:bottom w:val="single" w:color="000000" w:sz="4" w:space="0"/>
              <w:right w:val="single" w:color="000000" w:sz="4" w:space="0"/>
            </w:tcBorders>
            <w:tcW w:w="1348"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rPr>
          <w:lang w:val="en-US"/>
        </w:rPr>
      </w:pPr>
      <w:r>
        <w:rPr>
          <w:lang w:val="en-US"/>
        </w:rPr>
      </w:r>
      <w:r/>
    </w:p>
    <w:p>
      <w:pPr>
        <w:pStyle w:val="943"/>
        <w:numPr>
          <w:ilvl w:val="0"/>
          <w:numId w:val="0"/>
        </w:numPr>
        <w:ind w:left="0" w:firstLine="0"/>
        <w:jc w:val="both"/>
        <w:tabs>
          <w:tab w:val="left" w:pos="142" w:leader="none"/>
          <w:tab w:val="clear" w:pos="708" w:leader="none"/>
        </w:tabs>
      </w:pPr>
      <w:r>
        <w:rPr>
          <w:rFonts w:ascii="Times New Roman" w:hAnsi="Times New Roman" w:cs="Times New Roman"/>
          <w:lang w:val="ru-RU"/>
        </w:rPr>
        <w:t xml:space="preserve">2.4. </w:t>
      </w: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numPr>
          <w:ilvl w:val="0"/>
          <w:numId w:val="0"/>
        </w:numPr>
        <w:ind w:left="0" w:firstLine="708"/>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940"/>
        <w:rPr>
          <w:b/>
          <w:bCs/>
        </w:rPr>
      </w:pPr>
      <w:r>
        <w:rPr>
          <w:b/>
          <w:bCs/>
        </w:rPr>
      </w:r>
      <w:r/>
    </w:p>
    <w:p>
      <w:pPr>
        <w:pStyle w:val="1409"/>
        <w:keepNext/>
      </w:pPr>
      <w:r>
        <w:t xml:space="preserve">Таблица 2-11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616"/>
        <w:gridCol w:w="4040"/>
        <w:gridCol w:w="1706"/>
        <w:gridCol w:w="1564"/>
        <w:gridCol w:w="1733"/>
      </w:tblGrid>
      <w:tr>
        <w:trPr>
          <w:trHeight w:val="1410"/>
        </w:trPr>
        <w:tc>
          <w:tcPr>
            <w:tcBorders>
              <w:top w:val="single" w:color="000000" w:sz="4" w:space="0"/>
              <w:left w:val="single" w:color="000000" w:sz="4" w:space="0"/>
              <w:bottom w:val="single" w:color="000000" w:sz="4" w:space="0"/>
            </w:tcBorders>
            <w:tcW w:w="616" w:type="dxa"/>
            <w:textDirection w:val="lrTb"/>
            <w:noWrap w:val="false"/>
          </w:tcPr>
          <w:p>
            <w:pPr>
              <w:pStyle w:val="940"/>
              <w:rPr>
                <w:bCs/>
              </w:rPr>
            </w:pPr>
            <w:r>
              <w:rPr>
                <w:bCs/>
              </w:rPr>
              <w:t xml:space="preserve">№</w:t>
            </w:r>
            <w:r/>
          </w:p>
        </w:tc>
        <w:tc>
          <w:tcPr>
            <w:tcBorders>
              <w:top w:val="single" w:color="000000" w:sz="4" w:space="0"/>
              <w:left w:val="single" w:color="000000" w:sz="4" w:space="0"/>
              <w:bottom w:val="single" w:color="000000" w:sz="4" w:space="0"/>
            </w:tcBorders>
            <w:tcW w:w="4040" w:type="dxa"/>
            <w:textDirection w:val="lrTb"/>
            <w:noWrap w:val="false"/>
          </w:tcPr>
          <w:p>
            <w:pPr>
              <w:pStyle w:val="940"/>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706" w:type="dxa"/>
            <w:textDirection w:val="lrTb"/>
            <w:noWrap w:val="false"/>
          </w:tcPr>
          <w:p>
            <w:pPr>
              <w:pStyle w:val="940"/>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64" w:type="dxa"/>
            <w:textDirection w:val="lrTb"/>
            <w:noWrap w:val="false"/>
          </w:tcPr>
          <w:p>
            <w:pPr>
              <w:pStyle w:val="940"/>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1</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ГБОУ АО «Школа-интернат одаренных детей им. А.П. Гужвина»</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86,5</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13,5</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г.Астрахани «Гимназия № 1»</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82,1</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17,9</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3</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ГБОУ АО «Астраханская лингвистическая гимназия»</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71,0</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29,0</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«Марфинская СОШ им. М.Д.Колосова»</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61,5</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23,1</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г. Астрахани «Лицей № 1»</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58,5</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34,0</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6</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«Володарская СОШ № 1»</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55,0</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35,0</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«Икрянинская СОШ»</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52,4</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42,9</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ГБОУ АО «Астраханский технический лицей»</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52,3</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44,2</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9</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г. Астрахани «СОШ № 1»</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48,3</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41,4</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616" w:type="dxa"/>
            <w:textDirection w:val="lrTb"/>
            <w:noWrap w:val="false"/>
          </w:tcPr>
          <w:p>
            <w:pPr>
              <w:pStyle w:val="940"/>
              <w:jc w:val="center"/>
            </w:pPr>
            <w:r>
              <w:t xml:space="preserve">10</w:t>
            </w:r>
            <w:r/>
          </w:p>
        </w:tc>
        <w:tc>
          <w:tcPr>
            <w:tcBorders>
              <w:top w:val="single" w:color="000000" w:sz="4" w:space="0"/>
              <w:left w:val="single" w:color="000000" w:sz="4" w:space="0"/>
              <w:bottom w:val="single" w:color="000000" w:sz="4" w:space="0"/>
            </w:tcBorders>
            <w:tcW w:w="4040" w:type="dxa"/>
            <w:textDirection w:val="lrTb"/>
            <w:noWrap w:val="false"/>
          </w:tcPr>
          <w:p>
            <w:pPr>
              <w:pStyle w:val="940"/>
            </w:pPr>
            <w:r>
              <w:t xml:space="preserve">МБОУ г. Астрахани «СОШ № 29»</w:t>
            </w:r>
            <w:r/>
          </w:p>
        </w:tc>
        <w:tc>
          <w:tcPr>
            <w:tcBorders>
              <w:top w:val="single" w:color="000000" w:sz="4" w:space="0"/>
              <w:left w:val="single" w:color="000000" w:sz="4" w:space="0"/>
              <w:bottom w:val="single" w:color="000000" w:sz="4" w:space="0"/>
            </w:tcBorders>
            <w:tcW w:w="1706" w:type="dxa"/>
            <w:textDirection w:val="lrTb"/>
            <w:noWrap w:val="false"/>
          </w:tcPr>
          <w:p>
            <w:pPr>
              <w:pStyle w:val="940"/>
              <w:jc w:val="center"/>
            </w:pPr>
            <w:r>
              <w:t xml:space="preserve">45,5</w:t>
            </w:r>
            <w:r/>
          </w:p>
        </w:tc>
        <w:tc>
          <w:tcPr>
            <w:tcBorders>
              <w:top w:val="single" w:color="000000" w:sz="4" w:space="0"/>
              <w:left w:val="single" w:color="000000" w:sz="4" w:space="0"/>
              <w:bottom w:val="single" w:color="000000" w:sz="4" w:space="0"/>
            </w:tcBorders>
            <w:tcW w:w="1564" w:type="dxa"/>
            <w:textDirection w:val="lrTb"/>
            <w:noWrap w:val="false"/>
          </w:tcPr>
          <w:p>
            <w:pPr>
              <w:pStyle w:val="940"/>
              <w:jc w:val="center"/>
            </w:pPr>
            <w:r>
              <w:t xml:space="preserve">36,4</w:t>
            </w:r>
            <w:r/>
          </w:p>
        </w:tc>
        <w:tc>
          <w:tcPr>
            <w:tcBorders>
              <w:top w:val="single" w:color="000000" w:sz="4" w:space="0"/>
              <w:left w:val="single" w:color="000000" w:sz="4" w:space="0"/>
              <w:bottom w:val="single" w:color="000000" w:sz="4" w:space="0"/>
              <w:right w:val="single" w:color="000000" w:sz="4" w:space="0"/>
            </w:tcBorders>
            <w:tcW w:w="1733" w:type="dxa"/>
            <w:textDirection w:val="lrTb"/>
            <w:noWrap w:val="false"/>
          </w:tcPr>
          <w:p>
            <w:pPr>
              <w:pStyle w:val="940"/>
              <w:jc w:val="center"/>
            </w:pPr>
            <w:r>
              <w:t xml:space="preserve">0,0</w:t>
            </w:r>
            <w:r/>
          </w:p>
        </w:tc>
      </w:tr>
    </w:tbl>
    <w:p>
      <w:pPr>
        <w:pStyle w:val="940"/>
      </w:pPr>
      <w:r/>
      <w:r/>
    </w:p>
    <w:p>
      <w:pPr>
        <w:pStyle w:val="943"/>
        <w:numPr>
          <w:ilvl w:val="0"/>
          <w:numId w:val="0"/>
        </w:numPr>
        <w:ind w:left="0" w:firstLine="708"/>
        <w:jc w:val="both"/>
      </w:pPr>
      <w:r>
        <w:rPr>
          <w:rFonts w:ascii="Times New Roman" w:hAnsi="Times New Roman" w:cs="Times New Roman"/>
          <w:bCs w:val="0"/>
          <w:lang w:val="ru-RU"/>
        </w:rPr>
        <w:t xml:space="preserve">2.4.2.</w:t>
      </w:r>
      <w:r>
        <w:rPr>
          <w:rFonts w:ascii="Times New Roman" w:hAnsi="Times New Roman" w:cs="Times New Roman"/>
          <w:b w:val="0"/>
          <w:bCs w:val="0"/>
        </w:rPr>
        <w:t xml:space="preserve"> </w:t>
      </w:r>
      <w:r>
        <w:rPr>
          <w:rFonts w:ascii="Times New Roman" w:hAnsi="Times New Roman" w:cs="Times New Roman"/>
          <w:b w:val="0"/>
          <w:bCs w:val="0"/>
          <w:lang w:val="ru-RU"/>
        </w:rPr>
        <w:t xml:space="preserve">П</w:t>
      </w:r>
      <w:r>
        <w:rPr>
          <w:rFonts w:ascii="Times New Roman" w:hAnsi="Times New Roman" w:cs="Times New Roman"/>
          <w:b w:val="0"/>
          <w:bCs w:val="0"/>
        </w:rPr>
        <w:t xml:space="preserve">еречень ОО, продемонстрировавших низкие результаты ЕГЭ по предмету</w:t>
      </w:r>
      <w:r/>
    </w:p>
    <w:p>
      <w:pPr>
        <w:pStyle w:val="1409"/>
        <w:keepNext/>
      </w:pPr>
      <w:r>
        <w:t xml:space="preserve">Таблица 2-12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10"/>
        <w:gridCol w:w="3879"/>
        <w:gridCol w:w="1739"/>
        <w:gridCol w:w="1584"/>
        <w:gridCol w:w="1747"/>
      </w:tblGrid>
      <w:tr>
        <w:trPr>
          <w:trHeight w:val="1045"/>
        </w:trPr>
        <w:tc>
          <w:tcPr>
            <w:tcBorders>
              <w:top w:val="single" w:color="000000" w:sz="4" w:space="0"/>
              <w:left w:val="single" w:color="000000" w:sz="4" w:space="0"/>
              <w:bottom w:val="single" w:color="000000" w:sz="4" w:space="0"/>
            </w:tcBorders>
            <w:tcW w:w="710"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3879"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739"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84"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747"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221"/>
        </w:trPr>
        <w:tc>
          <w:tcPr>
            <w:tcBorders>
              <w:left w:val="single" w:color="000000" w:sz="4" w:space="0"/>
              <w:bottom w:val="single" w:color="000000" w:sz="4" w:space="0"/>
            </w:tcBorders>
            <w:tcW w:w="710"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3879" w:type="dxa"/>
            <w:vAlign w:val="bottom"/>
            <w:textDirection w:val="lrTb"/>
            <w:noWrap w:val="false"/>
          </w:tcPr>
          <w:p>
            <w:pPr>
              <w:pStyle w:val="940"/>
              <w:rPr>
                <w:rFonts w:eastAsia="Times New Roman"/>
                <w:color w:val="000000"/>
              </w:rPr>
            </w:pPr>
            <w:r>
              <w:rPr>
                <w:rFonts w:eastAsia="Times New Roman"/>
                <w:color w:val="000000"/>
              </w:rPr>
              <w:t xml:space="preserve">МКОУ ЗАТО Знаменск СОШ №233</w:t>
            </w:r>
            <w:r/>
          </w:p>
        </w:tc>
        <w:tc>
          <w:tcPr>
            <w:tcBorders>
              <w:left w:val="single" w:color="000000" w:sz="4" w:space="0"/>
              <w:bottom w:val="single" w:color="000000" w:sz="4" w:space="0"/>
            </w:tcBorders>
            <w:tcW w:w="1739" w:type="dxa"/>
            <w:vAlign w:val="bottom"/>
            <w:textDirection w:val="lrTb"/>
            <w:noWrap w:val="false"/>
          </w:tcPr>
          <w:p>
            <w:pPr>
              <w:pStyle w:val="940"/>
              <w:jc w:val="center"/>
              <w:rPr>
                <w:rFonts w:eastAsia="Times New Roman"/>
                <w:color w:val="000000"/>
              </w:rPr>
            </w:pPr>
            <w:r>
              <w:rPr>
                <w:rFonts w:eastAsia="Times New Roman"/>
                <w:color w:val="000000"/>
              </w:rPr>
              <w:t xml:space="preserve">4,3</w:t>
            </w:r>
            <w:r/>
          </w:p>
        </w:tc>
        <w:tc>
          <w:tcPr>
            <w:tcBorders>
              <w:left w:val="single" w:color="000000" w:sz="4" w:space="0"/>
              <w:bottom w:val="single" w:color="000000" w:sz="4" w:space="0"/>
            </w:tcBorders>
            <w:tcW w:w="1584" w:type="dxa"/>
            <w:vAlign w:val="bottom"/>
            <w:textDirection w:val="lrTb"/>
            <w:noWrap w:val="false"/>
          </w:tcPr>
          <w:p>
            <w:pPr>
              <w:pStyle w:val="940"/>
              <w:jc w:val="center"/>
              <w:rPr>
                <w:rFonts w:eastAsia="Times New Roman"/>
                <w:color w:val="000000"/>
              </w:rPr>
            </w:pPr>
            <w:r>
              <w:rPr>
                <w:rFonts w:eastAsia="Times New Roman"/>
                <w:color w:val="000000"/>
              </w:rPr>
              <w:t xml:space="preserve">30,4</w:t>
            </w:r>
            <w:r/>
          </w:p>
        </w:tc>
        <w:tc>
          <w:tcPr>
            <w:tcBorders>
              <w:left w:val="single" w:color="000000" w:sz="4" w:space="0"/>
              <w:bottom w:val="single" w:color="000000" w:sz="4" w:space="0"/>
              <w:right w:val="single" w:color="000000" w:sz="4" w:space="0"/>
            </w:tcBorders>
            <w:tcW w:w="1747" w:type="dxa"/>
            <w:vAlign w:val="bottom"/>
            <w:textDirection w:val="lrTb"/>
            <w:noWrap w:val="false"/>
          </w:tcPr>
          <w:p>
            <w:pPr>
              <w:pStyle w:val="940"/>
              <w:jc w:val="center"/>
              <w:rPr>
                <w:rFonts w:eastAsia="Times New Roman"/>
                <w:color w:val="000000"/>
              </w:rPr>
            </w:pPr>
            <w:r>
              <w:rPr>
                <w:rFonts w:eastAsia="Times New Roman"/>
                <w:color w:val="000000"/>
              </w:rPr>
              <w:t xml:space="preserve">17,4</w:t>
            </w:r>
            <w:r/>
          </w:p>
        </w:tc>
      </w:tr>
    </w:tbl>
    <w:p>
      <w:pPr>
        <w:pStyle w:val="943"/>
        <w:numPr>
          <w:ilvl w:val="0"/>
          <w:numId w:val="0"/>
        </w:numPr>
        <w:ind w:left="0" w:firstLine="0"/>
        <w:rPr>
          <w:rFonts w:ascii="Times New Roman" w:hAnsi="Times New Roman" w:cs="Times New Roman"/>
        </w:rPr>
      </w:pPr>
      <w:r>
        <w:rPr>
          <w:rFonts w:ascii="Times New Roman" w:hAnsi="Times New Roman" w:cs="Times New Roman"/>
        </w:rPr>
      </w:r>
      <w:r/>
    </w:p>
    <w:p>
      <w:pPr>
        <w:pStyle w:val="943"/>
        <w:numPr>
          <w:ilvl w:val="0"/>
          <w:numId w:val="0"/>
        </w:numPr>
        <w:ind w:left="0" w:firstLine="0"/>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940"/>
        <w:rPr>
          <w:lang w:val="en-US"/>
        </w:rPr>
      </w:pPr>
      <w:r>
        <w:rPr>
          <w:lang w:val="en-US"/>
        </w:rPr>
      </w:r>
      <w:r/>
    </w:p>
    <w:p>
      <w:pPr>
        <w:pStyle w:val="940"/>
        <w:ind w:firstLine="708"/>
        <w:jc w:val="both"/>
        <w:rPr>
          <w:lang w:val="en-US"/>
        </w:rPr>
      </w:pPr>
      <w:r>
        <w:rPr>
          <w:lang w:val="en-US"/>
        </w:rPr>
        <w:t xml:space="preserve">В  Астраханской  области, как и в России в целом, в 2021 году ЕГЭ по русскому языку входил в группу обя</w:t>
      </w:r>
      <w:r>
        <w:rPr>
          <w:lang w:val="en-US"/>
        </w:rPr>
        <w:t xml:space="preserve">зательных экзаменов. Выпускники средних школ, а также выпускники СПО, выпускники прошлых лет сдавали русский язык в форме ЕГЭ, ГВЭ и в форме ГВЭ- аттестат. Всего этот экзамен в Астраханской области сдавали – 3963  человека.  Средний балл составляет – 70,8.</w:t>
      </w:r>
      <w:r/>
    </w:p>
    <w:p>
      <w:pPr>
        <w:pStyle w:val="940"/>
        <w:ind w:firstLine="708"/>
        <w:jc w:val="both"/>
        <w:rPr>
          <w:lang w:val="en-US"/>
        </w:rPr>
      </w:pPr>
      <w:r>
        <w:rPr>
          <w:lang w:val="en-US"/>
        </w:rPr>
        <w:t xml:space="preserve">В регионе средний балл ЕГЭ по русскому языку за последние 3 года стабильно увеличивается, но также увеличивается количество высокоба</w:t>
      </w:r>
      <w:r>
        <w:rPr>
          <w:lang w:val="en-US"/>
        </w:rPr>
        <w:t xml:space="preserve">лльников, при этом в 2021 году незначительно уменьшилось количество стобалльников. (с 12  человек до 9). В 2021  г. существенно уменьшилось  в сравнении с 2020 количество участников, не преодолевших минимальной границы (1,5% - в 2020 г., 0,2% - в 2021 г.).</w:t>
      </w:r>
      <w:r/>
    </w:p>
    <w:p>
      <w:pPr>
        <w:pStyle w:val="940"/>
        <w:ind w:firstLine="708"/>
        <w:jc w:val="both"/>
        <w:rPr>
          <w:lang w:val="en-US"/>
        </w:rPr>
      </w:pPr>
      <w:r>
        <w:rPr>
          <w:lang w:val="en-US"/>
        </w:rPr>
        <w:t xml:space="preserve">Стобалльники традиционно представлены лишь в группе участников из  СОО. </w:t>
      </w:r>
      <w:r/>
    </w:p>
    <w:p>
      <w:pPr>
        <w:pStyle w:val="940"/>
        <w:ind w:firstLine="708"/>
        <w:jc w:val="both"/>
      </w:pPr>
      <w:r>
        <w:rPr>
          <w:lang w:val="en-US"/>
        </w:rPr>
        <w:t xml:space="preserve">Количество высокобалльников незначительно выросло (в среднем на 2%), а в группе ВПЛ осталось на прежнем уровне в сравнении с 2020 г. В целом сохраняется пропорциональное соотношение по группам в течение всех тр</w:t>
      </w:r>
      <w:r>
        <w:t xml:space="preserve">ёх</w:t>
      </w:r>
      <w:r>
        <w:rPr>
          <w:lang w:val="en-US"/>
        </w:rPr>
        <w:t xml:space="preserve"> лет.</w:t>
      </w:r>
      <w:r/>
    </w:p>
    <w:p>
      <w:pPr>
        <w:pStyle w:val="940"/>
        <w:ind w:firstLine="708"/>
        <w:jc w:val="both"/>
      </w:pPr>
      <w:r>
        <w:rPr>
          <w:lang w:val="en-US"/>
        </w:rPr>
        <w:t xml:space="preserve">Увеличилось количество участников ЕГЭ, получивших тестовый балл от минимального до 60 баллов,  среди выпускников СОО</w:t>
      </w:r>
      <w:r>
        <w:rPr>
          <w:lang w:val="en-US"/>
        </w:rPr>
        <w:t xml:space="preserve">, участников с ОВЗ и ВПЛ (приблизительно 3%). Количество участников ЕГЭ, получивших тестовый балл   от 61 до 80 баллов, среди выпускников, обучающихся по программам  СПО увеличилось (приблизительно на 22%), а среди участников СОО и ОВЗ – уменьшилось (СОО -</w:t>
      </w:r>
      <w:r>
        <w:t xml:space="preserve"> </w:t>
      </w:r>
      <w:r>
        <w:rPr>
          <w:lang w:val="en-US"/>
        </w:rPr>
        <w:t xml:space="preserve">3%, ОВЗ – 20 %).</w:t>
      </w:r>
      <w:r/>
    </w:p>
    <w:p>
      <w:pPr>
        <w:pStyle w:val="940"/>
        <w:ind w:firstLine="708"/>
        <w:jc w:val="both"/>
        <w:rPr>
          <w:lang w:val="en-US"/>
        </w:rPr>
      </w:pPr>
      <w:r>
        <w:rPr>
          <w:lang w:val="en-US"/>
        </w:rPr>
        <w:t xml:space="preserve">Количество участников ЕГЭ, набравших 100 баллов, осталось на прежнем уровне среди  всех групп</w:t>
      </w:r>
      <w:r>
        <w:rPr>
          <w:lang w:val="en-US"/>
        </w:rPr>
        <w:t xml:space="preserve"> участников ЕГЭ. Те же пропорциональные соотношения между показателями высокобалльников:  незначительно  уменьшаются (приблизительно1-2%) во всех группах.   Доля участников ЕГЭ, набравших баллы от 61 до 80, как следствие, показана увеличением количества ли</w:t>
      </w:r>
      <w:r>
        <w:rPr>
          <w:lang w:val="en-US"/>
        </w:rPr>
        <w:t xml:space="preserve">цеистов и гимназистов на 8,5%, в группе прочие ОО (Казачий кадетский корпус, Инженерная школа, АСВУ МВД России и пр.)  на 2% и уменьшением числа в иных группах. Традиционно количество набравших баллы ниже минимального представлено в группах СОШ, СПО и ВПЛ.</w:t>
      </w:r>
      <w:r/>
    </w:p>
    <w:p>
      <w:pPr>
        <w:pStyle w:val="940"/>
        <w:ind w:firstLine="708"/>
        <w:jc w:val="both"/>
      </w:pPr>
      <w:r>
        <w:rPr>
          <w:lang w:val="en-US"/>
        </w:rPr>
        <w:t xml:space="preserve">Лучшие результаты по отношению доли получивших тестовый балл от 81 до 100 баллов показали г.</w:t>
      </w:r>
      <w:r>
        <w:t xml:space="preserve"> </w:t>
      </w:r>
      <w:r>
        <w:rPr>
          <w:lang w:val="en-US"/>
        </w:rPr>
        <w:t xml:space="preserve">Астрахань, Красноярский, Енотаевский и Володарский районы, а также Ахтубинский район, давший 2 участников, набравших по 100 баллов. Худшие результаты по данным показателям Ахтубинский, Харабалинский районы и ЗАТО Знаменск.</w:t>
      </w:r>
      <w:r/>
    </w:p>
    <w:p>
      <w:pPr>
        <w:pStyle w:val="940"/>
        <w:ind w:firstLine="708"/>
        <w:jc w:val="both"/>
      </w:pPr>
      <w:r>
        <w:rPr>
          <w:lang w:val="en-US"/>
        </w:rPr>
        <w:t xml:space="preserve">В целом такое сравнение показывает, что, с одной стороны, требования к педагогическим кадрам, методич</w:t>
      </w:r>
      <w:r>
        <w:rPr>
          <w:lang w:val="en-US"/>
        </w:rPr>
        <w:t xml:space="preserve">еское и ресурсное обеспечение, превалирование учебных целей и задач – безусловные показатели системы образования в городах и что, с другой стороны, комфортная социально-психологическая специфика пребывания в учебной организации, мотивация к обучению, включ</w:t>
      </w:r>
      <w:r>
        <w:t xml:space="preserve">ё</w:t>
      </w:r>
      <w:r>
        <w:rPr>
          <w:lang w:val="en-US"/>
        </w:rPr>
        <w:t xml:space="preserve">нность в современные социально-экономические отношения – черты выпускника городских ОО.</w:t>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both"/>
        <w:rPr>
          <w:lang w:val="en-US"/>
        </w:rPr>
      </w:pPr>
      <w:r>
        <w:rPr>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940"/>
        <w:jc w:val="both"/>
        <w:tabs>
          <w:tab w:val="clear" w:pos="708" w:leader="none"/>
          <w:tab w:val="left" w:pos="770" w:leader="none"/>
        </w:tabs>
      </w:pPr>
      <w:r>
        <w:rPr>
          <w:lang w:eastAsia="en-US"/>
        </w:rPr>
        <w:tab/>
        <w:t xml:space="preserve">Единый государственный экзамен по русскому языку является обязательным экзаменом, он </w:t>
      </w:r>
      <w:r>
        <w:rPr>
          <w:lang w:eastAsia="en-US"/>
        </w:rPr>
        <w:t xml:space="preserve">проводился во всех субъектах Российской Федерации. Все задания экзаменационной работы имеют практико-ориентированный характер и проверяют умения: опознавать, анализировать, сопоставлять, классифицировать языковые факты, оценивать их с точки зрения норматив</w:t>
      </w:r>
      <w:r>
        <w:rPr>
          <w:lang w:eastAsia="en-US"/>
        </w:rPr>
        <w:t xml:space="preserve">ности; осуществлять информационный поиск, извлекать и преобразовывать необходимую информацию; осуществлять свободное владение языком в разных условиях общения, используя при этом достаточный уровень словарного запаса и грамматического строя русского языка.</w:t>
      </w:r>
      <w:r/>
    </w:p>
    <w:p>
      <w:pPr>
        <w:pStyle w:val="940"/>
        <w:jc w:val="both"/>
        <w:tabs>
          <w:tab w:val="clear" w:pos="708" w:leader="none"/>
          <w:tab w:val="left" w:pos="770" w:leader="none"/>
        </w:tabs>
      </w:pPr>
      <w:r>
        <w:rPr>
          <w:lang w:eastAsia="en-US"/>
        </w:rPr>
        <w:tab/>
        <w:t xml:space="preserve">Содержани</w:t>
      </w:r>
      <w:r>
        <w:rPr>
          <w:lang w:eastAsia="en-US"/>
        </w:rPr>
        <w:t xml:space="preserve">е экзаменационной работы ЕГЭ 2021 г. по русскому языку соответствует Федеральному компоненту государственного стандарта основного общего и среднего (полного) общего образования. Содержание экзаменационной работы определяется на основе следующих документов:</w:t>
      </w:r>
      <w:r/>
    </w:p>
    <w:p>
      <w:pPr>
        <w:pStyle w:val="940"/>
        <w:jc w:val="both"/>
        <w:tabs>
          <w:tab w:val="clear" w:pos="708" w:leader="none"/>
          <w:tab w:val="left" w:pos="770" w:leader="none"/>
        </w:tabs>
      </w:pPr>
      <w:r>
        <w:rPr>
          <w:lang w:eastAsia="en-US"/>
        </w:rPr>
        <w:tab/>
        <w:t xml:space="preserve">1) Федеральный компонент государственного стандарта основного общего образования (приказ Минобразования России от 05.03.2004 № 1089);</w:t>
      </w:r>
      <w:r/>
    </w:p>
    <w:p>
      <w:pPr>
        <w:pStyle w:val="940"/>
        <w:jc w:val="both"/>
        <w:tabs>
          <w:tab w:val="clear" w:pos="708" w:leader="none"/>
          <w:tab w:val="left" w:pos="770" w:leader="none"/>
        </w:tabs>
      </w:pPr>
      <w:r>
        <w:rPr>
          <w:lang w:eastAsia="en-US"/>
        </w:rPr>
        <w:tab/>
        <w:t xml:space="preserve">2)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r/>
    </w:p>
    <w:p>
      <w:pPr>
        <w:pStyle w:val="940"/>
        <w:jc w:val="both"/>
        <w:tabs>
          <w:tab w:val="clear" w:pos="708" w:leader="none"/>
          <w:tab w:val="left" w:pos="770" w:leader="none"/>
        </w:tabs>
      </w:pPr>
      <w:r>
        <w:rPr>
          <w:b/>
          <w:lang w:eastAsia="en-US"/>
        </w:rPr>
        <w:tab/>
        <w:t xml:space="preserve">Структура КИМ ЕГЭ</w:t>
      </w:r>
      <w:r/>
    </w:p>
    <w:p>
      <w:pPr>
        <w:pStyle w:val="940"/>
        <w:jc w:val="both"/>
        <w:tabs>
          <w:tab w:val="clear" w:pos="708" w:leader="none"/>
          <w:tab w:val="left" w:pos="770" w:leader="none"/>
        </w:tabs>
      </w:pPr>
      <w:r>
        <w:tab/>
        <w:t xml:space="preserve">Каждый вариант экзаменационной работы состоит из двух частей и включает в себя 27 заданий, различающихся формой и уровнем сложности.</w:t>
      </w:r>
      <w:r/>
    </w:p>
    <w:p>
      <w:pPr>
        <w:pStyle w:val="940"/>
        <w:jc w:val="both"/>
        <w:tabs>
          <w:tab w:val="clear" w:pos="708" w:leader="none"/>
          <w:tab w:val="left" w:pos="770" w:leader="none"/>
        </w:tabs>
      </w:pPr>
      <w:r>
        <w:rPr>
          <w:b/>
          <w:lang w:eastAsia="en-US"/>
        </w:rPr>
        <w:tab/>
        <w:t xml:space="preserve">Часть 1</w:t>
      </w:r>
      <w:r>
        <w:rPr>
          <w:lang w:eastAsia="en-US"/>
        </w:rPr>
        <w:t xml:space="preserve"> содержит 26 заданий с кратким ответом. В экзаменационной работе предложены следующие разновидности заданий с кратким ответом:</w:t>
      </w:r>
      <w:r/>
    </w:p>
    <w:p>
      <w:pPr>
        <w:pStyle w:val="940"/>
        <w:jc w:val="both"/>
        <w:tabs>
          <w:tab w:val="clear" w:pos="708" w:leader="none"/>
          <w:tab w:val="left" w:pos="770" w:leader="none"/>
        </w:tabs>
      </w:pPr>
      <w:r>
        <w:rPr>
          <w:lang w:eastAsia="en-US"/>
        </w:rPr>
        <w:tab/>
        <w:t xml:space="preserve">–</w:t>
      </w:r>
      <w:r>
        <w:rPr>
          <w:rFonts w:eastAsia="Times New Roman"/>
          <w:lang w:eastAsia="en-US"/>
        </w:rPr>
        <w:t xml:space="preserve"> </w:t>
      </w:r>
      <w:r>
        <w:rPr>
          <w:lang w:eastAsia="en-US"/>
        </w:rPr>
        <w:t xml:space="preserve">задания на запись самостоятельно сформулированного правильного</w:t>
      </w:r>
      <w:r/>
    </w:p>
    <w:p>
      <w:pPr>
        <w:pStyle w:val="940"/>
        <w:jc w:val="both"/>
        <w:tabs>
          <w:tab w:val="clear" w:pos="708" w:leader="none"/>
          <w:tab w:val="left" w:pos="770" w:leader="none"/>
        </w:tabs>
        <w:rPr>
          <w:lang w:eastAsia="en-US"/>
        </w:rPr>
      </w:pPr>
      <w:r>
        <w:rPr>
          <w:lang w:eastAsia="en-US"/>
        </w:rPr>
        <w:t xml:space="preserve">ответа;</w:t>
      </w:r>
      <w:r/>
    </w:p>
    <w:p>
      <w:pPr>
        <w:pStyle w:val="940"/>
        <w:jc w:val="both"/>
        <w:tabs>
          <w:tab w:val="clear" w:pos="708" w:leader="none"/>
          <w:tab w:val="left" w:pos="770" w:leader="none"/>
        </w:tabs>
      </w:pPr>
      <w:r>
        <w:rPr>
          <w:lang w:eastAsia="en-US"/>
        </w:rPr>
        <w:tab/>
        <w:t xml:space="preserve">–</w:t>
      </w:r>
      <w:r>
        <w:rPr>
          <w:rFonts w:eastAsia="Times New Roman"/>
          <w:lang w:eastAsia="en-US"/>
        </w:rPr>
        <w:t xml:space="preserve"> </w:t>
      </w:r>
      <w:r>
        <w:rPr>
          <w:lang w:eastAsia="en-US"/>
        </w:rPr>
        <w:t xml:space="preserve">задания на выбор и запись одного или нескольких правильных ответов из предложенного перечня ответов.</w:t>
      </w:r>
      <w:r/>
    </w:p>
    <w:p>
      <w:pPr>
        <w:pStyle w:val="940"/>
        <w:jc w:val="both"/>
        <w:tabs>
          <w:tab w:val="clear" w:pos="708" w:leader="none"/>
          <w:tab w:val="left" w:pos="770" w:leader="none"/>
        </w:tabs>
      </w:pPr>
      <w:r>
        <w:rPr>
          <w:lang w:eastAsia="en-US"/>
        </w:rPr>
        <w:tab/>
        <w:t xml:space="preserve">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w:t>
      </w:r>
      <w:r/>
    </w:p>
    <w:p>
      <w:pPr>
        <w:pStyle w:val="940"/>
        <w:jc w:val="both"/>
        <w:tabs>
          <w:tab w:val="clear" w:pos="708" w:leader="none"/>
          <w:tab w:val="left" w:pos="770" w:leader="none"/>
        </w:tabs>
      </w:pPr>
      <w:r>
        <w:rPr>
          <w:b/>
          <w:lang w:eastAsia="en-US"/>
        </w:rPr>
        <w:tab/>
        <w:t xml:space="preserve">Часть 2</w:t>
      </w:r>
      <w:r>
        <w:rPr>
          <w:lang w:eastAsia="en-US"/>
        </w:rPr>
        <w:t xml:space="preserve">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w:t>
      </w:r>
      <w:r/>
    </w:p>
    <w:p>
      <w:pPr>
        <w:pStyle w:val="940"/>
        <w:jc w:val="both"/>
        <w:tabs>
          <w:tab w:val="clear" w:pos="708" w:leader="none"/>
          <w:tab w:val="left" w:pos="770" w:leader="none"/>
        </w:tabs>
        <w:rPr>
          <w:lang w:eastAsia="en-US"/>
        </w:rPr>
      </w:pPr>
      <w:r>
        <w:rPr>
          <w:lang w:eastAsia="en-US"/>
        </w:rPr>
        <w:t xml:space="preserve">Распределение заданий по частям экзаменационной работы с указанием первичных баллов представлено в таблице.</w:t>
      </w:r>
      <w:r/>
    </w:p>
    <w:p>
      <w:pPr>
        <w:pStyle w:val="940"/>
        <w:jc w:val="both"/>
        <w:tabs>
          <w:tab w:val="clear" w:pos="708" w:leader="none"/>
          <w:tab w:val="left" w:pos="770" w:leader="none"/>
        </w:tabs>
        <w:rPr>
          <w:lang w:eastAsia="en-US"/>
        </w:rPr>
      </w:pPr>
      <w:r>
        <w:rPr>
          <w:lang w:eastAsia="en-US"/>
        </w:rPr>
      </w:r>
      <w:r/>
    </w:p>
    <w:tbl>
      <w:tblPr>
        <w:tblW w:w="9797" w:type="dxa"/>
        <w:tblInd w:w="-157" w:type="dxa"/>
        <w:tblLayout w:type="fixed"/>
        <w:tblCellMar>
          <w:left w:w="108" w:type="dxa"/>
          <w:top w:w="0" w:type="dxa"/>
          <w:right w:w="108" w:type="dxa"/>
          <w:bottom w:w="0" w:type="dxa"/>
        </w:tblCellMar>
        <w:tblLook w:val="04A0" w:firstRow="1" w:lastRow="0" w:firstColumn="1" w:lastColumn="0" w:noHBand="0" w:noVBand="1"/>
      </w:tblPr>
      <w:tblGrid>
        <w:gridCol w:w="1480"/>
        <w:gridCol w:w="1242"/>
        <w:gridCol w:w="1597"/>
        <w:gridCol w:w="2513"/>
        <w:gridCol w:w="2965"/>
      </w:tblGrid>
      <w:tr>
        <w:trPr>
          <w:trHeight w:val="716"/>
        </w:trPr>
        <w:tc>
          <w:tcPr>
            <w:gridSpan w:val="5"/>
            <w:tcBorders>
              <w:top w:val="single" w:color="000000" w:sz="4" w:space="0"/>
              <w:left w:val="single" w:color="000000" w:sz="4" w:space="0"/>
              <w:bottom w:val="single" w:color="000000" w:sz="4" w:space="0"/>
              <w:right w:val="single" w:color="000000" w:sz="4" w:space="0"/>
            </w:tcBorders>
            <w:tcW w:w="9797"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Распределение заданий по частям экзаменационной работы</w:t>
            </w:r>
            <w:r/>
          </w:p>
        </w:tc>
      </w:tr>
      <w:tr>
        <w:trPr>
          <w:trHeight w:val="1942"/>
        </w:trPr>
        <w:tc>
          <w:tcPr>
            <w:tcBorders>
              <w:top w:val="single" w:color="000000" w:sz="4" w:space="0"/>
              <w:left w:val="single" w:color="000000" w:sz="4" w:space="0"/>
              <w:bottom w:val="single" w:color="000000" w:sz="4" w:space="0"/>
            </w:tcBorders>
            <w:tcW w:w="1480"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Часть работы</w:t>
            </w:r>
            <w:r/>
          </w:p>
        </w:tc>
        <w:tc>
          <w:tcPr>
            <w:tcBorders>
              <w:top w:val="single" w:color="000000" w:sz="4" w:space="0"/>
              <w:left w:val="single" w:color="000000" w:sz="4" w:space="0"/>
              <w:bottom w:val="single" w:color="000000" w:sz="4" w:space="0"/>
            </w:tcBorders>
            <w:tcW w:w="1242"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Количество и перечень заданий</w:t>
            </w:r>
            <w:r/>
          </w:p>
        </w:tc>
        <w:tc>
          <w:tcPr>
            <w:tcBorders>
              <w:top w:val="single" w:color="000000" w:sz="4" w:space="0"/>
              <w:left w:val="single" w:color="000000" w:sz="4" w:space="0"/>
              <w:bottom w:val="single" w:color="000000" w:sz="4" w:space="0"/>
            </w:tcBorders>
            <w:tcW w:w="1597"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Максимальный первичный балл</w:t>
            </w:r>
            <w:r/>
          </w:p>
        </w:tc>
        <w:tc>
          <w:tcPr>
            <w:tcBorders>
              <w:top w:val="single" w:color="000000" w:sz="4" w:space="0"/>
              <w:left w:val="single" w:color="000000" w:sz="4" w:space="0"/>
              <w:bottom w:val="single" w:color="000000" w:sz="4" w:space="0"/>
            </w:tcBorders>
            <w:tcW w:w="2513"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 максимального первичного балла за задания данной части от максимального первичного балла за всю работу</w:t>
            </w:r>
            <w:r/>
          </w:p>
        </w:tc>
        <w:tc>
          <w:tcPr>
            <w:tcBorders>
              <w:top w:val="single" w:color="000000" w:sz="4" w:space="0"/>
              <w:left w:val="single" w:color="000000" w:sz="4" w:space="0"/>
              <w:bottom w:val="single" w:color="000000" w:sz="4" w:space="0"/>
              <w:right w:val="single" w:color="000000" w:sz="4" w:space="0"/>
            </w:tcBorders>
            <w:tcW w:w="2965" w:type="dxa"/>
            <w:textDirection w:val="lrTb"/>
            <w:noWrap w:val="false"/>
          </w:tcPr>
          <w:p>
            <w:pPr>
              <w:pStyle w:val="940"/>
              <w:contextualSpacing/>
              <w:jc w:val="center"/>
              <w:spacing w:before="0" w:after="200" w:line="276" w:lineRule="auto"/>
              <w:tabs>
                <w:tab w:val="clear" w:pos="708" w:leader="none"/>
                <w:tab w:val="left" w:pos="1026" w:leader="none"/>
              </w:tabs>
              <w:rPr>
                <w:lang w:eastAsia="en-US"/>
              </w:rPr>
            </w:pPr>
            <w:r>
              <w:rPr>
                <w:lang w:eastAsia="en-US"/>
              </w:rPr>
              <w:t xml:space="preserve">Тип заданий (с кратким или развернутым ответом)</w:t>
            </w:r>
            <w:r/>
          </w:p>
        </w:tc>
      </w:tr>
      <w:tr>
        <w:trPr>
          <w:trHeight w:val="258"/>
        </w:trPr>
        <w:tc>
          <w:tcPr>
            <w:tcBorders>
              <w:top w:val="single" w:color="000000" w:sz="4" w:space="0"/>
              <w:left w:val="single" w:color="000000" w:sz="4" w:space="0"/>
              <w:bottom w:val="single" w:color="000000" w:sz="4" w:space="0"/>
            </w:tcBorders>
            <w:tcW w:w="1480"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1-я часть</w:t>
            </w:r>
            <w:r/>
          </w:p>
        </w:tc>
        <w:tc>
          <w:tcPr>
            <w:tcBorders>
              <w:top w:val="single" w:color="000000" w:sz="4" w:space="0"/>
              <w:left w:val="single" w:color="000000" w:sz="4" w:space="0"/>
              <w:bottom w:val="single" w:color="000000" w:sz="4" w:space="0"/>
            </w:tcBorders>
            <w:tcW w:w="1242"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26</w:t>
            </w:r>
            <w:r/>
          </w:p>
        </w:tc>
        <w:tc>
          <w:tcPr>
            <w:tcBorders>
              <w:top w:val="single" w:color="000000" w:sz="4" w:space="0"/>
              <w:left w:val="single" w:color="000000" w:sz="4" w:space="0"/>
              <w:bottom w:val="single" w:color="000000" w:sz="4" w:space="0"/>
            </w:tcBorders>
            <w:tcW w:w="1597"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34</w:t>
            </w:r>
            <w:r/>
          </w:p>
        </w:tc>
        <w:tc>
          <w:tcPr>
            <w:tcBorders>
              <w:top w:val="single" w:color="000000" w:sz="4" w:space="0"/>
              <w:left w:val="single" w:color="000000" w:sz="4" w:space="0"/>
              <w:bottom w:val="single" w:color="000000" w:sz="4" w:space="0"/>
            </w:tcBorders>
            <w:tcW w:w="2513"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59</w:t>
            </w:r>
            <w:r/>
          </w:p>
        </w:tc>
        <w:tc>
          <w:tcPr>
            <w:tcBorders>
              <w:top w:val="single" w:color="000000" w:sz="4" w:space="0"/>
              <w:left w:val="single" w:color="000000" w:sz="4" w:space="0"/>
              <w:bottom w:val="single" w:color="000000" w:sz="4" w:space="0"/>
              <w:right w:val="single" w:color="000000" w:sz="4" w:space="0"/>
            </w:tcBorders>
            <w:tcW w:w="2965"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с кратким</w:t>
            </w:r>
            <w:r/>
          </w:p>
        </w:tc>
      </w:tr>
      <w:tr>
        <w:trPr>
          <w:trHeight w:val="435"/>
        </w:trPr>
        <w:tc>
          <w:tcPr>
            <w:tcBorders>
              <w:top w:val="single" w:color="000000" w:sz="4" w:space="0"/>
              <w:left w:val="single" w:color="000000" w:sz="4" w:space="0"/>
              <w:bottom w:val="single" w:color="000000" w:sz="4" w:space="0"/>
            </w:tcBorders>
            <w:tcW w:w="1480"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2-я часть</w:t>
            </w:r>
            <w:r/>
          </w:p>
        </w:tc>
        <w:tc>
          <w:tcPr>
            <w:tcBorders>
              <w:top w:val="single" w:color="000000" w:sz="4" w:space="0"/>
              <w:left w:val="single" w:color="000000" w:sz="4" w:space="0"/>
              <w:bottom w:val="single" w:color="000000" w:sz="4" w:space="0"/>
            </w:tcBorders>
            <w:tcW w:w="1242"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1</w:t>
            </w:r>
            <w:r/>
          </w:p>
        </w:tc>
        <w:tc>
          <w:tcPr>
            <w:tcBorders>
              <w:top w:val="single" w:color="000000" w:sz="4" w:space="0"/>
              <w:left w:val="single" w:color="000000" w:sz="4" w:space="0"/>
              <w:bottom w:val="single" w:color="000000" w:sz="4" w:space="0"/>
            </w:tcBorders>
            <w:tcW w:w="1597"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24</w:t>
            </w:r>
            <w:r/>
          </w:p>
        </w:tc>
        <w:tc>
          <w:tcPr>
            <w:tcBorders>
              <w:top w:val="single" w:color="000000" w:sz="4" w:space="0"/>
              <w:left w:val="single" w:color="000000" w:sz="4" w:space="0"/>
              <w:bottom w:val="single" w:color="000000" w:sz="4" w:space="0"/>
            </w:tcBorders>
            <w:tcW w:w="2513" w:type="dxa"/>
            <w:textDirection w:val="lrTb"/>
            <w:noWrap w:val="false"/>
          </w:tcPr>
          <w:p>
            <w:pPr>
              <w:pStyle w:val="940"/>
              <w:contextualSpacing/>
              <w:jc w:val="center"/>
              <w:spacing w:before="0" w:after="200" w:line="276" w:lineRule="auto"/>
              <w:tabs>
                <w:tab w:val="clear" w:pos="708" w:leader="none"/>
                <w:tab w:val="left" w:pos="770" w:leader="none"/>
              </w:tabs>
              <w:rPr>
                <w:b/>
                <w:lang w:eastAsia="en-US"/>
              </w:rPr>
            </w:pPr>
            <w:r>
              <w:rPr>
                <w:b/>
                <w:lang w:eastAsia="en-US"/>
              </w:rPr>
              <w:t xml:space="preserve">41</w:t>
            </w:r>
            <w:r/>
          </w:p>
        </w:tc>
        <w:tc>
          <w:tcPr>
            <w:tcBorders>
              <w:top w:val="single" w:color="000000" w:sz="4" w:space="0"/>
              <w:left w:val="single" w:color="000000" w:sz="4" w:space="0"/>
              <w:bottom w:val="single" w:color="000000" w:sz="4" w:space="0"/>
              <w:right w:val="single" w:color="000000" w:sz="4" w:space="0"/>
            </w:tcBorders>
            <w:tcW w:w="2965" w:type="dxa"/>
            <w:textDirection w:val="lrTb"/>
            <w:noWrap w:val="false"/>
          </w:tcPr>
          <w:p>
            <w:pPr>
              <w:pStyle w:val="940"/>
              <w:contextualSpacing/>
              <w:jc w:val="center"/>
              <w:spacing w:before="0" w:after="200" w:line="276" w:lineRule="auto"/>
              <w:tabs>
                <w:tab w:val="clear" w:pos="708" w:leader="none"/>
                <w:tab w:val="left" w:pos="770" w:leader="none"/>
              </w:tabs>
              <w:rPr>
                <w:lang w:eastAsia="en-US"/>
              </w:rPr>
            </w:pPr>
            <w:r>
              <w:rPr>
                <w:lang w:eastAsia="en-US"/>
              </w:rPr>
              <w:t xml:space="preserve">с развёрнутым</w:t>
            </w:r>
            <w:r/>
          </w:p>
        </w:tc>
      </w:tr>
      <w:tr>
        <w:trPr>
          <w:trHeight w:val="201"/>
        </w:trPr>
        <w:tc>
          <w:tcPr>
            <w:tcBorders>
              <w:top w:val="single" w:color="000000" w:sz="4" w:space="0"/>
              <w:left w:val="single" w:color="000000" w:sz="4" w:space="0"/>
              <w:bottom w:val="single" w:color="000000" w:sz="4" w:space="0"/>
            </w:tcBorders>
            <w:tcW w:w="1480" w:type="dxa"/>
            <w:textDirection w:val="lrTb"/>
            <w:noWrap w:val="false"/>
          </w:tcPr>
          <w:p>
            <w:pPr>
              <w:pStyle w:val="940"/>
              <w:contextualSpacing/>
              <w:jc w:val="center"/>
              <w:spacing w:before="0" w:after="200" w:line="276" w:lineRule="auto"/>
              <w:tabs>
                <w:tab w:val="clear" w:pos="708" w:leader="none"/>
                <w:tab w:val="left" w:pos="770" w:leader="none"/>
              </w:tabs>
              <w:rPr>
                <w:b/>
                <w:i/>
                <w:lang w:eastAsia="en-US"/>
              </w:rPr>
            </w:pPr>
            <w:r>
              <w:rPr>
                <w:b/>
                <w:i/>
                <w:lang w:eastAsia="en-US"/>
              </w:rPr>
              <w:t xml:space="preserve">Итого</w:t>
            </w:r>
            <w:r/>
          </w:p>
        </w:tc>
        <w:tc>
          <w:tcPr>
            <w:tcBorders>
              <w:top w:val="single" w:color="000000" w:sz="4" w:space="0"/>
              <w:left w:val="single" w:color="000000" w:sz="4" w:space="0"/>
              <w:bottom w:val="single" w:color="000000" w:sz="4" w:space="0"/>
            </w:tcBorders>
            <w:tcW w:w="1242" w:type="dxa"/>
            <w:textDirection w:val="lrTb"/>
            <w:noWrap w:val="false"/>
          </w:tcPr>
          <w:p>
            <w:pPr>
              <w:pStyle w:val="940"/>
              <w:contextualSpacing/>
              <w:jc w:val="center"/>
              <w:spacing w:before="0" w:after="200" w:line="276" w:lineRule="auto"/>
              <w:tabs>
                <w:tab w:val="clear" w:pos="708" w:leader="none"/>
                <w:tab w:val="left" w:pos="770" w:leader="none"/>
              </w:tabs>
              <w:rPr>
                <w:b/>
                <w:i/>
                <w:lang w:eastAsia="en-US"/>
              </w:rPr>
            </w:pPr>
            <w:r>
              <w:rPr>
                <w:b/>
                <w:i/>
                <w:lang w:eastAsia="en-US"/>
              </w:rPr>
              <w:t xml:space="preserve">26</w:t>
            </w:r>
            <w:r/>
          </w:p>
        </w:tc>
        <w:tc>
          <w:tcPr>
            <w:tcBorders>
              <w:top w:val="single" w:color="000000" w:sz="4" w:space="0"/>
              <w:left w:val="single" w:color="000000" w:sz="4" w:space="0"/>
              <w:bottom w:val="single" w:color="000000" w:sz="4" w:space="0"/>
            </w:tcBorders>
            <w:tcW w:w="1597" w:type="dxa"/>
            <w:textDirection w:val="lrTb"/>
            <w:noWrap w:val="false"/>
          </w:tcPr>
          <w:p>
            <w:pPr>
              <w:pStyle w:val="940"/>
              <w:contextualSpacing/>
              <w:jc w:val="center"/>
              <w:spacing w:before="0" w:after="200" w:line="276" w:lineRule="auto"/>
              <w:tabs>
                <w:tab w:val="clear" w:pos="708" w:leader="none"/>
                <w:tab w:val="left" w:pos="770" w:leader="none"/>
              </w:tabs>
              <w:rPr>
                <w:b/>
                <w:i/>
                <w:lang w:eastAsia="en-US"/>
              </w:rPr>
            </w:pPr>
            <w:r>
              <w:rPr>
                <w:b/>
                <w:i/>
                <w:lang w:eastAsia="en-US"/>
              </w:rPr>
              <w:t xml:space="preserve">58</w:t>
            </w:r>
            <w:r/>
          </w:p>
        </w:tc>
        <w:tc>
          <w:tcPr>
            <w:tcBorders>
              <w:top w:val="single" w:color="000000" w:sz="4" w:space="0"/>
              <w:left w:val="single" w:color="000000" w:sz="4" w:space="0"/>
              <w:bottom w:val="single" w:color="000000" w:sz="4" w:space="0"/>
            </w:tcBorders>
            <w:tcW w:w="2513" w:type="dxa"/>
            <w:textDirection w:val="lrTb"/>
            <w:noWrap w:val="false"/>
          </w:tcPr>
          <w:p>
            <w:pPr>
              <w:pStyle w:val="940"/>
              <w:contextualSpacing/>
              <w:jc w:val="center"/>
              <w:spacing w:before="0" w:after="200" w:line="276" w:lineRule="auto"/>
              <w:tabs>
                <w:tab w:val="clear" w:pos="708" w:leader="none"/>
                <w:tab w:val="left" w:pos="770" w:leader="none"/>
              </w:tabs>
              <w:rPr>
                <w:b/>
                <w:i/>
                <w:lang w:eastAsia="en-US"/>
              </w:rPr>
            </w:pPr>
            <w:r>
              <w:rPr>
                <w:b/>
                <w:i/>
                <w:lang w:eastAsia="en-US"/>
              </w:rPr>
              <w:t xml:space="preserve">100</w:t>
            </w:r>
            <w:r/>
          </w:p>
        </w:tc>
        <w:tc>
          <w:tcPr>
            <w:tcBorders>
              <w:top w:val="single" w:color="000000" w:sz="4" w:space="0"/>
              <w:left w:val="single" w:color="000000" w:sz="4" w:space="0"/>
              <w:bottom w:val="single" w:color="000000" w:sz="4" w:space="0"/>
              <w:right w:val="single" w:color="000000" w:sz="4" w:space="0"/>
            </w:tcBorders>
            <w:tcW w:w="2965" w:type="dxa"/>
            <w:textDirection w:val="lrTb"/>
            <w:noWrap w:val="false"/>
          </w:tcPr>
          <w:p>
            <w:pPr>
              <w:pStyle w:val="940"/>
              <w:contextualSpacing/>
              <w:jc w:val="center"/>
              <w:spacing w:before="0" w:after="200" w:line="276" w:lineRule="auto"/>
              <w:tabs>
                <w:tab w:val="clear" w:pos="708" w:leader="none"/>
                <w:tab w:val="left" w:pos="770" w:leader="none"/>
              </w:tabs>
              <w:rPr>
                <w:b/>
                <w:i/>
                <w:lang w:eastAsia="en-US"/>
              </w:rPr>
            </w:pPr>
            <w:r>
              <w:rPr>
                <w:b/>
                <w:i/>
                <w:lang w:eastAsia="en-US"/>
              </w:rPr>
            </w:r>
            <w:r/>
          </w:p>
        </w:tc>
      </w:tr>
    </w:tbl>
    <w:p>
      <w:pPr>
        <w:pStyle w:val="940"/>
        <w:tabs>
          <w:tab w:val="clear" w:pos="708" w:leader="none"/>
          <w:tab w:val="left" w:pos="770" w:leader="none"/>
        </w:tabs>
      </w:pPr>
      <w:r/>
      <w:r/>
    </w:p>
    <w:p>
      <w:pPr>
        <w:pStyle w:val="940"/>
        <w:tabs>
          <w:tab w:val="clear" w:pos="708" w:leader="none"/>
          <w:tab w:val="left" w:pos="770" w:leader="none"/>
        </w:tabs>
      </w:pPr>
      <w:r>
        <w:tab/>
        <w:t xml:space="preserve">Продолжительность работы: 3,5 часа (210 минут)</w:t>
      </w:r>
      <w:r/>
    </w:p>
    <w:p>
      <w:pPr>
        <w:pStyle w:val="940"/>
        <w:tabs>
          <w:tab w:val="clear" w:pos="708" w:leader="none"/>
          <w:tab w:val="left" w:pos="770" w:leader="none"/>
        </w:tabs>
      </w:pPr>
      <w:r>
        <w:rPr>
          <w:b/>
        </w:rPr>
        <w:tab/>
        <w:t xml:space="preserve">Изменения в структуре КИМ 2021: </w:t>
      </w:r>
      <w:r/>
    </w:p>
    <w:p>
      <w:pPr>
        <w:pStyle w:val="940"/>
        <w:jc w:val="both"/>
        <w:tabs>
          <w:tab w:val="clear" w:pos="708" w:leader="none"/>
          <w:tab w:val="left" w:pos="770" w:leader="none"/>
        </w:tabs>
      </w:pPr>
      <w:r>
        <w:rPr>
          <w:b/>
        </w:rPr>
        <w:tab/>
        <w:t xml:space="preserve">- </w:t>
      </w:r>
      <w:r>
        <w:t xml:space="preserve">в задании 27 (задание с развернутым ответом) добавлено: указать на смысловую связь между примерами-иллюстрациями и проанализировать ее.</w:t>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contextualSpacing/>
        <w:jc w:val="both"/>
        <w:spacing w:before="0" w:after="0"/>
        <w:rPr>
          <w:rFonts w:eastAsia="SimSun;宋体"/>
          <w:b/>
          <w:bCs/>
          <w:i/>
          <w:iCs/>
          <w:sz w:val="28"/>
          <w:lang w:val="en-US"/>
        </w:rPr>
      </w:pPr>
      <w:r>
        <w:rPr>
          <w:rFonts w:eastAsia="SimSun;宋体"/>
          <w:b/>
          <w:bCs/>
          <w:i/>
          <w:iCs/>
          <w:sz w:val="28"/>
          <w:lang w:val="en-US"/>
        </w:rPr>
      </w:r>
      <w:r/>
    </w:p>
    <w:tbl>
      <w:tblPr>
        <w:tblW w:w="9813"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952"/>
        <w:gridCol w:w="1831"/>
        <w:gridCol w:w="1126"/>
        <w:gridCol w:w="1126"/>
        <w:gridCol w:w="1266"/>
        <w:gridCol w:w="1267"/>
        <w:gridCol w:w="1409"/>
        <w:gridCol w:w="836"/>
      </w:tblGrid>
      <w:tr>
        <w:trPr>
          <w:trHeight w:val="271"/>
        </w:trPr>
        <w:tc>
          <w:tcPr>
            <w:tcBorders>
              <w:top w:val="single" w:color="000000" w:sz="4" w:space="0"/>
              <w:left w:val="single" w:color="000000" w:sz="4" w:space="0"/>
              <w:bottom w:val="single" w:color="000000" w:sz="4" w:space="0"/>
            </w:tcBorders>
            <w:tcW w:w="952" w:type="dxa"/>
            <w:vMerge w:val="restart"/>
            <w:textDirection w:val="lrTb"/>
            <w:noWrap w:val="false"/>
          </w:tcPr>
          <w:p>
            <w:pPr>
              <w:pStyle w:val="940"/>
            </w:pPr>
            <w:r>
              <w:t xml:space="preserve">Обозначение заданий в работе</w:t>
            </w:r>
            <w:r/>
          </w:p>
        </w:tc>
        <w:tc>
          <w:tcPr>
            <w:tcBorders>
              <w:top w:val="single" w:color="000000" w:sz="4" w:space="0"/>
              <w:left w:val="single" w:color="000000" w:sz="4" w:space="0"/>
              <w:bottom w:val="single" w:color="000000" w:sz="4" w:space="0"/>
            </w:tcBorders>
            <w:tcW w:w="1831" w:type="dxa"/>
            <w:vMerge w:val="restart"/>
            <w:textDirection w:val="lrTb"/>
            <w:noWrap w:val="false"/>
          </w:tcPr>
          <w:p>
            <w:pPr>
              <w:pStyle w:val="940"/>
            </w:pPr>
            <w:r>
              <w:t xml:space="preserve">Проверяемые элементы содержания/умения</w:t>
            </w:r>
            <w:r/>
          </w:p>
        </w:tc>
        <w:tc>
          <w:tcPr>
            <w:tcBorders>
              <w:top w:val="single" w:color="000000" w:sz="4" w:space="0"/>
              <w:left w:val="single" w:color="000000" w:sz="4" w:space="0"/>
              <w:bottom w:val="single" w:color="000000" w:sz="4" w:space="0"/>
            </w:tcBorders>
            <w:tcW w:w="1126" w:type="dxa"/>
            <w:vMerge w:val="restart"/>
            <w:textDirection w:val="lrTb"/>
            <w:noWrap w:val="false"/>
          </w:tcPr>
          <w:p>
            <w:pPr>
              <w:pStyle w:val="940"/>
            </w:pPr>
            <w:r>
              <w:t xml:space="preserve">Уровень сложности заданий</w:t>
            </w:r>
            <w:r/>
          </w:p>
        </w:tc>
        <w:tc>
          <w:tcPr>
            <w:gridSpan w:val="5"/>
            <w:tcBorders>
              <w:top w:val="single" w:color="000000" w:sz="4" w:space="0"/>
              <w:left w:val="single" w:color="000000" w:sz="4" w:space="0"/>
              <w:bottom w:val="single" w:color="000000" w:sz="4" w:space="0"/>
              <w:right w:val="single" w:color="000000" w:sz="4" w:space="0"/>
            </w:tcBorders>
            <w:tcW w:w="5904" w:type="dxa"/>
            <w:textDirection w:val="lrTb"/>
            <w:noWrap w:val="false"/>
          </w:tcPr>
          <w:p>
            <w:pPr>
              <w:pStyle w:val="940"/>
            </w:pPr>
            <w:r>
              <w:t xml:space="preserve">Процент выполнения заданий  в субъекте РФ</w:t>
            </w:r>
            <w:r/>
          </w:p>
        </w:tc>
      </w:tr>
      <w:tr>
        <w:trPr>
          <w:trHeight w:val="271"/>
        </w:trPr>
        <w:tc>
          <w:tcPr>
            <w:tcBorders>
              <w:top w:val="single" w:color="000000" w:sz="4" w:space="0"/>
              <w:left w:val="single" w:color="000000" w:sz="4" w:space="0"/>
              <w:bottom w:val="single" w:color="000000" w:sz="4" w:space="0"/>
            </w:tcBorders>
            <w:tcW w:w="952"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1831"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1126" w:type="dxa"/>
            <w:vMerge w:val="continue"/>
            <w:textDirection w:val="lrTb"/>
            <w:noWrap w:val="false"/>
          </w:tcPr>
          <w:p>
            <w:pPr>
              <w:pStyle w:val="940"/>
            </w:pPr>
            <w:r/>
            <w:r/>
          </w:p>
        </w:tc>
        <w:tc>
          <w:tcPr>
            <w:tcBorders>
              <w:top w:val="single" w:color="000000" w:sz="4" w:space="0"/>
              <w:left w:val="single" w:color="000000" w:sz="4" w:space="0"/>
              <w:bottom w:val="single" w:color="000000" w:sz="4" w:space="0"/>
            </w:tcBorders>
            <w:tcW w:w="1126" w:type="dxa"/>
            <w:textDirection w:val="lrTb"/>
            <w:noWrap w:val="false"/>
          </w:tcPr>
          <w:p>
            <w:pPr>
              <w:pStyle w:val="940"/>
            </w:pPr>
            <w:r>
              <w:t xml:space="preserve">Средний</w:t>
            </w:r>
            <w:r/>
          </w:p>
        </w:tc>
        <w:tc>
          <w:tcPr>
            <w:tcBorders>
              <w:top w:val="single" w:color="000000" w:sz="4" w:space="0"/>
              <w:left w:val="single" w:color="000000" w:sz="4" w:space="0"/>
              <w:bottom w:val="single" w:color="000000" w:sz="4" w:space="0"/>
            </w:tcBorders>
            <w:tcW w:w="1266" w:type="dxa"/>
            <w:textDirection w:val="lrTb"/>
            <w:noWrap w:val="false"/>
          </w:tcPr>
          <w:p>
            <w:pPr>
              <w:pStyle w:val="940"/>
            </w:pPr>
            <w:r>
              <w:t xml:space="preserve">В группе не преодолевших минимальный балл</w:t>
            </w:r>
            <w:r/>
          </w:p>
        </w:tc>
        <w:tc>
          <w:tcPr>
            <w:tcBorders>
              <w:top w:val="single" w:color="000000" w:sz="4" w:space="0"/>
              <w:left w:val="single" w:color="000000" w:sz="4" w:space="0"/>
              <w:bottom w:val="single" w:color="000000" w:sz="4" w:space="0"/>
            </w:tcBorders>
            <w:tcW w:w="1267" w:type="dxa"/>
            <w:textDirection w:val="lrTb"/>
            <w:noWrap w:val="false"/>
          </w:tcPr>
          <w:p>
            <w:pPr>
              <w:pStyle w:val="940"/>
            </w:pPr>
            <w:r>
              <w:t xml:space="preserve">В группе от минимального  до 60</w:t>
            </w:r>
            <w:r/>
          </w:p>
        </w:tc>
        <w:tc>
          <w:tcPr>
            <w:tcBorders>
              <w:top w:val="single" w:color="000000" w:sz="4" w:space="0"/>
              <w:left w:val="single" w:color="000000" w:sz="4" w:space="0"/>
              <w:bottom w:val="single" w:color="000000" w:sz="4" w:space="0"/>
            </w:tcBorders>
            <w:tcW w:w="1409" w:type="dxa"/>
            <w:textDirection w:val="lrTb"/>
            <w:noWrap w:val="false"/>
          </w:tcPr>
          <w:p>
            <w:pPr>
              <w:pStyle w:val="940"/>
            </w:pPr>
            <w:r>
              <w:t xml:space="preserve">В группе 61-80 т.б.</w:t>
            </w:r>
            <w:r/>
          </w:p>
        </w:tc>
        <w:tc>
          <w:tcPr>
            <w:tcBorders>
              <w:top w:val="single" w:color="000000" w:sz="4" w:space="0"/>
              <w:left w:val="single" w:color="000000" w:sz="4" w:space="0"/>
              <w:bottom w:val="single" w:color="000000" w:sz="4" w:space="0"/>
              <w:right w:val="single" w:color="000000" w:sz="4" w:space="0"/>
            </w:tcBorders>
            <w:tcW w:w="836" w:type="dxa"/>
            <w:textDirection w:val="lrTb"/>
            <w:noWrap w:val="false"/>
          </w:tcPr>
          <w:p>
            <w:pPr>
              <w:pStyle w:val="940"/>
            </w:pPr>
            <w:r>
              <w:t xml:space="preserve">В группе 81-100 т.б.</w:t>
            </w:r>
            <w:r/>
          </w:p>
        </w:tc>
      </w:tr>
      <w:tr>
        <w:trPr>
          <w:trHeight w:val="193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jc w:val="center"/>
              <w:tabs>
                <w:tab w:val="clear" w:pos="708" w:leader="none"/>
                <w:tab w:val="left" w:pos="770" w:leader="none"/>
              </w:tabs>
            </w:pPr>
            <w:r>
              <w:t xml:space="preserve">Информационная обработка</w:t>
            </w:r>
            <w:r/>
          </w:p>
          <w:p>
            <w:pPr>
              <w:pStyle w:val="940"/>
              <w:jc w:val="center"/>
              <w:tabs>
                <w:tab w:val="clear" w:pos="708" w:leader="none"/>
                <w:tab w:val="left" w:pos="770" w:leader="none"/>
              </w:tabs>
            </w:pPr>
            <w:r>
              <w:t xml:space="preserve">письменных текстов различных</w:t>
            </w:r>
            <w:r/>
          </w:p>
          <w:p>
            <w:pPr>
              <w:pStyle w:val="940"/>
              <w:jc w:val="center"/>
              <w:tabs>
                <w:tab w:val="clear" w:pos="708" w:leader="none"/>
                <w:tab w:val="left" w:pos="770" w:leader="none"/>
              </w:tabs>
            </w:pPr>
            <w:r>
              <w:t xml:space="preserve">стилей и жанров</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82,84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67,79</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83,87</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94,10</w:t>
            </w:r>
            <w:r/>
          </w:p>
        </w:tc>
      </w:tr>
      <w:tr>
        <w:trPr>
          <w:trHeight w:val="3307"/>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jc w:val="center"/>
              <w:tabs>
                <w:tab w:val="clear" w:pos="708" w:leader="none"/>
                <w:tab w:val="left" w:pos="770" w:leader="none"/>
              </w:tabs>
            </w:pPr>
            <w:r>
              <w:t xml:space="preserve">Средства связи предложений</w:t>
            </w:r>
            <w:r/>
          </w:p>
          <w:p>
            <w:pPr>
              <w:pStyle w:val="940"/>
              <w:jc w:val="center"/>
              <w:tabs>
                <w:tab w:val="clear" w:pos="708" w:leader="none"/>
                <w:tab w:val="left" w:pos="770" w:leader="none"/>
              </w:tabs>
            </w:pPr>
            <w:r>
              <w:t xml:space="preserve">в тексте.</w:t>
            </w:r>
            <w:r/>
          </w:p>
          <w:p>
            <w:pPr>
              <w:pStyle w:val="940"/>
              <w:jc w:val="center"/>
              <w:tabs>
                <w:tab w:val="clear" w:pos="708" w:leader="none"/>
                <w:tab w:val="left" w:pos="770" w:leader="none"/>
              </w:tabs>
            </w:pPr>
            <w:r>
              <w:t xml:space="preserve">Отбор языковых средств в тексте в зависимости от темы, цели, адресата и ситуации</w:t>
            </w:r>
            <w:r/>
          </w:p>
          <w:p>
            <w:pPr>
              <w:pStyle w:val="940"/>
              <w:jc w:val="center"/>
              <w:tabs>
                <w:tab w:val="clear" w:pos="708" w:leader="none"/>
                <w:tab w:val="left" w:pos="770" w:leader="none"/>
              </w:tabs>
            </w:pPr>
            <w:r>
              <w:t xml:space="preserve">общения</w:t>
            </w:r>
            <w:r/>
          </w:p>
        </w:tc>
        <w:tc>
          <w:tcPr>
            <w:tcBorders>
              <w:top w:val="single" w:color="000000" w:sz="4" w:space="0"/>
              <w:left w:val="single" w:color="000000" w:sz="4" w:space="0"/>
              <w:bottom w:val="single" w:color="000000" w:sz="4" w:space="0"/>
            </w:tcBorders>
            <w:tcW w:w="1126" w:type="dxa"/>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84,36</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68,37</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86,13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95,10</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3</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Лексическое значение слова</w:t>
            </w:r>
            <w:r/>
          </w:p>
        </w:tc>
        <w:tc>
          <w:tcPr>
            <w:tcBorders>
              <w:top w:val="single" w:color="000000" w:sz="4" w:space="0"/>
              <w:left w:val="single" w:color="000000" w:sz="4" w:space="0"/>
              <w:bottom w:val="single" w:color="000000" w:sz="4" w:space="0"/>
            </w:tcBorders>
            <w:tcW w:w="1126" w:type="dxa"/>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86,94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73,12</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88,22</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96,60</w:t>
            </w:r>
            <w:r/>
          </w:p>
        </w:tc>
      </w:tr>
      <w:tr>
        <w:trPr>
          <w:trHeight w:val="110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4</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Орфоэпические нормы (постановка ударения)</w:t>
            </w:r>
            <w:r/>
          </w:p>
        </w:tc>
        <w:tc>
          <w:tcPr>
            <w:tcBorders>
              <w:top w:val="single" w:color="000000" w:sz="4" w:space="0"/>
              <w:left w:val="single" w:color="000000" w:sz="4" w:space="0"/>
              <w:bottom w:val="single" w:color="000000" w:sz="4" w:space="0"/>
            </w:tcBorders>
            <w:tcW w:w="1126" w:type="dxa"/>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71,24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46,81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71,71</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91,50</w:t>
            </w:r>
            <w:r/>
          </w:p>
        </w:tc>
      </w:tr>
      <w:tr>
        <w:trPr>
          <w:trHeight w:val="2749"/>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5</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Лексические нормы</w:t>
            </w:r>
            <w:r/>
          </w:p>
          <w:p>
            <w:pPr>
              <w:pStyle w:val="940"/>
              <w:tabs>
                <w:tab w:val="clear" w:pos="708" w:leader="none"/>
                <w:tab w:val="left" w:pos="770" w:leader="none"/>
              </w:tabs>
            </w:pPr>
            <w:r>
              <w:t xml:space="preserve">(употребление слова</w:t>
            </w:r>
            <w:r/>
          </w:p>
          <w:p>
            <w:pPr>
              <w:pStyle w:val="940"/>
              <w:tabs>
                <w:tab w:val="clear" w:pos="708" w:leader="none"/>
                <w:tab w:val="left" w:pos="770" w:leader="none"/>
              </w:tabs>
            </w:pPr>
            <w:r>
              <w:t xml:space="preserve">в соответствии с точным</w:t>
            </w:r>
            <w:r/>
          </w:p>
          <w:p>
            <w:pPr>
              <w:pStyle w:val="940"/>
              <w:tabs>
                <w:tab w:val="clear" w:pos="708" w:leader="none"/>
                <w:tab w:val="left" w:pos="770" w:leader="none"/>
              </w:tabs>
            </w:pPr>
            <w:r>
              <w:t xml:space="preserve">лексическим значением</w:t>
            </w:r>
            <w:r/>
          </w:p>
          <w:p>
            <w:pPr>
              <w:pStyle w:val="940"/>
              <w:tabs>
                <w:tab w:val="clear" w:pos="708" w:leader="none"/>
                <w:tab w:val="left" w:pos="770" w:leader="none"/>
              </w:tabs>
            </w:pPr>
            <w:r>
              <w:t xml:space="preserve">и требованием лексической нормы)</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67,35</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43,34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69,12</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85,00</w:t>
            </w:r>
            <w:r/>
          </w:p>
        </w:tc>
      </w:tr>
      <w:tr>
        <w:trPr>
          <w:trHeight w:val="557"/>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6</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Лексические нормы</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82,54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64,08</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pPr>
            <w:r>
              <w:rPr>
                <w:color w:val="000000"/>
                <w:sz w:val="22"/>
                <w:szCs w:val="22"/>
              </w:rPr>
              <w:t xml:space="preserve">85,03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94,10</w:t>
            </w:r>
            <w:r/>
          </w:p>
        </w:tc>
      </w:tr>
      <w:tr>
        <w:trPr>
          <w:trHeight w:val="1089"/>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7</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Морфологические нормы (образование форм слова)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74,66</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61,99</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72,76</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89,20</w:t>
            </w:r>
            <w:r/>
          </w:p>
        </w:tc>
      </w:tr>
      <w:tr>
        <w:trPr>
          <w:trHeight w:val="1660"/>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tabs>
                <w:tab w:val="clear" w:pos="708" w:leader="none"/>
                <w:tab w:val="left" w:pos="770" w:leader="none"/>
              </w:tabs>
            </w:pPr>
            <w:r>
              <w:t xml:space="preserve">8</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Синтаксические нормы. </w:t>
            </w:r>
            <w:r/>
          </w:p>
          <w:p>
            <w:pPr>
              <w:pStyle w:val="940"/>
              <w:tabs>
                <w:tab w:val="clear" w:pos="708" w:leader="none"/>
                <w:tab w:val="left" w:pos="770" w:leader="none"/>
              </w:tabs>
            </w:pPr>
            <w:r>
              <w:t xml:space="preserve">Нормы</w:t>
            </w:r>
            <w:r/>
          </w:p>
          <w:p>
            <w:pPr>
              <w:pStyle w:val="940"/>
              <w:tabs>
                <w:tab w:val="clear" w:pos="708" w:leader="none"/>
                <w:tab w:val="left" w:pos="770" w:leader="none"/>
              </w:tabs>
            </w:pPr>
            <w:r>
              <w:t xml:space="preserve">согласования.</w:t>
            </w:r>
            <w:r/>
          </w:p>
          <w:p>
            <w:pPr>
              <w:pStyle w:val="940"/>
              <w:tabs>
                <w:tab w:val="clear" w:pos="708" w:leader="none"/>
                <w:tab w:val="left" w:pos="770" w:leader="none"/>
              </w:tabs>
            </w:pPr>
            <w:r>
              <w:t xml:space="preserve">Нормы управления</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79,09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43,87</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85,53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97,94</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tabs>
                <w:tab w:val="clear" w:pos="708" w:leader="none"/>
                <w:tab w:val="left" w:pos="770" w:leader="none"/>
              </w:tabs>
            </w:pPr>
            <w:r>
              <w:t xml:space="preserve">9</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корней</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70,34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41,48</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72,98</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90,60</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tabs>
                <w:tab w:val="clear" w:pos="708" w:leader="none"/>
                <w:tab w:val="left" w:pos="770" w:leader="none"/>
              </w:tabs>
            </w:pPr>
            <w:r>
              <w:t xml:space="preserve">10</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приставок</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58,85</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27,81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57,79</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87,60</w:t>
            </w:r>
            <w:r/>
          </w:p>
        </w:tc>
      </w:tr>
      <w:tr>
        <w:trPr>
          <w:trHeight w:val="1660"/>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11</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суффиксов</w:t>
            </w:r>
            <w:r/>
          </w:p>
          <w:p>
            <w:pPr>
              <w:pStyle w:val="940"/>
              <w:tabs>
                <w:tab w:val="clear" w:pos="708" w:leader="none"/>
                <w:tab w:val="left" w:pos="770" w:leader="none"/>
              </w:tabs>
            </w:pPr>
            <w:r>
              <w:t xml:space="preserve">различных частей речи (кроме -Н-/-НН-)</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47,80</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21,21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46,84</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72,60</w:t>
            </w:r>
            <w:r/>
          </w:p>
        </w:tc>
      </w:tr>
      <w:tr>
        <w:trPr>
          <w:trHeight w:val="1647"/>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12</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личных окончаний</w:t>
            </w:r>
            <w:r/>
          </w:p>
          <w:p>
            <w:pPr>
              <w:pStyle w:val="940"/>
              <w:tabs>
                <w:tab w:val="clear" w:pos="708" w:leader="none"/>
                <w:tab w:val="left" w:pos="770" w:leader="none"/>
              </w:tabs>
            </w:pPr>
            <w:r>
              <w:t xml:space="preserve">глаголов и суффиксов причастий</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44,16</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14,72</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39,79</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77,60</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13</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НЕ и НИ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84,36</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57,59</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89,16</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98,80</w:t>
            </w:r>
            <w:r/>
          </w:p>
        </w:tc>
      </w:tr>
      <w:tr>
        <w:trPr>
          <w:trHeight w:val="110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14</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Слитное, дефисное, раздельное</w:t>
            </w:r>
            <w:r/>
          </w:p>
          <w:p>
            <w:pPr>
              <w:pStyle w:val="940"/>
              <w:tabs>
                <w:tab w:val="clear" w:pos="708" w:leader="none"/>
                <w:tab w:val="left" w:pos="770" w:leader="none"/>
              </w:tabs>
            </w:pPr>
            <w:r>
              <w:t xml:space="preserve">написание слов</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83,24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62,46</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85,36</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97,50</w:t>
            </w:r>
            <w:r/>
          </w:p>
        </w:tc>
      </w:tr>
      <w:tr>
        <w:trPr>
          <w:trHeight w:val="110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15</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Правописание –Н/НН- в различных частях речи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58,28</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39,51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55,64</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79,30</w:t>
            </w:r>
            <w:r/>
          </w:p>
        </w:tc>
      </w:tr>
      <w:tr>
        <w:trPr>
          <w:trHeight w:val="4410"/>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16</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Знаки препинания в простом</w:t>
            </w:r>
            <w:r/>
          </w:p>
          <w:p>
            <w:pPr>
              <w:pStyle w:val="940"/>
              <w:tabs>
                <w:tab w:val="clear" w:pos="708" w:leader="none"/>
                <w:tab w:val="left" w:pos="770" w:leader="none"/>
              </w:tabs>
            </w:pPr>
            <w:r>
              <w:t xml:space="preserve">осложнённом предложении</w:t>
            </w:r>
            <w:r/>
          </w:p>
          <w:p>
            <w:pPr>
              <w:pStyle w:val="940"/>
              <w:tabs>
                <w:tab w:val="clear" w:pos="708" w:leader="none"/>
                <w:tab w:val="left" w:pos="770" w:leader="none"/>
              </w:tabs>
            </w:pPr>
            <w:r>
              <w:t xml:space="preserve">(с однородными членами).</w:t>
            </w:r>
            <w:r/>
          </w:p>
          <w:p>
            <w:pPr>
              <w:pStyle w:val="940"/>
              <w:tabs>
                <w:tab w:val="clear" w:pos="708" w:leader="none"/>
                <w:tab w:val="left" w:pos="770" w:leader="none"/>
              </w:tabs>
            </w:pPr>
            <w:r>
              <w:t xml:space="preserve">Пунктуация в сложносочинённом</w:t>
            </w:r>
            <w:r/>
          </w:p>
          <w:p>
            <w:pPr>
              <w:pStyle w:val="940"/>
              <w:tabs>
                <w:tab w:val="clear" w:pos="708" w:leader="none"/>
                <w:tab w:val="left" w:pos="770" w:leader="none"/>
              </w:tabs>
            </w:pPr>
            <w:r>
              <w:t xml:space="preserve">предложении и простом</w:t>
            </w:r>
            <w:r/>
          </w:p>
          <w:p>
            <w:pPr>
              <w:pStyle w:val="940"/>
              <w:tabs>
                <w:tab w:val="clear" w:pos="708" w:leader="none"/>
                <w:tab w:val="left" w:pos="770" w:leader="none"/>
              </w:tabs>
            </w:pPr>
            <w:r>
              <w:t xml:space="preserve">предложении с однородными</w:t>
            </w:r>
            <w:r/>
          </w:p>
          <w:p>
            <w:pPr>
              <w:pStyle w:val="940"/>
              <w:tabs>
                <w:tab w:val="clear" w:pos="708" w:leader="none"/>
                <w:tab w:val="left" w:pos="770" w:leader="none"/>
              </w:tabs>
            </w:pPr>
            <w:r>
              <w:t xml:space="preserve">членами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81,33</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56,43</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84,09</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97,85</w:t>
            </w:r>
            <w:r/>
          </w:p>
        </w:tc>
      </w:tr>
      <w:tr>
        <w:trPr>
          <w:trHeight w:val="3865"/>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17</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Знаки препинания</w:t>
            </w:r>
            <w:r/>
          </w:p>
          <w:p>
            <w:pPr>
              <w:pStyle w:val="940"/>
              <w:tabs>
                <w:tab w:val="clear" w:pos="708" w:leader="none"/>
                <w:tab w:val="left" w:pos="770" w:leader="none"/>
              </w:tabs>
            </w:pPr>
            <w:r>
              <w:t xml:space="preserve">в предложениях</w:t>
            </w:r>
            <w:r/>
          </w:p>
          <w:p>
            <w:pPr>
              <w:pStyle w:val="940"/>
              <w:tabs>
                <w:tab w:val="clear" w:pos="708" w:leader="none"/>
                <w:tab w:val="left" w:pos="770" w:leader="none"/>
              </w:tabs>
            </w:pPr>
            <w:r>
              <w:t xml:space="preserve">с обособленными членами</w:t>
            </w:r>
            <w:r/>
          </w:p>
          <w:p>
            <w:pPr>
              <w:pStyle w:val="940"/>
              <w:tabs>
                <w:tab w:val="clear" w:pos="708" w:leader="none"/>
                <w:tab w:val="left" w:pos="770" w:leader="none"/>
              </w:tabs>
            </w:pPr>
            <w:r>
              <w:t xml:space="preserve">(определениями, обстоятельствами,</w:t>
            </w:r>
            <w:r/>
          </w:p>
          <w:p>
            <w:pPr>
              <w:pStyle w:val="940"/>
              <w:tabs>
                <w:tab w:val="clear" w:pos="708" w:leader="none"/>
                <w:tab w:val="left" w:pos="770" w:leader="none"/>
              </w:tabs>
            </w:pPr>
            <w:r>
              <w:t xml:space="preserve">приложениями, дополнениями)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pPr>
            <w: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70,67</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37,31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73,80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93,90</w:t>
            </w:r>
            <w:r/>
          </w:p>
        </w:tc>
      </w:tr>
      <w:tr>
        <w:trPr>
          <w:trHeight w:val="3307"/>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18</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Знаки препинания</w:t>
            </w:r>
            <w:r/>
          </w:p>
          <w:p>
            <w:pPr>
              <w:pStyle w:val="940"/>
              <w:tabs>
                <w:tab w:val="clear" w:pos="708" w:leader="none"/>
                <w:tab w:val="left" w:pos="770" w:leader="none"/>
              </w:tabs>
            </w:pPr>
            <w:r>
              <w:t xml:space="preserve">в предложениях со словами</w:t>
            </w:r>
            <w:r/>
          </w:p>
          <w:p>
            <w:pPr>
              <w:pStyle w:val="940"/>
              <w:tabs>
                <w:tab w:val="clear" w:pos="708" w:leader="none"/>
                <w:tab w:val="left" w:pos="770" w:leader="none"/>
              </w:tabs>
            </w:pPr>
            <w:r>
              <w:t xml:space="preserve">и конструкциями, грамматически</w:t>
            </w:r>
            <w:r/>
          </w:p>
          <w:p>
            <w:pPr>
              <w:pStyle w:val="940"/>
              <w:tabs>
                <w:tab w:val="clear" w:pos="708" w:leader="none"/>
                <w:tab w:val="left" w:pos="770" w:leader="none"/>
              </w:tabs>
            </w:pPr>
            <w:r>
              <w:t xml:space="preserve">не связанными с членами</w:t>
            </w:r>
            <w:r/>
          </w:p>
          <w:p>
            <w:pPr>
              <w:pStyle w:val="940"/>
              <w:tabs>
                <w:tab w:val="clear" w:pos="708" w:leader="none"/>
                <w:tab w:val="left" w:pos="770" w:leader="none"/>
              </w:tabs>
            </w:pPr>
            <w:r>
              <w:t xml:space="preserve">предложения</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71,54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37,43</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76,00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93,00</w:t>
            </w:r>
            <w:r/>
          </w:p>
        </w:tc>
      </w:tr>
      <w:tr>
        <w:trPr>
          <w:trHeight w:val="1647"/>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19</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Знаки препинания</w:t>
            </w:r>
            <w:r/>
          </w:p>
          <w:p>
            <w:pPr>
              <w:pStyle w:val="940"/>
              <w:tabs>
                <w:tab w:val="clear" w:pos="708" w:leader="none"/>
                <w:tab w:val="left" w:pos="770" w:leader="none"/>
              </w:tabs>
            </w:pPr>
            <w:r>
              <w:t xml:space="preserve">в сложноподчинённом</w:t>
            </w:r>
            <w:r/>
          </w:p>
          <w:p>
            <w:pPr>
              <w:pStyle w:val="940"/>
              <w:tabs>
                <w:tab w:val="clear" w:pos="708" w:leader="none"/>
                <w:tab w:val="left" w:pos="770" w:leader="none"/>
              </w:tabs>
            </w:pPr>
            <w:r>
              <w:t xml:space="preserve">предложении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82,56</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52,14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pPr>
            <w:r>
              <w:rPr>
                <w:color w:val="000000"/>
                <w:sz w:val="22"/>
                <w:szCs w:val="22"/>
              </w:rPr>
              <w:t xml:space="preserve">88,22</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98,60</w:t>
            </w:r>
            <w:r/>
          </w:p>
        </w:tc>
      </w:tr>
      <w:tr>
        <w:trPr>
          <w:trHeight w:val="193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20</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Знаки препинания в сложном</w:t>
            </w:r>
            <w:r/>
          </w:p>
          <w:p>
            <w:pPr>
              <w:pStyle w:val="940"/>
              <w:tabs>
                <w:tab w:val="clear" w:pos="708" w:leader="none"/>
                <w:tab w:val="left" w:pos="770" w:leader="none"/>
              </w:tabs>
            </w:pPr>
            <w:r>
              <w:t xml:space="preserve">предложении с разными видами</w:t>
            </w:r>
            <w:r/>
          </w:p>
          <w:p>
            <w:pPr>
              <w:pStyle w:val="940"/>
              <w:tabs>
                <w:tab w:val="clear" w:pos="708" w:leader="none"/>
                <w:tab w:val="left" w:pos="770" w:leader="none"/>
              </w:tabs>
            </w:pPr>
            <w:r>
              <w:t xml:space="preserve">связи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47,91</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15,30</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44,63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82,10</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21</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Пунктуационный анализ</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42,23</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15,76</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39,74</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69,70</w:t>
            </w:r>
            <w:r/>
          </w:p>
        </w:tc>
      </w:tr>
      <w:tr>
        <w:trPr>
          <w:trHeight w:val="220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22</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Текст как речевое произведение.</w:t>
            </w:r>
            <w:r/>
          </w:p>
          <w:p>
            <w:pPr>
              <w:pStyle w:val="940"/>
              <w:tabs>
                <w:tab w:val="clear" w:pos="708" w:leader="none"/>
                <w:tab w:val="left" w:pos="770" w:leader="none"/>
              </w:tabs>
            </w:pPr>
            <w:r>
              <w:t xml:space="preserve">Смысловая и композиционная</w:t>
            </w:r>
            <w:r/>
          </w:p>
          <w:p>
            <w:pPr>
              <w:pStyle w:val="940"/>
              <w:tabs>
                <w:tab w:val="clear" w:pos="708" w:leader="none"/>
                <w:tab w:val="left" w:pos="770" w:leader="none"/>
              </w:tabs>
            </w:pPr>
            <w:r>
              <w:t xml:space="preserve">целостность текста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58,23</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37,20</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57,90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77,10</w:t>
            </w:r>
            <w:r/>
          </w:p>
        </w:tc>
      </w:tr>
      <w:tr>
        <w:trPr>
          <w:trHeight w:val="110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23</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Функционально-смысловые типы</w:t>
            </w:r>
            <w:r/>
          </w:p>
          <w:p>
            <w:pPr>
              <w:pStyle w:val="940"/>
              <w:tabs>
                <w:tab w:val="clear" w:pos="708" w:leader="none"/>
                <w:tab w:val="left" w:pos="770" w:leader="none"/>
              </w:tabs>
            </w:pPr>
            <w:r>
              <w:t xml:space="preserve">речи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40,60</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22,36</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39,46</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58,50</w:t>
            </w:r>
            <w:r/>
          </w:p>
        </w:tc>
      </w:tr>
      <w:tr>
        <w:trPr>
          <w:trHeight w:val="3593"/>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24</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Лексическое значение слова.</w:t>
            </w:r>
            <w:r/>
          </w:p>
          <w:p>
            <w:pPr>
              <w:pStyle w:val="940"/>
              <w:tabs>
                <w:tab w:val="clear" w:pos="708" w:leader="none"/>
                <w:tab w:val="left" w:pos="770" w:leader="none"/>
              </w:tabs>
            </w:pPr>
            <w:r>
              <w:t xml:space="preserve">Синонимы. Антонимы. Омонимы.</w:t>
            </w:r>
            <w:r/>
          </w:p>
          <w:p>
            <w:pPr>
              <w:pStyle w:val="940"/>
              <w:tabs>
                <w:tab w:val="clear" w:pos="708" w:leader="none"/>
                <w:tab w:val="left" w:pos="770" w:leader="none"/>
              </w:tabs>
            </w:pPr>
            <w:r>
              <w:t xml:space="preserve">Фразеологические обороты.</w:t>
            </w:r>
            <w:r/>
          </w:p>
          <w:p>
            <w:pPr>
              <w:pStyle w:val="940"/>
              <w:tabs>
                <w:tab w:val="clear" w:pos="708" w:leader="none"/>
                <w:tab w:val="left" w:pos="770" w:leader="none"/>
              </w:tabs>
            </w:pPr>
            <w:r>
              <w:t xml:space="preserve">Группы слов по происхождению и употреблению</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Б</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72,71</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50,00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45,19</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76,17</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90,20</w:t>
            </w:r>
            <w:r/>
          </w:p>
        </w:tc>
      </w:tr>
      <w:tr>
        <w:trPr>
          <w:trHeight w:val="54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25</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Средства связи предложений в тексте</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51,25</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28,97</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50,25</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72,40</w:t>
            </w:r>
            <w:r/>
          </w:p>
        </w:tc>
      </w:tr>
      <w:tr>
        <w:trPr>
          <w:trHeight w:val="1374"/>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26</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Речь. Языковые средства</w:t>
            </w:r>
            <w:r/>
          </w:p>
          <w:p>
            <w:pPr>
              <w:pStyle w:val="940"/>
              <w:tabs>
                <w:tab w:val="clear" w:pos="708" w:leader="none"/>
                <w:tab w:val="left" w:pos="770" w:leader="none"/>
              </w:tabs>
            </w:pPr>
            <w:r>
              <w:t xml:space="preserve">Выразительности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75,17</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46,99</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78,30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93,95</w:t>
            </w:r>
            <w:r/>
          </w:p>
        </w:tc>
      </w:tr>
      <w:tr>
        <w:trPr>
          <w:trHeight w:val="271"/>
        </w:trPr>
        <w:tc>
          <w:tcPr>
            <w:tcBorders>
              <w:top w:val="single" w:color="000000" w:sz="4" w:space="0"/>
              <w:left w:val="single" w:color="000000" w:sz="4" w:space="0"/>
              <w:bottom w:val="single" w:color="000000" w:sz="4" w:space="0"/>
            </w:tcBorders>
            <w:tcW w:w="952" w:type="dxa"/>
            <w:textDirection w:val="lrTb"/>
            <w:noWrap w:val="false"/>
          </w:tcPr>
          <w:p>
            <w:pPr>
              <w:pStyle w:val="940"/>
              <w:jc w:val="both"/>
              <w:rPr>
                <w:b/>
                <w:color w:val="000000"/>
                <w:sz w:val="22"/>
                <w:szCs w:val="22"/>
                <w:lang w:eastAsia="en-US"/>
              </w:rPr>
            </w:pPr>
            <w:r>
              <w:rPr>
                <w:b/>
                <w:color w:val="000000"/>
                <w:sz w:val="22"/>
                <w:szCs w:val="22"/>
                <w:lang w:eastAsia="en-US"/>
              </w:rPr>
            </w:r>
            <w:r/>
          </w:p>
        </w:tc>
        <w:tc>
          <w:tcPr>
            <w:gridSpan w:val="7"/>
            <w:tcBorders>
              <w:top w:val="single" w:color="000000" w:sz="4" w:space="0"/>
              <w:left w:val="single" w:color="000000" w:sz="4" w:space="0"/>
              <w:bottom w:val="single" w:color="000000" w:sz="4" w:space="0"/>
              <w:right w:val="single" w:color="000000" w:sz="4" w:space="0"/>
            </w:tcBorders>
            <w:tcW w:w="8861" w:type="dxa"/>
            <w:textDirection w:val="lrTb"/>
            <w:noWrap w:val="false"/>
          </w:tcPr>
          <w:p>
            <w:pPr>
              <w:pStyle w:val="940"/>
              <w:jc w:val="center"/>
              <w:rPr>
                <w:b/>
              </w:rPr>
            </w:pPr>
            <w:r>
              <w:rPr>
                <w:b/>
              </w:rPr>
              <w:t xml:space="preserve">Часть 2</w:t>
            </w:r>
            <w:r/>
          </w:p>
        </w:tc>
      </w:tr>
      <w:tr>
        <w:trPr>
          <w:trHeight w:val="276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27</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Сочинение. Информационная обработка текста. Употребление языковых средств в зависимости от речевой ситуации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b/>
                <w:color w:val="000000"/>
              </w:rPr>
            </w:pPr>
            <w:r>
              <w:rPr>
                <w:b/>
                <w:color w:val="000000"/>
              </w:rPr>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b/>
                <w:color w:val="000000"/>
              </w:rPr>
            </w:pPr>
            <w:r>
              <w:rPr>
                <w:b/>
                <w:color w:val="000000"/>
              </w:rPr>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rPr>
            </w:pPr>
            <w:r>
              <w:rPr>
                <w:color w:val="000000"/>
              </w:rPr>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rPr>
            </w:pPr>
            <w:r>
              <w:rPr>
                <w:color w:val="000000"/>
              </w:rPr>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rPr>
            </w:pPr>
            <w:r>
              <w:rPr>
                <w:color w:val="000000"/>
              </w:rPr>
            </w:r>
            <w:r/>
          </w:p>
        </w:tc>
      </w:tr>
      <w:tr>
        <w:trPr>
          <w:trHeight w:val="1102"/>
        </w:trPr>
        <w:tc>
          <w:tcPr>
            <w:tcBorders>
              <w:top w:val="single" w:color="000000" w:sz="4" w:space="0"/>
              <w:left w:val="single" w:color="000000" w:sz="4" w:space="0"/>
              <w:bottom w:val="single" w:color="000000" w:sz="4" w:space="0"/>
            </w:tcBorders>
            <w:tcW w:w="952" w:type="dxa"/>
            <w:vAlign w:val="center"/>
            <w:textDirection w:val="lrTb"/>
            <w:noWrap w:val="false"/>
          </w:tcPr>
          <w:p>
            <w:pPr>
              <w:pStyle w:val="940"/>
              <w:jc w:val="both"/>
              <w:tabs>
                <w:tab w:val="clear" w:pos="708" w:leader="none"/>
                <w:tab w:val="left" w:pos="770" w:leader="none"/>
              </w:tabs>
            </w:pPr>
            <w:r>
              <w:t xml:space="preserve">К1</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Формулировка проблем исходного текста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98,64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95,02</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99,72</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100,00</w:t>
            </w:r>
            <w:r/>
          </w:p>
        </w:tc>
      </w:tr>
      <w:tr>
        <w:trPr>
          <w:trHeight w:val="1374"/>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К2</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Комментарий к сформулированной проблеме исходного текста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74,59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53,24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75,98</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90,65</w:t>
            </w:r>
            <w:r/>
          </w:p>
        </w:tc>
      </w:tr>
      <w:tr>
        <w:trPr>
          <w:trHeight w:val="1102"/>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К3</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Отражение позиции автора исходного текста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95,19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85,40</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97,36</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99,90</w:t>
            </w:r>
            <w:r/>
          </w:p>
        </w:tc>
      </w:tr>
      <w:tr>
        <w:trPr>
          <w:trHeight w:val="1374"/>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К4</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Отношение к позиции автора по проблеме исходного текста</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92,02</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78,68</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94,50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99,20</w:t>
            </w:r>
            <w:r/>
          </w:p>
        </w:tc>
      </w:tr>
      <w:tr>
        <w:trPr>
          <w:trHeight w:val="1647"/>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К5</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Смысловая цельность, речевая связность и последовательность изложения</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78,90</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60,60</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79,53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93,70</w:t>
            </w:r>
            <w:r/>
          </w:p>
        </w:tc>
      </w:tr>
      <w:tr>
        <w:trPr>
          <w:trHeight w:val="829"/>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К6</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Точность и выразительность речи</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65,75</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51,04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pPr>
            <w:r>
              <w:rPr>
                <w:color w:val="000000"/>
                <w:sz w:val="22"/>
                <w:szCs w:val="22"/>
              </w:rPr>
              <w:t xml:space="preserve">63,21</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83,20</w:t>
            </w:r>
            <w:r/>
          </w:p>
        </w:tc>
      </w:tr>
      <w:tr>
        <w:trPr>
          <w:trHeight w:val="816"/>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К7</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орфографических норм</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72,09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46,66</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73,80</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91,07</w:t>
            </w:r>
            <w:r/>
          </w:p>
        </w:tc>
      </w:tr>
      <w:tr>
        <w:trPr>
          <w:trHeight w:val="829"/>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К8</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пунктуационных норм</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49,09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15,84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47,77</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80,30</w:t>
            </w:r>
            <w:r/>
          </w:p>
        </w:tc>
      </w:tr>
      <w:tr>
        <w:trPr>
          <w:trHeight w:val="544"/>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К9</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языковых норм</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65,73</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42,87</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65,13</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86,65</w:t>
            </w:r>
            <w:r/>
          </w:p>
        </w:tc>
      </w:tr>
      <w:tr>
        <w:trPr>
          <w:trHeight w:val="271"/>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К100</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речевых норм</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64,19</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44,61</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62,74</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83,85</w:t>
            </w:r>
            <w:r/>
          </w:p>
        </w:tc>
      </w:tr>
      <w:tr>
        <w:trPr>
          <w:trHeight w:val="544"/>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К11</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этических норм</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98,94</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95,94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99,89</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100,00</w:t>
            </w:r>
            <w:r/>
          </w:p>
        </w:tc>
      </w:tr>
      <w:tr>
        <w:trPr>
          <w:trHeight w:val="1374"/>
        </w:trPr>
        <w:tc>
          <w:tcPr>
            <w:tcBorders>
              <w:top w:val="single" w:color="000000" w:sz="4" w:space="0"/>
              <w:left w:val="single" w:color="000000" w:sz="4" w:space="0"/>
              <w:bottom w:val="single" w:color="000000" w:sz="4" w:space="0"/>
            </w:tcBorders>
            <w:tcW w:w="952" w:type="dxa"/>
            <w:textDirection w:val="lrTb"/>
            <w:noWrap w:val="false"/>
          </w:tcPr>
          <w:p>
            <w:pPr>
              <w:pStyle w:val="940"/>
              <w:jc w:val="both"/>
              <w:tabs>
                <w:tab w:val="clear" w:pos="708" w:leader="none"/>
                <w:tab w:val="left" w:pos="770" w:leader="none"/>
              </w:tabs>
            </w:pPr>
            <w:r>
              <w:t xml:space="preserve">К12</w:t>
            </w:r>
            <w:r/>
          </w:p>
        </w:tc>
        <w:tc>
          <w:tcPr>
            <w:tcBorders>
              <w:top w:val="single" w:color="000000" w:sz="4" w:space="0"/>
              <w:left w:val="single" w:color="000000" w:sz="4" w:space="0"/>
              <w:bottom w:val="single" w:color="000000" w:sz="4" w:space="0"/>
            </w:tcBorders>
            <w:tcW w:w="1831" w:type="dxa"/>
            <w:vAlign w:val="center"/>
            <w:textDirection w:val="lrTb"/>
            <w:noWrap w:val="false"/>
          </w:tcPr>
          <w:p>
            <w:pPr>
              <w:pStyle w:val="940"/>
              <w:tabs>
                <w:tab w:val="clear" w:pos="708" w:leader="none"/>
                <w:tab w:val="left" w:pos="770" w:leader="none"/>
              </w:tabs>
            </w:pPr>
            <w:r>
              <w:t xml:space="preserve">Соблюдение фактологической точности в фоновом материале</w:t>
            </w:r>
            <w:r/>
          </w:p>
        </w:tc>
        <w:tc>
          <w:tcPr>
            <w:tcBorders>
              <w:top w:val="single" w:color="000000" w:sz="4" w:space="0"/>
              <w:left w:val="single" w:color="000000" w:sz="4" w:space="0"/>
              <w:bottom w:val="single" w:color="000000" w:sz="4" w:space="0"/>
            </w:tcBorders>
            <w:tcW w:w="112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4" w:space="0"/>
              <w:left w:val="single" w:color="000000" w:sz="4" w:space="0"/>
              <w:bottom w:val="single" w:color="000000" w:sz="4" w:space="0"/>
            </w:tcBorders>
            <w:tcW w:w="1126" w:type="dxa"/>
            <w:vAlign w:val="bottom"/>
            <w:textDirection w:val="lrTb"/>
            <w:noWrap w:val="false"/>
          </w:tcPr>
          <w:p>
            <w:pPr>
              <w:pStyle w:val="940"/>
              <w:jc w:val="center"/>
              <w:rPr>
                <w:color w:val="000000"/>
                <w:sz w:val="22"/>
                <w:szCs w:val="22"/>
              </w:rPr>
            </w:pPr>
            <w:r>
              <w:rPr>
                <w:color w:val="000000"/>
                <w:sz w:val="22"/>
                <w:szCs w:val="22"/>
              </w:rPr>
              <w:t xml:space="preserve">96,88</w:t>
            </w:r>
            <w:r/>
          </w:p>
        </w:tc>
        <w:tc>
          <w:tcPr>
            <w:tcBorders>
              <w:top w:val="single" w:color="000000" w:sz="4" w:space="0"/>
              <w:left w:val="single" w:color="000000" w:sz="4" w:space="0"/>
              <w:bottom w:val="single" w:color="000000" w:sz="4" w:space="0"/>
            </w:tcBorders>
            <w:tcW w:w="1266"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4" w:space="0"/>
              <w:left w:val="single" w:color="000000" w:sz="4" w:space="0"/>
              <w:bottom w:val="single" w:color="000000" w:sz="4" w:space="0"/>
            </w:tcBorders>
            <w:tcW w:w="1267" w:type="dxa"/>
            <w:vAlign w:val="bottom"/>
            <w:textDirection w:val="lrTb"/>
            <w:noWrap w:val="false"/>
          </w:tcPr>
          <w:p>
            <w:pPr>
              <w:pStyle w:val="940"/>
              <w:jc w:val="center"/>
              <w:rPr>
                <w:color w:val="000000"/>
                <w:sz w:val="22"/>
                <w:szCs w:val="22"/>
              </w:rPr>
            </w:pPr>
            <w:r>
              <w:rPr>
                <w:color w:val="000000"/>
                <w:sz w:val="22"/>
                <w:szCs w:val="22"/>
              </w:rPr>
              <w:t xml:space="preserve">91,54</w:t>
            </w:r>
            <w:r/>
          </w:p>
        </w:tc>
        <w:tc>
          <w:tcPr>
            <w:tcBorders>
              <w:top w:val="single" w:color="000000" w:sz="4" w:space="0"/>
              <w:left w:val="single" w:color="000000" w:sz="4" w:space="0"/>
              <w:bottom w:val="single" w:color="000000" w:sz="4" w:space="0"/>
            </w:tcBorders>
            <w:tcW w:w="1409" w:type="dxa"/>
            <w:vAlign w:val="bottom"/>
            <w:textDirection w:val="lrTb"/>
            <w:noWrap w:val="false"/>
          </w:tcPr>
          <w:p>
            <w:pPr>
              <w:pStyle w:val="940"/>
              <w:jc w:val="center"/>
              <w:rPr>
                <w:color w:val="000000"/>
                <w:sz w:val="22"/>
                <w:szCs w:val="22"/>
              </w:rPr>
            </w:pPr>
            <w:r>
              <w:rPr>
                <w:color w:val="000000"/>
                <w:sz w:val="22"/>
                <w:szCs w:val="22"/>
              </w:rPr>
              <w:t xml:space="preserve">98,07</w:t>
            </w:r>
            <w:r/>
          </w:p>
        </w:tc>
        <w:tc>
          <w:tcPr>
            <w:tcBorders>
              <w:top w:val="single" w:color="000000" w:sz="4" w:space="0"/>
              <w:left w:val="single" w:color="000000" w:sz="4" w:space="0"/>
              <w:bottom w:val="single" w:color="000000" w:sz="4" w:space="0"/>
              <w:right w:val="single" w:color="000000" w:sz="4" w:space="0"/>
            </w:tcBorders>
            <w:tcW w:w="836" w:type="dxa"/>
            <w:vAlign w:val="bottom"/>
            <w:textDirection w:val="lrTb"/>
            <w:noWrap w:val="false"/>
          </w:tcPr>
          <w:p>
            <w:pPr>
              <w:pStyle w:val="940"/>
              <w:jc w:val="center"/>
              <w:rPr>
                <w:color w:val="000000"/>
                <w:sz w:val="22"/>
                <w:szCs w:val="22"/>
              </w:rPr>
            </w:pPr>
            <w:r>
              <w:rPr>
                <w:color w:val="000000"/>
                <w:sz w:val="22"/>
                <w:szCs w:val="22"/>
              </w:rPr>
              <w:t xml:space="preserve">99,50</w:t>
            </w:r>
            <w:r/>
          </w:p>
        </w:tc>
      </w:tr>
      <w:tr>
        <w:trPr>
          <w:trHeight w:val="1392"/>
        </w:trPr>
        <w:tc>
          <w:tcPr>
            <w:gridSpan w:val="8"/>
            <w:tcBorders>
              <w:top w:val="single" w:color="000000" w:sz="4" w:space="0"/>
              <w:left w:val="single" w:color="000000" w:sz="4" w:space="0"/>
              <w:bottom w:val="single" w:color="000000" w:sz="4" w:space="0"/>
              <w:right w:val="single" w:color="000000" w:sz="4" w:space="0"/>
            </w:tcBorders>
            <w:tcW w:w="9813" w:type="dxa"/>
            <w:textDirection w:val="lrTb"/>
            <w:noWrap w:val="false"/>
          </w:tcPr>
          <w:p>
            <w:pPr>
              <w:pStyle w:val="940"/>
              <w:tabs>
                <w:tab w:val="clear" w:pos="708" w:leader="none"/>
                <w:tab w:val="left" w:pos="770" w:leader="none"/>
              </w:tabs>
            </w:pPr>
            <w:r>
              <w:t xml:space="preserve">Всего заданий – 27; из них</w:t>
            </w:r>
            <w:r/>
          </w:p>
          <w:p>
            <w:pPr>
              <w:pStyle w:val="940"/>
              <w:tabs>
                <w:tab w:val="clear" w:pos="708" w:leader="none"/>
                <w:tab w:val="left" w:pos="770" w:leader="none"/>
              </w:tabs>
            </w:pPr>
            <w:r>
              <w:t xml:space="preserve">по типу заданий: с кратким ответом – 26; с развёрнутым ответом – 1;</w:t>
            </w:r>
            <w:r/>
          </w:p>
          <w:p>
            <w:pPr>
              <w:pStyle w:val="940"/>
              <w:tabs>
                <w:tab w:val="clear" w:pos="708" w:leader="none"/>
                <w:tab w:val="left" w:pos="770" w:leader="none"/>
              </w:tabs>
            </w:pPr>
            <w:r>
              <w:t xml:space="preserve">по уровню сложности: Б – 24; П – 3.</w:t>
            </w:r>
            <w:r/>
          </w:p>
          <w:p>
            <w:pPr>
              <w:pStyle w:val="940"/>
              <w:tabs>
                <w:tab w:val="clear" w:pos="708" w:leader="none"/>
                <w:tab w:val="left" w:pos="770" w:leader="none"/>
              </w:tabs>
            </w:pPr>
            <w:r>
              <w:t xml:space="preserve">Максимальный первичный балл за работу – 58.</w:t>
            </w:r>
            <w:r/>
          </w:p>
          <w:p>
            <w:pPr>
              <w:pStyle w:val="940"/>
              <w:tabs>
                <w:tab w:val="clear" w:pos="708" w:leader="none"/>
                <w:tab w:val="left" w:pos="770" w:leader="none"/>
              </w:tabs>
            </w:pPr>
            <w:r>
              <w:t xml:space="preserve">Общее время выполнения работы – 210 мин</w:t>
            </w:r>
            <w:r/>
          </w:p>
        </w:tc>
      </w:tr>
    </w:tbl>
    <w:p>
      <w:pPr>
        <w:pStyle w:val="940"/>
        <w:jc w:val="both"/>
        <w:tabs>
          <w:tab w:val="clear" w:pos="708" w:leader="none"/>
          <w:tab w:val="left" w:pos="770" w:leader="none"/>
        </w:tabs>
      </w:pPr>
      <w:r>
        <w:tab/>
      </w:r>
      <w:r/>
    </w:p>
    <w:p>
      <w:pPr>
        <w:pStyle w:val="940"/>
        <w:jc w:val="both"/>
        <w:tabs>
          <w:tab w:val="clear" w:pos="708" w:leader="none"/>
          <w:tab w:val="left" w:pos="770" w:leader="none"/>
        </w:tabs>
      </w:pPr>
      <w:r>
        <w:tab/>
        <w:t xml:space="preserve">Анализ итогов ЕГЭ 2021 г. по русскому языку показывает стабильность</w:t>
      </w:r>
      <w:r>
        <w:t xml:space="preserve"> результата выполнения заданий, проверяющих уровень сформированности основных предметных компетентностей. Содержательный анализ результатов экзамена дает возможность составить общее представление об уровне достижения ключевых целей обучения русскому языку.</w:t>
      </w:r>
      <w:r/>
    </w:p>
    <w:p>
      <w:pPr>
        <w:pStyle w:val="940"/>
        <w:jc w:val="both"/>
        <w:tabs>
          <w:tab w:val="clear" w:pos="708" w:leader="none"/>
          <w:tab w:val="left" w:pos="770" w:leader="none"/>
        </w:tabs>
      </w:pPr>
      <w:r>
        <w:tab/>
        <w:t xml:space="preserve">Статистика выполнения работы в целом и отдельных заданий позволяет выявить основные проблемы в подготовке экзаменуемых по русскому языку. Как и в предыдущие годы, остаются недостаточно усвоенными р</w:t>
      </w:r>
      <w:r>
        <w:t xml:space="preserve">азделы курса, связанные с формированием коммуникативной компетенции. Недостаточно развитые навыки аналитической работы со словом и текстом, отсутствие необходимой практики анализа языковых явлений сказываются и на качестве написания сочинения-рассуждения. </w:t>
      </w:r>
      <w:r/>
    </w:p>
    <w:p>
      <w:pPr>
        <w:pStyle w:val="940"/>
        <w:jc w:val="both"/>
        <w:tabs>
          <w:tab w:val="clear" w:pos="708" w:leader="none"/>
          <w:tab w:val="left" w:pos="770" w:leader="none"/>
        </w:tabs>
      </w:pPr>
      <w:r>
        <w:tab/>
        <w:t xml:space="preserve">Анализ результатов выполнения экзаменационной работы по русскому языку показал, что наибольшие трудности выпускники испытывают, применяя пунктуационные и орфографические нормы в письменной речи.</w:t>
      </w:r>
      <w:r/>
    </w:p>
    <w:p>
      <w:pPr>
        <w:pStyle w:val="940"/>
        <w:jc w:val="both"/>
        <w:tabs>
          <w:tab w:val="clear" w:pos="708" w:leader="none"/>
          <w:tab w:val="left" w:pos="770" w:leader="none"/>
        </w:tabs>
      </w:pPr>
      <w:r/>
      <w:r/>
    </w:p>
    <w:p>
      <w:pPr>
        <w:pStyle w:val="940"/>
        <w:ind w:firstLine="708"/>
        <w:keepLines/>
        <w:keepNext/>
        <w:spacing w:before="200" w:after="0"/>
      </w:pPr>
      <w:r>
        <w:rPr>
          <w:rFonts w:eastAsia="SimSun;宋体"/>
          <w:b/>
          <w:sz w:val="28"/>
        </w:rPr>
        <w:t xml:space="preserve">3.2.1.</w:t>
      </w:r>
      <w:r>
        <w:rPr>
          <w:rFonts w:eastAsia="SimSun;宋体"/>
          <w:sz w:val="28"/>
        </w:rPr>
        <w:t xml:space="preserve"> </w:t>
      </w:r>
      <w:r>
        <w:rPr>
          <w:rFonts w:eastAsia="SimSun;宋体"/>
          <w:sz w:val="28"/>
          <w:lang w:val="en-US"/>
        </w:rPr>
        <w:t xml:space="preserve">Статистический анализ выполнения заданий КИМ</w:t>
      </w:r>
      <w:r/>
    </w:p>
    <w:p>
      <w:pPr>
        <w:pStyle w:val="940"/>
        <w:jc w:val="both"/>
        <w:tabs>
          <w:tab w:val="clear" w:pos="708" w:leader="none"/>
          <w:tab w:val="left" w:pos="770" w:leader="none"/>
        </w:tabs>
      </w:pPr>
      <w:r/>
      <w:r/>
    </w:p>
    <w:p>
      <w:pPr>
        <w:pStyle w:val="940"/>
        <w:jc w:val="both"/>
        <w:tabs>
          <w:tab w:val="clear" w:pos="708" w:leader="none"/>
          <w:tab w:val="left" w:pos="770" w:leader="none"/>
        </w:tabs>
      </w:pPr>
      <w:r>
        <w:tab/>
        <w:t xml:space="preserve">Для аттестации выпускников важны, прежде всего, результаты выполнения заданий, проверяющих владени</w:t>
      </w:r>
      <w:r>
        <w:t xml:space="preserve">е основными умениями на базовом уровне сложности. В целом все задания базового уровня сложности успешно выполнены экзаменуемыми. Ниже других заданий базового уровня находится процент выполнения заданий, проверяющих освоение следующих элементов содержания: </w:t>
      </w:r>
      <w:r/>
    </w:p>
    <w:p>
      <w:pPr>
        <w:pStyle w:val="940"/>
        <w:jc w:val="both"/>
        <w:tabs>
          <w:tab w:val="clear" w:pos="708" w:leader="none"/>
          <w:tab w:val="left" w:pos="770" w:leader="none"/>
        </w:tabs>
      </w:pPr>
      <w:r>
        <w:tab/>
        <w:t xml:space="preserve">Задания высокого </w:t>
      </w:r>
      <w:r>
        <w:rPr>
          <w:b/>
        </w:rPr>
        <w:t xml:space="preserve">(П)</w:t>
      </w:r>
      <w:r>
        <w:t xml:space="preserve"> уровня сложности в полной мере оправдывают себя. Результат их выполнения средний, а по ряду критериев выше среднего.</w:t>
      </w:r>
      <w:r/>
    </w:p>
    <w:p>
      <w:pPr>
        <w:pStyle w:val="940"/>
        <w:ind w:firstLine="708"/>
        <w:jc w:val="both"/>
      </w:pPr>
      <w:r>
        <w:t xml:space="preserve">Для того чтобы разделить экзаменуемых по качеству их подготовки, по результатам ЕГЭ 2021 г. определим </w:t>
      </w:r>
      <w:r>
        <w:rPr>
          <w:b/>
        </w:rPr>
        <w:t xml:space="preserve">четыре уровня </w:t>
      </w:r>
      <w:r>
        <w:t xml:space="preserve">выполнения экзаменационной работы: не справившиеся, минимальный, хороший и отличный. Эти уровни на 100- балльной шкале отмечают границы достижений экзаменуемых, имеющих разное качество подготовки по предмету</w:t>
      </w:r>
      <w:r>
        <w:rPr>
          <w:i/>
          <w:iCs/>
        </w:rPr>
        <w:t xml:space="preserve">.</w:t>
      </w:r>
      <w:r/>
    </w:p>
    <w:p>
      <w:pPr>
        <w:pStyle w:val="940"/>
        <w:jc w:val="both"/>
        <w:tabs>
          <w:tab w:val="clear" w:pos="708" w:leader="none"/>
          <w:tab w:val="left" w:pos="770" w:leader="none"/>
        </w:tabs>
      </w:pPr>
      <w:r>
        <w:tab/>
        <w:t xml:space="preserve">В соответствии с выделенными уровнями определены три группы выпускников: </w:t>
      </w:r>
      <w:r/>
    </w:p>
    <w:p>
      <w:pPr>
        <w:pStyle w:val="940"/>
        <w:jc w:val="both"/>
        <w:tabs>
          <w:tab w:val="clear" w:pos="708" w:leader="none"/>
          <w:tab w:val="left" w:pos="770" w:leader="none"/>
        </w:tabs>
      </w:pPr>
      <w:r>
        <w:rPr>
          <w:b/>
        </w:rPr>
        <w:tab/>
        <w:t xml:space="preserve">группа 1</w:t>
      </w:r>
      <w:r>
        <w:t xml:space="preserve"> – экзаменуемые, не сумевшие достичь минимальной границы ЕГЭ 2020 г., (минимальный уровень) – </w:t>
      </w:r>
      <w:r>
        <w:rPr>
          <w:b/>
        </w:rPr>
        <w:t xml:space="preserve">2 человека</w:t>
      </w:r>
      <w:r>
        <w:t xml:space="preserve"> по Астраханской области </w:t>
      </w:r>
      <w:r>
        <w:rPr>
          <w:b/>
        </w:rPr>
        <w:t xml:space="preserve">(0,05%)</w:t>
      </w:r>
      <w:r/>
    </w:p>
    <w:p>
      <w:pPr>
        <w:pStyle w:val="940"/>
        <w:jc w:val="both"/>
        <w:tabs>
          <w:tab w:val="clear" w:pos="708" w:leader="none"/>
          <w:tab w:val="left" w:pos="770" w:leader="none"/>
        </w:tabs>
      </w:pPr>
      <w:r>
        <w:rPr>
          <w:b/>
        </w:rPr>
        <w:tab/>
        <w:t xml:space="preserve">группа 2 – </w:t>
      </w:r>
      <w:r>
        <w:t xml:space="preserve">экзаменуемые средней подготовки</w:t>
      </w:r>
      <w:r>
        <w:rPr>
          <w:b/>
        </w:rPr>
        <w:t xml:space="preserve"> (24-60 т.б.) – 863 человека (23,43%)</w:t>
      </w:r>
      <w:r/>
    </w:p>
    <w:p>
      <w:pPr>
        <w:pStyle w:val="940"/>
        <w:jc w:val="both"/>
        <w:tabs>
          <w:tab w:val="clear" w:pos="708" w:leader="none"/>
          <w:tab w:val="left" w:pos="770" w:leader="none"/>
        </w:tabs>
      </w:pPr>
      <w:r>
        <w:rPr>
          <w:b/>
        </w:rPr>
        <w:tab/>
        <w:t xml:space="preserve">группа 3 </w:t>
      </w:r>
      <w:r>
        <w:t xml:space="preserve">– экзаменуемые хорошей подготовкой </w:t>
      </w:r>
      <w:r>
        <w:rPr>
          <w:b/>
        </w:rPr>
        <w:t xml:space="preserve">(61–80 т.б.)</w:t>
      </w:r>
      <w:r>
        <w:t xml:space="preserve"> – </w:t>
      </w:r>
      <w:r>
        <w:rPr>
          <w:b/>
        </w:rPr>
        <w:t xml:space="preserve">1817 человек</w:t>
      </w:r>
      <w:r>
        <w:t xml:space="preserve"> по Астраханской области </w:t>
      </w:r>
      <w:r>
        <w:rPr>
          <w:b/>
        </w:rPr>
        <w:t xml:space="preserve">(49,34%)</w:t>
      </w:r>
      <w:r/>
    </w:p>
    <w:p>
      <w:pPr>
        <w:pStyle w:val="940"/>
        <w:jc w:val="both"/>
        <w:tabs>
          <w:tab w:val="clear" w:pos="708" w:leader="none"/>
          <w:tab w:val="left" w:pos="770" w:leader="none"/>
        </w:tabs>
      </w:pPr>
      <w:r>
        <w:rPr>
          <w:b/>
        </w:rPr>
        <w:tab/>
        <w:t xml:space="preserve">группа 4</w:t>
      </w:r>
      <w:r>
        <w:t xml:space="preserve"> – наиболее подготовленные экзаменуемые </w:t>
      </w:r>
      <w:r>
        <w:rPr>
          <w:b/>
        </w:rPr>
        <w:t xml:space="preserve">(81–100 т.б.)</w:t>
      </w:r>
      <w:r>
        <w:t xml:space="preserve"> - </w:t>
      </w:r>
      <w:r>
        <w:rPr>
          <w:b/>
        </w:rPr>
        <w:t xml:space="preserve">1000 человек</w:t>
      </w:r>
      <w:r>
        <w:t xml:space="preserve"> по Астраханской области </w:t>
      </w:r>
      <w:r>
        <w:rPr>
          <w:b/>
        </w:rPr>
        <w:t xml:space="preserve">(27,15%)</w:t>
      </w:r>
      <w:r/>
    </w:p>
    <w:p>
      <w:pPr>
        <w:pStyle w:val="940"/>
        <w:jc w:val="both"/>
        <w:tabs>
          <w:tab w:val="clear" w:pos="708" w:leader="none"/>
          <w:tab w:val="left" w:pos="770" w:leader="none"/>
        </w:tabs>
      </w:pPr>
      <w:r>
        <w:tab/>
        <w:t xml:space="preserve">Успешность выполнения заданий </w:t>
      </w:r>
      <w:r>
        <w:rPr>
          <w:b/>
        </w:rPr>
        <w:t xml:space="preserve">части 1</w:t>
      </w:r>
      <w:r>
        <w:t xml:space="preserve"> работы различными группами экзаменуемых неодинакова. </w:t>
      </w:r>
      <w:r/>
    </w:p>
    <w:p>
      <w:pPr>
        <w:pStyle w:val="940"/>
        <w:jc w:val="both"/>
        <w:tabs>
          <w:tab w:val="clear" w:pos="708" w:leader="none"/>
          <w:tab w:val="left" w:pos="770" w:leader="none"/>
        </w:tabs>
      </w:pPr>
      <w:r>
        <w:rPr>
          <w:b/>
        </w:rPr>
        <w:tab/>
        <w:t xml:space="preserve">группа 1</w:t>
      </w:r>
      <w:r>
        <w:t xml:space="preserve">- участники, отнесенных к группе экзаменуемых, не достигших минимальной границы </w:t>
      </w:r>
      <w:r>
        <w:rPr>
          <w:b/>
        </w:rPr>
        <w:t xml:space="preserve">(2 человека по Астраханской области, 0,05%),</w:t>
      </w:r>
      <w:r>
        <w:t xml:space="preserve"> частично сформированы элементы языковой компетентности.  Преодолевших 50%-ный рубеж при выполнении </w:t>
      </w:r>
      <w:r>
        <w:rPr>
          <w:b/>
        </w:rPr>
        <w:t xml:space="preserve">заданий нет. </w:t>
      </w:r>
      <w:r/>
    </w:p>
    <w:p>
      <w:pPr>
        <w:pStyle w:val="940"/>
        <w:jc w:val="both"/>
        <w:tabs>
          <w:tab w:val="clear" w:pos="708" w:leader="none"/>
          <w:tab w:val="left" w:pos="770" w:leader="none"/>
        </w:tabs>
      </w:pPr>
      <w:r>
        <w:rPr>
          <w:b/>
        </w:rPr>
        <w:tab/>
        <w:t xml:space="preserve">Самый высокий результат </w:t>
      </w:r>
      <w:r>
        <w:t xml:space="preserve">экзаменуемые из этой группы показали при</w:t>
      </w:r>
      <w:r>
        <w:rPr>
          <w:b/>
        </w:rPr>
        <w:t xml:space="preserve"> </w:t>
      </w:r>
      <w:r>
        <w:t xml:space="preserve">выполнении заданий 3, 9,</w:t>
      </w:r>
      <w:r>
        <w:rPr>
          <w:b/>
        </w:rPr>
        <w:t xml:space="preserve"> 13, 15, 16, 19, 24. </w:t>
      </w:r>
      <w:r/>
    </w:p>
    <w:p>
      <w:pPr>
        <w:pStyle w:val="940"/>
        <w:jc w:val="both"/>
        <w:tabs>
          <w:tab w:val="clear" w:pos="708" w:leader="none"/>
          <w:tab w:val="left" w:pos="770" w:leader="none"/>
        </w:tabs>
      </w:pPr>
      <w:r>
        <w:tab/>
        <w:t xml:space="preserve">Со всеми остальными заданиями </w:t>
      </w:r>
      <w:r>
        <w:rPr>
          <w:b/>
        </w:rPr>
        <w:t xml:space="preserve">части 1</w:t>
      </w:r>
      <w:r>
        <w:t xml:space="preserve"> экзаменационной работы участники экзамена не справились.</w:t>
      </w:r>
      <w:r/>
    </w:p>
    <w:p>
      <w:pPr>
        <w:pStyle w:val="940"/>
        <w:jc w:val="both"/>
        <w:tabs>
          <w:tab w:val="clear" w:pos="708" w:leader="none"/>
          <w:tab w:val="left" w:pos="770" w:leader="none"/>
        </w:tabs>
      </w:pPr>
      <w:r>
        <w:tab/>
        <w:t xml:space="preserve">В целом данная группа участников экзамена в 2021 г. по многим параметрам хуже справилась с заданиями по сравнению с 2020 г.</w:t>
      </w:r>
      <w:r/>
    </w:p>
    <w:p>
      <w:pPr>
        <w:pStyle w:val="940"/>
        <w:jc w:val="both"/>
        <w:tabs>
          <w:tab w:val="clear" w:pos="708" w:leader="none"/>
          <w:tab w:val="left" w:pos="770" w:leader="none"/>
        </w:tabs>
      </w:pPr>
      <w:r>
        <w:rPr>
          <w:b/>
        </w:rPr>
        <w:tab/>
        <w:t xml:space="preserve">группа 2 со средней подготовкой </w:t>
      </w:r>
      <w:r>
        <w:t xml:space="preserve">(</w:t>
      </w:r>
      <w:r>
        <w:rPr>
          <w:b/>
        </w:rPr>
        <w:t xml:space="preserve">863</w:t>
      </w:r>
      <w:r>
        <w:t xml:space="preserve"> человека, </w:t>
      </w:r>
      <w:r>
        <w:rPr>
          <w:b/>
        </w:rPr>
        <w:t xml:space="preserve">23,43%</w:t>
      </w:r>
      <w:r>
        <w:t xml:space="preserve"> по Астраханской области).</w:t>
      </w:r>
      <w:r/>
    </w:p>
    <w:p>
      <w:pPr>
        <w:pStyle w:val="940"/>
        <w:jc w:val="both"/>
        <w:tabs>
          <w:tab w:val="clear" w:pos="708" w:leader="none"/>
          <w:tab w:val="left" w:pos="770" w:leader="none"/>
        </w:tabs>
      </w:pPr>
      <w:r>
        <w:rPr>
          <w:b/>
        </w:rPr>
        <w:tab/>
        <w:t xml:space="preserve">Самый высокий результат </w:t>
      </w:r>
      <w:r>
        <w:t xml:space="preserve">экзаменуемые из этой группы показали при</w:t>
      </w:r>
      <w:r>
        <w:rPr>
          <w:b/>
        </w:rPr>
        <w:t xml:space="preserve"> </w:t>
      </w:r>
      <w:r>
        <w:t xml:space="preserve">выполнении заданий:</w:t>
      </w:r>
      <w:r/>
    </w:p>
    <w:p>
      <w:pPr>
        <w:pStyle w:val="940"/>
        <w:jc w:val="both"/>
        <w:tabs>
          <w:tab w:val="clear" w:pos="708" w:leader="none"/>
          <w:tab w:val="left" w:pos="770" w:leader="none"/>
        </w:tabs>
      </w:pPr>
      <w:r>
        <w:tab/>
        <w:t xml:space="preserve">1 (информационная обработка текстов) – 67,79%;</w:t>
      </w:r>
      <w:r/>
    </w:p>
    <w:p>
      <w:pPr>
        <w:pStyle w:val="940"/>
        <w:jc w:val="both"/>
        <w:tabs>
          <w:tab w:val="clear" w:pos="708" w:leader="none"/>
          <w:tab w:val="left" w:pos="770" w:leader="none"/>
        </w:tabs>
      </w:pPr>
      <w:r>
        <w:tab/>
        <w:t xml:space="preserve">2 (средства связи предложений в тексте) -68,37%;</w:t>
      </w:r>
      <w:r/>
    </w:p>
    <w:p>
      <w:pPr>
        <w:pStyle w:val="940"/>
        <w:jc w:val="both"/>
        <w:tabs>
          <w:tab w:val="clear" w:pos="708" w:leader="none"/>
          <w:tab w:val="left" w:pos="770" w:leader="none"/>
        </w:tabs>
      </w:pPr>
      <w:r>
        <w:tab/>
        <w:t xml:space="preserve">3 (лексическое значение слова) – 73,12%</w:t>
      </w:r>
      <w:r/>
    </w:p>
    <w:p>
      <w:pPr>
        <w:pStyle w:val="940"/>
        <w:jc w:val="both"/>
        <w:tabs>
          <w:tab w:val="clear" w:pos="708" w:leader="none"/>
          <w:tab w:val="left" w:pos="770" w:leader="none"/>
        </w:tabs>
      </w:pPr>
      <w:r>
        <w:tab/>
        <w:t xml:space="preserve">4 (орфоэпические нормы) – 62,46,8%</w:t>
      </w:r>
      <w:r/>
    </w:p>
    <w:p>
      <w:pPr>
        <w:pStyle w:val="940"/>
        <w:jc w:val="both"/>
        <w:tabs>
          <w:tab w:val="clear" w:pos="708" w:leader="none"/>
          <w:tab w:val="left" w:pos="770" w:leader="none"/>
        </w:tabs>
      </w:pPr>
      <w:r>
        <w:tab/>
        <w:t xml:space="preserve">6 (лексические нормы)- 64,08%</w:t>
      </w:r>
      <w:r/>
    </w:p>
    <w:p>
      <w:pPr>
        <w:pStyle w:val="940"/>
        <w:jc w:val="both"/>
        <w:tabs>
          <w:tab w:val="clear" w:pos="708" w:leader="none"/>
          <w:tab w:val="left" w:pos="770" w:leader="none"/>
        </w:tabs>
      </w:pPr>
      <w:r>
        <w:tab/>
        <w:t xml:space="preserve">7 (морфологические нормы)-61,99%.</w:t>
      </w:r>
      <w:r/>
    </w:p>
    <w:p>
      <w:pPr>
        <w:pStyle w:val="940"/>
        <w:jc w:val="both"/>
        <w:tabs>
          <w:tab w:val="clear" w:pos="708" w:leader="none"/>
          <w:tab w:val="left" w:pos="770" w:leader="none"/>
        </w:tabs>
      </w:pPr>
      <w:r>
        <w:rPr>
          <w:rFonts w:eastAsia="Times New Roman"/>
        </w:rPr>
        <w:t xml:space="preserve"> </w:t>
      </w:r>
      <w:r>
        <w:rPr>
          <w:rFonts w:eastAsia="Times New Roman"/>
        </w:rPr>
        <w:tab/>
      </w:r>
      <w:r>
        <w:rPr>
          <w:b/>
        </w:rPr>
        <w:t xml:space="preserve">Ниже 50%</w:t>
      </w:r>
      <w:r>
        <w:t xml:space="preserve"> (указан процент не справившихся):</w:t>
      </w:r>
      <w:r/>
    </w:p>
    <w:p>
      <w:pPr>
        <w:pStyle w:val="940"/>
        <w:jc w:val="both"/>
        <w:tabs>
          <w:tab w:val="clear" w:pos="708" w:leader="none"/>
          <w:tab w:val="left" w:pos="770" w:leader="none"/>
        </w:tabs>
      </w:pPr>
      <w:r>
        <w:tab/>
        <w:t xml:space="preserve">21 (пунктуационный анализ) – 84,24%;</w:t>
      </w:r>
      <w:r/>
    </w:p>
    <w:p>
      <w:pPr>
        <w:pStyle w:val="940"/>
        <w:jc w:val="both"/>
        <w:tabs>
          <w:tab w:val="clear" w:pos="708" w:leader="none"/>
          <w:tab w:val="left" w:pos="770" w:leader="none"/>
        </w:tabs>
      </w:pPr>
      <w:r>
        <w:tab/>
        <w:t xml:space="preserve">12 (правописание личных окончаний глаголов и суффиксов причастий) – 85,14 %;</w:t>
      </w:r>
      <w:r/>
    </w:p>
    <w:p>
      <w:pPr>
        <w:pStyle w:val="940"/>
        <w:jc w:val="both"/>
        <w:tabs>
          <w:tab w:val="clear" w:pos="708" w:leader="none"/>
          <w:tab w:val="left" w:pos="770" w:leader="none"/>
        </w:tabs>
      </w:pPr>
      <w:r>
        <w:tab/>
        <w:t xml:space="preserve">25 (средства связи предложений в тексте)- 79,8%;</w:t>
      </w:r>
      <w:r/>
    </w:p>
    <w:p>
      <w:pPr>
        <w:pStyle w:val="940"/>
        <w:jc w:val="both"/>
        <w:tabs>
          <w:tab w:val="clear" w:pos="708" w:leader="none"/>
          <w:tab w:val="left" w:pos="770" w:leader="none"/>
        </w:tabs>
      </w:pPr>
      <w:r>
        <w:tab/>
        <w:t xml:space="preserve">20 (знаки препинания в сложном предложении с разными видами связи) – 84,7%;</w:t>
      </w:r>
      <w:r/>
    </w:p>
    <w:p>
      <w:pPr>
        <w:pStyle w:val="940"/>
        <w:jc w:val="both"/>
        <w:tabs>
          <w:tab w:val="clear" w:pos="708" w:leader="none"/>
          <w:tab w:val="left" w:pos="770" w:leader="none"/>
        </w:tabs>
      </w:pPr>
      <w:r>
        <w:tab/>
        <w:t xml:space="preserve">11 (правописание суффиксов различных частей речи) – 78,79%</w:t>
      </w:r>
      <w:r/>
    </w:p>
    <w:p>
      <w:pPr>
        <w:pStyle w:val="940"/>
        <w:jc w:val="both"/>
        <w:tabs>
          <w:tab w:val="clear" w:pos="708" w:leader="none"/>
          <w:tab w:val="left" w:pos="770" w:leader="none"/>
        </w:tabs>
      </w:pPr>
      <w:r>
        <w:tab/>
        <w:t xml:space="preserve">23(типы речи) – 77,64%</w:t>
      </w:r>
      <w:r/>
    </w:p>
    <w:p>
      <w:pPr>
        <w:pStyle w:val="940"/>
        <w:jc w:val="both"/>
        <w:tabs>
          <w:tab w:val="clear" w:pos="708" w:leader="none"/>
          <w:tab w:val="left" w:pos="770" w:leader="none"/>
        </w:tabs>
      </w:pPr>
      <w:r>
        <w:tab/>
        <w:t xml:space="preserve">10 (правописание приставок) – 72,19%</w:t>
      </w:r>
      <w:r/>
    </w:p>
    <w:p>
      <w:pPr>
        <w:pStyle w:val="940"/>
        <w:jc w:val="both"/>
        <w:tabs>
          <w:tab w:val="clear" w:pos="708" w:leader="none"/>
          <w:tab w:val="left" w:pos="770" w:leader="none"/>
        </w:tabs>
      </w:pPr>
      <w:r>
        <w:rPr>
          <w:b/>
        </w:rPr>
        <w:tab/>
        <w:t xml:space="preserve">группа 3.</w:t>
      </w:r>
      <w:r>
        <w:t xml:space="preserve"> Участники экзамена с хорошей подготовкой - </w:t>
      </w:r>
      <w:r>
        <w:rPr>
          <w:b/>
        </w:rPr>
        <w:t xml:space="preserve">(61–80 т.б.)</w:t>
      </w:r>
      <w:r>
        <w:t xml:space="preserve">  </w:t>
      </w:r>
      <w:r/>
    </w:p>
    <w:p>
      <w:pPr>
        <w:pStyle w:val="940"/>
        <w:jc w:val="both"/>
        <w:tabs>
          <w:tab w:val="clear" w:pos="708" w:leader="none"/>
          <w:tab w:val="left" w:pos="770" w:leader="none"/>
        </w:tabs>
      </w:pPr>
      <w:r>
        <w:rPr>
          <w:b/>
        </w:rPr>
        <w:t xml:space="preserve">(1817 человек по Астраханской области, 49,34%)</w:t>
      </w:r>
      <w:r>
        <w:t xml:space="preserve"> продемонстрировали достаточно хороший уровень освоения всех проверяемых компонентов лингвистической, языковой и коммуникативной компетенций.</w:t>
      </w:r>
      <w:r/>
    </w:p>
    <w:p>
      <w:pPr>
        <w:pStyle w:val="940"/>
        <w:jc w:val="both"/>
        <w:tabs>
          <w:tab w:val="clear" w:pos="708" w:leader="none"/>
          <w:tab w:val="left" w:pos="770" w:leader="none"/>
        </w:tabs>
      </w:pPr>
      <w:r>
        <w:tab/>
        <w:t xml:space="preserve">Ниже </w:t>
      </w:r>
      <w:r>
        <w:rPr>
          <w:b/>
        </w:rPr>
        <w:t xml:space="preserve">50%-ного</w:t>
      </w:r>
      <w:r>
        <w:t xml:space="preserve"> барьера экзаменуемые из этой группы выполняют следующие</w:t>
      </w:r>
      <w:r/>
    </w:p>
    <w:p>
      <w:pPr>
        <w:pStyle w:val="940"/>
        <w:jc w:val="both"/>
        <w:tabs>
          <w:tab w:val="clear" w:pos="708" w:leader="none"/>
          <w:tab w:val="left" w:pos="770" w:leader="none"/>
        </w:tabs>
      </w:pPr>
      <w:r>
        <w:t xml:space="preserve">задания части 1 экзаменационной работы: </w:t>
      </w:r>
      <w:r/>
    </w:p>
    <w:p>
      <w:pPr>
        <w:pStyle w:val="940"/>
        <w:jc w:val="both"/>
        <w:tabs>
          <w:tab w:val="clear" w:pos="708" w:leader="none"/>
          <w:tab w:val="left" w:pos="770" w:leader="none"/>
        </w:tabs>
      </w:pPr>
      <w:r>
        <w:tab/>
        <w:t xml:space="preserve">11 - (Правописание суффиксов различных частей речи) – 53,16%; </w:t>
      </w:r>
      <w:r/>
    </w:p>
    <w:p>
      <w:pPr>
        <w:pStyle w:val="940"/>
        <w:jc w:val="both"/>
        <w:tabs>
          <w:tab w:val="clear" w:pos="708" w:leader="none"/>
          <w:tab w:val="left" w:pos="770" w:leader="none"/>
        </w:tabs>
      </w:pPr>
      <w:r>
        <w:tab/>
        <w:t xml:space="preserve">20 – (знаки препинания в сложном предложении с разными видами связи) – 55,37%</w:t>
      </w:r>
      <w:r/>
    </w:p>
    <w:p>
      <w:pPr>
        <w:pStyle w:val="940"/>
        <w:jc w:val="both"/>
        <w:tabs>
          <w:tab w:val="clear" w:pos="708" w:leader="none"/>
          <w:tab w:val="left" w:pos="770" w:leader="none"/>
        </w:tabs>
      </w:pPr>
      <w:r>
        <w:tab/>
        <w:t xml:space="preserve">21 - (Пунктуационный анализ текста) – 60,26 %; </w:t>
      </w:r>
      <w:r/>
    </w:p>
    <w:p>
      <w:pPr>
        <w:pStyle w:val="940"/>
        <w:jc w:val="both"/>
        <w:tabs>
          <w:tab w:val="clear" w:pos="708" w:leader="none"/>
          <w:tab w:val="left" w:pos="770" w:leader="none"/>
        </w:tabs>
      </w:pPr>
      <w:r>
        <w:tab/>
        <w:t xml:space="preserve">23 (типы речи) – 60,54%</w:t>
      </w:r>
      <w:r/>
    </w:p>
    <w:p>
      <w:pPr>
        <w:pStyle w:val="940"/>
        <w:jc w:val="both"/>
        <w:tabs>
          <w:tab w:val="clear" w:pos="708" w:leader="none"/>
          <w:tab w:val="left" w:pos="770" w:leader="none"/>
        </w:tabs>
      </w:pPr>
      <w:r>
        <w:tab/>
        <w:t xml:space="preserve">Экзаменуемые этой группы успешно выполняют следующие задания: </w:t>
      </w:r>
      <w:r/>
    </w:p>
    <w:p>
      <w:pPr>
        <w:pStyle w:val="940"/>
        <w:jc w:val="both"/>
        <w:tabs>
          <w:tab w:val="clear" w:pos="708" w:leader="none"/>
          <w:tab w:val="left" w:pos="770" w:leader="none"/>
        </w:tabs>
      </w:pPr>
      <w:r>
        <w:tab/>
        <w:t xml:space="preserve">1 (информационная обработка текстов) – 83,87%;</w:t>
      </w:r>
      <w:r/>
    </w:p>
    <w:p>
      <w:pPr>
        <w:pStyle w:val="940"/>
        <w:jc w:val="both"/>
        <w:tabs>
          <w:tab w:val="clear" w:pos="708" w:leader="none"/>
          <w:tab w:val="left" w:pos="770" w:leader="none"/>
        </w:tabs>
      </w:pPr>
      <w:r>
        <w:tab/>
        <w:t xml:space="preserve">2 (средства связи предложений в тексте) -86,13%;</w:t>
      </w:r>
      <w:r/>
    </w:p>
    <w:p>
      <w:pPr>
        <w:pStyle w:val="940"/>
        <w:jc w:val="both"/>
        <w:tabs>
          <w:tab w:val="clear" w:pos="708" w:leader="none"/>
          <w:tab w:val="left" w:pos="770" w:leader="none"/>
        </w:tabs>
      </w:pPr>
      <w:r>
        <w:tab/>
        <w:t xml:space="preserve">3 (лексическое значение слова) – 88,22%;</w:t>
      </w:r>
      <w:r/>
    </w:p>
    <w:p>
      <w:pPr>
        <w:pStyle w:val="940"/>
        <w:jc w:val="both"/>
        <w:tabs>
          <w:tab w:val="clear" w:pos="708" w:leader="none"/>
          <w:tab w:val="left" w:pos="770" w:leader="none"/>
        </w:tabs>
      </w:pPr>
      <w:r>
        <w:tab/>
        <w:t xml:space="preserve">6 (лексические нормы) – 85,03%;</w:t>
      </w:r>
      <w:r/>
    </w:p>
    <w:p>
      <w:pPr>
        <w:pStyle w:val="940"/>
        <w:jc w:val="both"/>
        <w:tabs>
          <w:tab w:val="clear" w:pos="708" w:leader="none"/>
          <w:tab w:val="left" w:pos="770" w:leader="none"/>
        </w:tabs>
      </w:pPr>
      <w:r>
        <w:tab/>
        <w:t xml:space="preserve">8 (грамматически нормы)- 85,53%;</w:t>
      </w:r>
      <w:r/>
    </w:p>
    <w:p>
      <w:pPr>
        <w:pStyle w:val="940"/>
        <w:jc w:val="both"/>
        <w:tabs>
          <w:tab w:val="clear" w:pos="708" w:leader="none"/>
          <w:tab w:val="left" w:pos="770" w:leader="none"/>
        </w:tabs>
      </w:pPr>
      <w:r>
        <w:tab/>
        <w:t xml:space="preserve">13 (правописание не и ни) – 89,16%;</w:t>
      </w:r>
      <w:r/>
    </w:p>
    <w:p>
      <w:pPr>
        <w:pStyle w:val="940"/>
        <w:jc w:val="both"/>
        <w:tabs>
          <w:tab w:val="clear" w:pos="708" w:leader="none"/>
          <w:tab w:val="left" w:pos="770" w:leader="none"/>
        </w:tabs>
      </w:pPr>
      <w:r>
        <w:tab/>
        <w:t xml:space="preserve">16 (пунктуационные нормы при однородных членах и в ССП) – 84,09%</w:t>
      </w:r>
      <w:r/>
    </w:p>
    <w:p>
      <w:pPr>
        <w:pStyle w:val="940"/>
        <w:jc w:val="both"/>
        <w:tabs>
          <w:tab w:val="clear" w:pos="708" w:leader="none"/>
          <w:tab w:val="left" w:pos="770" w:leader="none"/>
        </w:tabs>
      </w:pPr>
      <w:r>
        <w:tab/>
        <w:t xml:space="preserve">19 (знаки препинания в СПП) – 88,22%</w:t>
      </w:r>
      <w:r/>
    </w:p>
    <w:p>
      <w:pPr>
        <w:pStyle w:val="940"/>
        <w:jc w:val="both"/>
        <w:tabs>
          <w:tab w:val="clear" w:pos="708" w:leader="none"/>
          <w:tab w:val="left" w:pos="770" w:leader="none"/>
        </w:tabs>
      </w:pPr>
      <w:r>
        <w:rPr>
          <w:b/>
        </w:rPr>
        <w:tab/>
        <w:t xml:space="preserve">группа 4</w:t>
      </w:r>
      <w:r>
        <w:t xml:space="preserve">– наиболее подготовленные экзаменуемые</w:t>
      </w:r>
      <w:r>
        <w:rPr>
          <w:b/>
        </w:rPr>
        <w:t xml:space="preserve"> (81–100 т.б.) </w:t>
      </w:r>
      <w:r>
        <w:t xml:space="preserve">(</w:t>
      </w:r>
      <w:r>
        <w:rPr>
          <w:b/>
        </w:rPr>
        <w:t xml:space="preserve">1000 человек</w:t>
      </w:r>
      <w:r>
        <w:t xml:space="preserve"> </w:t>
      </w:r>
      <w:r>
        <w:rPr>
          <w:b/>
        </w:rPr>
        <w:t xml:space="preserve">по Астраханской области, 27,15%</w:t>
      </w:r>
      <w:r>
        <w:t xml:space="preserve">). Эта группа продемонстрировала высокий уровень сформированности всех проверяемых компонентов лингвистической, языковой и коммуникативной компетенций.</w:t>
      </w:r>
      <w:r/>
    </w:p>
    <w:p>
      <w:pPr>
        <w:pStyle w:val="940"/>
        <w:jc w:val="both"/>
        <w:tabs>
          <w:tab w:val="clear" w:pos="708" w:leader="none"/>
          <w:tab w:val="left" w:pos="770" w:leader="none"/>
        </w:tabs>
      </w:pPr>
      <w:r>
        <w:tab/>
        <w:t xml:space="preserve">Наибольшие трудности у экзаменуемых вызвали задания:</w:t>
      </w:r>
      <w:r/>
    </w:p>
    <w:p>
      <w:pPr>
        <w:pStyle w:val="940"/>
        <w:jc w:val="both"/>
        <w:tabs>
          <w:tab w:val="clear" w:pos="708" w:leader="none"/>
          <w:tab w:val="left" w:pos="770" w:leader="none"/>
        </w:tabs>
      </w:pPr>
      <w:r>
        <w:tab/>
        <w:t xml:space="preserve">11 (правописание суффиксов разных частей речи) -  процент выполнения 72,6%;</w:t>
      </w:r>
      <w:r/>
    </w:p>
    <w:p>
      <w:pPr>
        <w:pStyle w:val="940"/>
        <w:jc w:val="both"/>
        <w:tabs>
          <w:tab w:val="clear" w:pos="708" w:leader="none"/>
          <w:tab w:val="left" w:pos="770" w:leader="none"/>
        </w:tabs>
      </w:pPr>
      <w:r>
        <w:tab/>
        <w:t xml:space="preserve">23 (функционально-смысловые типы речи) - процент выполнения 58,5%;</w:t>
      </w:r>
      <w:r/>
    </w:p>
    <w:p>
      <w:pPr>
        <w:pStyle w:val="940"/>
        <w:jc w:val="both"/>
        <w:tabs>
          <w:tab w:val="clear" w:pos="708" w:leader="none"/>
          <w:tab w:val="left" w:pos="770" w:leader="none"/>
        </w:tabs>
      </w:pPr>
      <w:r>
        <w:tab/>
        <w:t xml:space="preserve">25 (средства связи предложений) – 72,4%</w:t>
      </w:r>
      <w:r/>
    </w:p>
    <w:p>
      <w:pPr>
        <w:pStyle w:val="940"/>
        <w:jc w:val="both"/>
        <w:tabs>
          <w:tab w:val="clear" w:pos="708" w:leader="none"/>
          <w:tab w:val="left" w:pos="770" w:leader="none"/>
        </w:tabs>
      </w:pPr>
      <w:r>
        <w:tab/>
        <w:t xml:space="preserve">Анализ </w:t>
      </w:r>
      <w:r>
        <w:rPr>
          <w:b/>
        </w:rPr>
        <w:t xml:space="preserve">политомических</w:t>
      </w:r>
      <w:r>
        <w:rPr>
          <w:rStyle w:val="1390"/>
          <w:b/>
        </w:rPr>
        <w:footnoteReference w:id="3"/>
      </w:r>
      <w:r>
        <w:rPr>
          <w:b/>
        </w:rPr>
        <w:t xml:space="preserve"> заданий</w:t>
      </w:r>
      <w:r>
        <w:t xml:space="preserve"> показал, что экзаменуемые из этой группы (отличная подготовка) выполняют все указанные задания на 1 балл и выше.</w:t>
      </w:r>
      <w:r/>
    </w:p>
    <w:p>
      <w:pPr>
        <w:pStyle w:val="940"/>
        <w:jc w:val="both"/>
        <w:tabs>
          <w:tab w:val="clear" w:pos="708" w:leader="none"/>
          <w:tab w:val="left" w:pos="770" w:leader="none"/>
        </w:tabs>
      </w:pPr>
      <w:r>
        <w:tab/>
        <w:t xml:space="preserve">Освоение выпускниками </w:t>
      </w:r>
      <w:r>
        <w:t xml:space="preserve">норм современного русского литературного языка, владение ими обеспечивает правильность речи, составляющую основу индивидуальной культуры речи, предполагает творческое применение норм в разных ситуациях общения, в том числе и умение выбирать наиболее точные</w:t>
      </w:r>
      <w:r>
        <w:t xml:space="preserve">, стилистически уместные варианты. Формат предъявляемых заданий был различен. Чтобы справиться с заданиями по лексике, экзаменуемому нужно иметь достаточно большой лексический запас слов, уметь правильно употреблять слова с учетом их лексического значения.</w:t>
      </w:r>
      <w:r/>
    </w:p>
    <w:p>
      <w:pPr>
        <w:pStyle w:val="940"/>
        <w:jc w:val="both"/>
        <w:tabs>
          <w:tab w:val="clear" w:pos="708" w:leader="none"/>
          <w:tab w:val="left" w:pos="770" w:leader="none"/>
        </w:tabs>
      </w:pPr>
      <w:r>
        <w:tab/>
        <w:t xml:space="preserve">Анализ результатов ЕГЭ 2021 г. показывает стабильность выполнения заданий, проверяющих уровень сформированности основных предметных компетентностей. Экзаменационная работа по русскому языку сос</w:t>
      </w:r>
      <w:r>
        <w:t xml:space="preserve">тавлена таким образом, что знания и умения по основным разделам школьного курса в оптимальных пропорциях востребованы при выполнении обеих частей работы. Так, например, владение основными нормами русского литературного языка проверяется как при выполнении </w:t>
      </w:r>
      <w:r>
        <w:rPr>
          <w:b/>
        </w:rPr>
        <w:t xml:space="preserve">части 1</w:t>
      </w:r>
      <w:r>
        <w:t xml:space="preserve"> экзаменационной работы, так и при выполнении </w:t>
      </w:r>
      <w:r>
        <w:rPr>
          <w:b/>
        </w:rPr>
        <w:t xml:space="preserve">части 2</w:t>
      </w:r>
      <w:r>
        <w:t xml:space="preserve"> – написании сочинения по прочитанному тексту. Современные психологи, лингвисты и методисты единодушны в том, что соблюдение норм в речи чрезвычайно важно для понимания между людьми, говорящими на одном языке.</w:t>
      </w:r>
      <w:r/>
    </w:p>
    <w:p>
      <w:pPr>
        <w:pStyle w:val="940"/>
        <w:jc w:val="both"/>
        <w:tabs>
          <w:tab w:val="clear" w:pos="708" w:leader="none"/>
          <w:tab w:val="left" w:pos="770" w:leader="none"/>
        </w:tabs>
      </w:pPr>
      <w:r>
        <w:tab/>
        <w:t xml:space="preserve">При выполнении </w:t>
      </w:r>
      <w:r>
        <w:rPr>
          <w:b/>
        </w:rPr>
        <w:t xml:space="preserve">задания 4</w:t>
      </w:r>
      <w:r>
        <w:t xml:space="preserve">, проверяющего знание орфоэпических норм, экзаменуемые испытывают особые трудности с постановкой ударения в кратких страдательных причастиях. </w:t>
      </w:r>
      <w:r/>
    </w:p>
    <w:p>
      <w:pPr>
        <w:pStyle w:val="940"/>
        <w:jc w:val="both"/>
        <w:tabs>
          <w:tab w:val="clear" w:pos="708" w:leader="none"/>
          <w:tab w:val="left" w:pos="770" w:leader="none"/>
        </w:tabs>
      </w:pPr>
      <w:r>
        <w:tab/>
        <w:t xml:space="preserve">В работе над орфоэпическими нормами стоит чаще обращаться к словарю, постепенно отрабатывая правильное произношение.</w:t>
      </w:r>
      <w:r/>
    </w:p>
    <w:p>
      <w:pPr>
        <w:pStyle w:val="940"/>
        <w:jc w:val="both"/>
        <w:tabs>
          <w:tab w:val="clear" w:pos="708" w:leader="none"/>
          <w:tab w:val="left" w:pos="770" w:leader="none"/>
        </w:tabs>
      </w:pPr>
      <w:r>
        <w:tab/>
        <w:t xml:space="preserve">Результаты экзамена, по сравнению с предыдущим годом, показали, что остается недостаточно усвоенным раздел, связанный с анализом структуры текста, выяснением способов и средств связи предложений в тексте (</w:t>
      </w:r>
      <w:r>
        <w:rPr>
          <w:b/>
        </w:rPr>
        <w:t xml:space="preserve">задание 25</w:t>
      </w:r>
      <w:r>
        <w:t xml:space="preserve">), что проявляется как нарушение логики развития мысли.</w:t>
      </w:r>
      <w:r/>
    </w:p>
    <w:p>
      <w:pPr>
        <w:pStyle w:val="940"/>
        <w:jc w:val="both"/>
        <w:tabs>
          <w:tab w:val="clear" w:pos="708" w:leader="none"/>
          <w:tab w:val="left" w:pos="770" w:leader="none"/>
        </w:tabs>
      </w:pPr>
      <w:r>
        <w:rPr>
          <w:b/>
        </w:rPr>
        <w:tab/>
        <w:t xml:space="preserve">Задание 24</w:t>
      </w:r>
      <w:r>
        <w:t xml:space="preserve"> ориентировано на проверку умения проводить лексический анализ слова в контексте и позволяло оце</w:t>
      </w:r>
      <w:r>
        <w:t xml:space="preserve">нить такие важные умения экзаменуемых, как умение адекватно понимать письменную речь других людей, умение соотносить языковое явление с тем значением, которое оно получает в тексте. По условию задания участник экзамена должен был выписать из текста один фр</w:t>
      </w:r>
      <w:r>
        <w:t xml:space="preserve">азеологизм. Однако это не означало, что в указанном фрагменте текста имелся только один фразеологизм, их могло быть несколько. Подобное изменение было продиктовано негативным влиянием ситуации, когда участник экзамена нацелен на поиск только одного ответа.</w:t>
      </w:r>
      <w:r/>
    </w:p>
    <w:p>
      <w:pPr>
        <w:pStyle w:val="940"/>
        <w:jc w:val="both"/>
        <w:tabs>
          <w:tab w:val="clear" w:pos="708" w:leader="none"/>
          <w:tab w:val="left" w:pos="770" w:leader="none"/>
        </w:tabs>
      </w:pPr>
      <w:r>
        <w:tab/>
        <w:t xml:space="preserve">Результаты выполнения заданий, проверяющих уровень усвоения лексических норм современного русского литературного языка, показал, что самый низкий процент выполнения приходится на </w:t>
      </w:r>
      <w:r>
        <w:rPr>
          <w:b/>
        </w:rPr>
        <w:t xml:space="preserve">задание 6</w:t>
      </w:r>
      <w:r>
        <w:t xml:space="preserve"> и соблюдение норм в сочинении, написанном по предложенному тексту </w:t>
      </w:r>
      <w:r>
        <w:rPr>
          <w:b/>
        </w:rPr>
        <w:t xml:space="preserve">(К10).</w:t>
      </w:r>
      <w:r/>
    </w:p>
    <w:p>
      <w:pPr>
        <w:pStyle w:val="940"/>
        <w:jc w:val="both"/>
        <w:tabs>
          <w:tab w:val="clear" w:pos="708" w:leader="none"/>
          <w:tab w:val="left" w:pos="770" w:leader="none"/>
        </w:tabs>
      </w:pPr>
      <w:r>
        <w:rPr>
          <w:b/>
        </w:rPr>
        <w:tab/>
        <w:t xml:space="preserve">Задание 3</w:t>
      </w:r>
      <w:r>
        <w:t xml:space="preserve">, ориентированное на проверку умения проводить лексический анализ слова в контексте, позволяет оценить важные умения выпускников: адекватно понима</w:t>
      </w:r>
      <w:r>
        <w:t xml:space="preserve">ть письменную речь других людей; соотносить языковое явление с тем значением, которое оно получает в тексте. Экзаменуемые испытывают затруднения при толковании распространенных слов-терминов, многозначных слов. Это свидетельствует о том, что работа по обог</w:t>
      </w:r>
      <w:r>
        <w:t xml:space="preserve">ащению словарного запаса обучающихся должна вестись координировано и целенаправленно учителями всех предметов. Задания, ориентированные на проверку умения экзаменуемых проводить лексический анализ слова в микротексте, затруднений у экзаменуемых не вызвали.</w:t>
      </w:r>
      <w:r/>
    </w:p>
    <w:p>
      <w:pPr>
        <w:pStyle w:val="940"/>
        <w:jc w:val="both"/>
        <w:tabs>
          <w:tab w:val="clear" w:pos="708" w:leader="none"/>
          <w:tab w:val="left" w:pos="770" w:leader="none"/>
        </w:tabs>
      </w:pPr>
      <w:r>
        <w:tab/>
        <w:t xml:space="preserve">Расширение языкового материала в </w:t>
      </w:r>
      <w:r>
        <w:rPr>
          <w:b/>
        </w:rPr>
        <w:t xml:space="preserve">задании 24</w:t>
      </w:r>
      <w:r>
        <w:t xml:space="preserve">, ориентированное на проверку умения проводить лексический анали</w:t>
      </w:r>
      <w:r>
        <w:t xml:space="preserve">з слова в контексте, позволяет оценить такие важные умения выпускников, как умение адекватно понимать письменную речь других людей, умение соотносить языковое явление с тем значением, которое оно получает в тексте. Наибольший процент неудач при выполнении </w:t>
      </w:r>
      <w:r>
        <w:rPr>
          <w:b/>
        </w:rPr>
        <w:t xml:space="preserve">задания 24</w:t>
      </w:r>
      <w:r>
        <w:t xml:space="preserve"> связан с поиском фразеологизма в прочитанном тексте. Экзаменуемые крайне редко используют фразеологизмы при выполнении задания с развернутым ответом. Эти факты говорят о необходимости р</w:t>
      </w:r>
      <w:r>
        <w:t xml:space="preserve">аботы с фразеологическим словарем, выполнения лингвистического анализа текста с определением роли фразеологизмов и участии их в раскрытии художественного замысла, выполнения специальных упражнений для включения фразеологизмов в активный словарь школьников.</w:t>
      </w:r>
      <w:r/>
    </w:p>
    <w:p>
      <w:pPr>
        <w:pStyle w:val="940"/>
        <w:jc w:val="both"/>
        <w:tabs>
          <w:tab w:val="clear" w:pos="708" w:leader="none"/>
          <w:tab w:val="left" w:pos="770" w:leader="none"/>
        </w:tabs>
      </w:pPr>
      <w:r>
        <w:tab/>
        <w:t xml:space="preserve">Повседневное внимание к устной и письмен</w:t>
      </w:r>
      <w:r>
        <w:t xml:space="preserve">ной речи учащихся, к использованию ими синонимичных конструкций и форм, борьба с «общими местами» и штампами в речи, систематическая работа по преодолению различных несовершенств письменной речи, использование различных форм деятельности не могут «работать</w:t>
      </w:r>
      <w:r>
        <w:t xml:space="preserve">» отдельно от изучения других школьных дисциплин. Именно поэтому выявленные путем анализа результатов ЕГЭ проблемы соблюдения лексических норм могут быть устранены только в том случае, если в школе при изучении всех предметов будут соблюдаться единые подхо</w:t>
      </w:r>
      <w:r>
        <w:t xml:space="preserve">ды к формированию и оцениванию основных видов речевой деятельности (слушания, письма, чтения, говорения), будет проводиться работа по предупреждению ошибок, связанных с нарушением лексической сочетаемости слов, употреблением слов в несвойственном значении.</w:t>
      </w:r>
      <w:r/>
    </w:p>
    <w:p>
      <w:pPr>
        <w:pStyle w:val="940"/>
        <w:jc w:val="both"/>
        <w:tabs>
          <w:tab w:val="clear" w:pos="708" w:leader="none"/>
          <w:tab w:val="left" w:pos="770" w:leader="none"/>
        </w:tabs>
      </w:pPr>
      <w:r>
        <w:tab/>
        <w:t xml:space="preserve">Результаты выполнения </w:t>
      </w:r>
      <w:r>
        <w:rPr>
          <w:b/>
        </w:rPr>
        <w:t xml:space="preserve">заданий 7, 8</w:t>
      </w:r>
      <w:r>
        <w:t xml:space="preserve">, а также результаты оценивания по </w:t>
      </w:r>
      <w:r>
        <w:rPr>
          <w:b/>
        </w:rPr>
        <w:t xml:space="preserve">критерию К9</w:t>
      </w:r>
      <w:r>
        <w:t xml:space="preserve"> в </w:t>
      </w:r>
      <w:r>
        <w:rPr>
          <w:b/>
        </w:rPr>
        <w:t xml:space="preserve">задании 27</w:t>
      </w:r>
      <w:r>
        <w:t xml:space="preserve"> позволяют судить об уровне усвоения участниками экзамена грамматических норм.</w:t>
      </w:r>
      <w:r/>
    </w:p>
    <w:p>
      <w:pPr>
        <w:pStyle w:val="940"/>
        <w:jc w:val="both"/>
        <w:tabs>
          <w:tab w:val="clear" w:pos="708" w:leader="none"/>
          <w:tab w:val="left" w:pos="770" w:leader="none"/>
        </w:tabs>
      </w:pPr>
      <w:r>
        <w:tab/>
        <w:t xml:space="preserve">Средний пр</w:t>
      </w:r>
      <w:r>
        <w:t xml:space="preserve">оцент выполнения задания 7, проверяющего владение морфологическими нормами, снизился в 2021 г. по сравнению с 2020 г. примерно на 8%.  Это во многом объясняется такими происходящими в современном языке процессами, как активное действие закона аналогии при </w:t>
      </w:r>
      <w:r>
        <w:t xml:space="preserve">становлении новых форм, вхождение в нейтральный литературный фонд морфологических средств фактов живой разговорной речи и прочее.  Наибольшую проблему для участников экзамена представляет образование форм имен числительных и наречий (например: более выше).</w:t>
      </w:r>
      <w:r/>
    </w:p>
    <w:p>
      <w:pPr>
        <w:pStyle w:val="940"/>
        <w:jc w:val="both"/>
        <w:tabs>
          <w:tab w:val="clear" w:pos="708" w:leader="none"/>
          <w:tab w:val="left" w:pos="770" w:leader="none"/>
        </w:tabs>
      </w:pPr>
      <w:r>
        <w:tab/>
        <w:t xml:space="preserve">Средний процент выполнения </w:t>
      </w:r>
      <w:r>
        <w:rPr>
          <w:b/>
        </w:rPr>
        <w:t xml:space="preserve">задания 8</w:t>
      </w:r>
      <w:r>
        <w:t xml:space="preserve"> (Синтаксические нормы. Нормы согласования. Нормы управления) в 2021 г. по сравнению с процентом выполнения этого задания в 2020 г. практически не изменился. Результаты выполнения </w:t>
      </w:r>
      <w:r>
        <w:rPr>
          <w:b/>
        </w:rPr>
        <w:t xml:space="preserve">задания 8</w:t>
      </w:r>
      <w:r>
        <w:t xml:space="preserve"> иллюстрируют хороший уровень сформированности языковой компетенции в области владения грамматическими нормами в случае употребления предлогов «благодаря», «согласно», « вопреки». Однако в предложно-</w:t>
      </w:r>
      <w:r>
        <w:t xml:space="preserve">падежных сочетаниях «по приезде», «по окончании», «по завершении» тестируемые реже находят ошибку. Недостаточно усвоены нормы координации подлежащего и сказуемого при их дистантном расположении и нормы построения предложения с несогласованным определением.</w:t>
      </w:r>
      <w:r/>
    </w:p>
    <w:p>
      <w:pPr>
        <w:pStyle w:val="940"/>
        <w:jc w:val="both"/>
        <w:tabs>
          <w:tab w:val="clear" w:pos="708" w:leader="none"/>
          <w:tab w:val="left" w:pos="770" w:leader="none"/>
        </w:tabs>
      </w:pPr>
      <w:r>
        <w:tab/>
        <w:t xml:space="preserve">Как и в 2020 г., в условиях создания речевого высказывания (</w:t>
      </w:r>
      <w:r>
        <w:rPr>
          <w:b/>
        </w:rPr>
        <w:t xml:space="preserve">критерий К9</w:t>
      </w:r>
      <w:r>
        <w:t xml:space="preserve">) экзаменуемые демонстрируют невысокий уровень владения грамматически правильной речью. В среднем больше половины участников экзамена допускают в собственной письменной речи грамматические ошибки.</w:t>
      </w:r>
      <w:r/>
    </w:p>
    <w:p>
      <w:pPr>
        <w:pStyle w:val="940"/>
        <w:jc w:val="both"/>
        <w:tabs>
          <w:tab w:val="clear" w:pos="708" w:leader="none"/>
          <w:tab w:val="left" w:pos="770" w:leader="none"/>
        </w:tabs>
      </w:pPr>
      <w:r>
        <w:tab/>
        <w:t xml:space="preserve">На достаточно высоком уровне находится сформированность орфографических навыков участников экзамена при выполнении </w:t>
      </w:r>
      <w:r>
        <w:rPr>
          <w:b/>
        </w:rPr>
        <w:t xml:space="preserve">заданий 9, 13, 14</w:t>
      </w:r>
      <w:r>
        <w:t xml:space="preserve">. Исключение в части 1 экзаменационной работы составили </w:t>
      </w:r>
      <w:r>
        <w:rPr>
          <w:b/>
        </w:rPr>
        <w:t xml:space="preserve">задание 10</w:t>
      </w:r>
      <w:r>
        <w:t xml:space="preserve"> (правописание приставок), задание</w:t>
      </w:r>
      <w:r>
        <w:rPr>
          <w:b/>
        </w:rPr>
        <w:t xml:space="preserve"> 15</w:t>
      </w:r>
      <w:r>
        <w:t xml:space="preserve"> (правописание -Н- и -НН- в различных частях речи), задание</w:t>
      </w:r>
      <w:r>
        <w:rPr>
          <w:b/>
        </w:rPr>
        <w:t xml:space="preserve"> 11</w:t>
      </w:r>
      <w:r>
        <w:t xml:space="preserve"> (правописание суффиксов разных частей речи, кроме –Н, -НН).</w:t>
      </w:r>
      <w:r/>
    </w:p>
    <w:p>
      <w:pPr>
        <w:pStyle w:val="940"/>
        <w:jc w:val="both"/>
        <w:tabs>
          <w:tab w:val="clear" w:pos="708" w:leader="none"/>
          <w:tab w:val="left" w:pos="770" w:leader="none"/>
        </w:tabs>
      </w:pPr>
      <w:r>
        <w:tab/>
        <w:t xml:space="preserve">Удовлетворительный уровень выполнения заданий по орфографии обусловлен тем, что формирование и отработка орфографических умений и навыков ведутся на протяжении всего изучения курса русского языка. </w:t>
      </w:r>
      <w:r/>
    </w:p>
    <w:p>
      <w:pPr>
        <w:pStyle w:val="940"/>
        <w:jc w:val="both"/>
        <w:tabs>
          <w:tab w:val="clear" w:pos="708" w:leader="none"/>
          <w:tab w:val="left" w:pos="770" w:leader="none"/>
        </w:tabs>
      </w:pPr>
      <w:r>
        <w:tab/>
        <w:t xml:space="preserve">В 2021 г., как и в 2020 г., значительную трудность у выпускников вызвали задания, проверяющие пунктуационные нормы. Процент соблюдения пунктуационных норм при выполнении экзаменационной работы более низкий, чем у заданий, проверяющих другие нормы.</w:t>
      </w:r>
      <w:r/>
    </w:p>
    <w:p>
      <w:pPr>
        <w:pStyle w:val="940"/>
        <w:jc w:val="both"/>
        <w:tabs>
          <w:tab w:val="clear" w:pos="708" w:leader="none"/>
          <w:tab w:val="left" w:pos="770" w:leader="none"/>
        </w:tabs>
      </w:pPr>
      <w:r>
        <w:tab/>
        <w:t xml:space="preserve">Есть вероятность того, что подобные трудности связаны с тем, что при изучении систематического курса «Синтаксис и пунктуация» недооценивается работа одновременно с синтаксической моделью и наблюдением над интонацией той или иной конструкции.</w:t>
      </w:r>
      <w:r/>
    </w:p>
    <w:p>
      <w:pPr>
        <w:pStyle w:val="940"/>
        <w:jc w:val="both"/>
        <w:tabs>
          <w:tab w:val="clear" w:pos="708" w:leader="none"/>
          <w:tab w:val="left" w:pos="770" w:leader="none"/>
        </w:tabs>
      </w:pPr>
      <w:r>
        <w:tab/>
        <w:t xml:space="preserve">Стабильность процента выполнения </w:t>
      </w:r>
      <w:r>
        <w:rPr>
          <w:b/>
        </w:rPr>
        <w:t xml:space="preserve">задания 19</w:t>
      </w:r>
      <w:r>
        <w:t xml:space="preserve"> (знаки препинания в сложноподчиненном предложении) связана с освоением этой темы учащимися с низким уровнем подготовки.</w:t>
      </w:r>
      <w:r/>
    </w:p>
    <w:p>
      <w:pPr>
        <w:pStyle w:val="940"/>
        <w:jc w:val="both"/>
        <w:tabs>
          <w:tab w:val="clear" w:pos="708" w:leader="none"/>
          <w:tab w:val="left" w:pos="770" w:leader="none"/>
        </w:tabs>
      </w:pPr>
      <w:r>
        <w:tab/>
        <w:t xml:space="preserve">Самым сложным заданием, проверяющим пунктуационные нормы, оказалось </w:t>
      </w:r>
      <w:r>
        <w:rPr>
          <w:b/>
        </w:rPr>
        <w:t xml:space="preserve">задание 20</w:t>
      </w:r>
      <w:r>
        <w:t xml:space="preserve"> (знаки препинания в</w:t>
      </w:r>
      <w:r>
        <w:t xml:space="preserve"> сложном предложении с разными видами связи). Особые затруднения у экзаменуемых при выполнении этого задания вызвали предложения с автономной придаточной частью, требующей выделения знаками препинания при отсутствии второй части подчинительного союза «то».</w:t>
      </w:r>
      <w:r/>
    </w:p>
    <w:p>
      <w:pPr>
        <w:pStyle w:val="940"/>
        <w:jc w:val="both"/>
        <w:tabs>
          <w:tab w:val="clear" w:pos="708" w:leader="none"/>
          <w:tab w:val="left" w:pos="770" w:leader="none"/>
        </w:tabs>
      </w:pPr>
      <w:r>
        <w:tab/>
        <w:t xml:space="preserve">В целом </w:t>
      </w:r>
      <w:r>
        <w:t xml:space="preserve">же можно говорить о том, что уровень практической пунктуационной грамотности экзаменуемых в 2021 г. по сравнению с 2020 г. не изменился и по-прежнему недостаточно высок. Это подтвердил анализ письменных высказываний, созданных экзаменуемыми при выполнении </w:t>
      </w:r>
      <w:r>
        <w:rPr>
          <w:b/>
        </w:rPr>
        <w:t xml:space="preserve">2 части</w:t>
      </w:r>
      <w:r>
        <w:t xml:space="preserve"> работы. Наиболее частотные ошибки связаны с темами «Пунктуация в предложениях с вводными конструкциями», «Пунктуация в предложениях с однородными членами», «Пунктуация в сложных предложениях, состоящих из нескольких частей».</w:t>
      </w:r>
      <w:r/>
    </w:p>
    <w:p>
      <w:pPr>
        <w:pStyle w:val="940"/>
        <w:jc w:val="both"/>
        <w:tabs>
          <w:tab w:val="clear" w:pos="708" w:leader="none"/>
          <w:tab w:val="left" w:pos="770" w:leader="none"/>
        </w:tabs>
      </w:pPr>
      <w:r>
        <w:tab/>
        <w:t xml:space="preserve">Выполнение экзаменационной работы показало, что остается недостаточно усвоенным раздел, связанный с анализом структуры текста (</w:t>
      </w:r>
      <w:r>
        <w:rPr>
          <w:b/>
        </w:rPr>
        <w:t xml:space="preserve">задание 22</w:t>
      </w:r>
      <w:r>
        <w:t xml:space="preserve">), выяснением способов и средств связи предложений в тексте (</w:t>
      </w:r>
      <w:r>
        <w:rPr>
          <w:b/>
        </w:rPr>
        <w:t xml:space="preserve">задание 25</w:t>
      </w:r>
      <w:r>
        <w:t xml:space="preserve">).</w:t>
      </w:r>
      <w:r/>
    </w:p>
    <w:p>
      <w:pPr>
        <w:pStyle w:val="940"/>
        <w:jc w:val="both"/>
        <w:tabs>
          <w:tab w:val="clear" w:pos="708" w:leader="none"/>
          <w:tab w:val="left" w:pos="770" w:leader="none"/>
        </w:tabs>
      </w:pPr>
      <w:r>
        <w:tab/>
        <w:t xml:space="preserve">По-прежнему для эк</w:t>
      </w:r>
      <w:r>
        <w:t xml:space="preserve">заменуемых остается сложным решение вопроса о типологическом строении текста. Средний процент выполнения задания в 2021 г. остался на уровне 2020 г. Самая распространенная ошибка была связана с определением функционально-смыслового типа речи повествования.</w:t>
      </w:r>
      <w:r/>
    </w:p>
    <w:p>
      <w:pPr>
        <w:pStyle w:val="940"/>
        <w:jc w:val="both"/>
        <w:tabs>
          <w:tab w:val="clear" w:pos="708" w:leader="none"/>
          <w:tab w:val="left" w:pos="770" w:leader="none"/>
        </w:tabs>
      </w:pPr>
      <w:r>
        <w:tab/>
        <w:t xml:space="preserve">Значительную трудность для экзаменуемых представляет распознавание местоимений того или иного разряда. Также выпускники часто не различают прилагательные и наречия, причастия и прилагательные, краткие прилагательные и глаголы, н</w:t>
      </w:r>
      <w:r>
        <w:t xml:space="preserve">аречия и частицы. Низкий процент выполнения задания обусловлен недостаточно прочными знаниями по морфологии. Поэтому в процессе преподавания следует больше внимания уделять раскрытию системных связей между уровнями языка и формировать аналитические умения.</w:t>
      </w:r>
      <w:r/>
    </w:p>
    <w:p>
      <w:pPr>
        <w:pStyle w:val="940"/>
        <w:jc w:val="both"/>
        <w:tabs>
          <w:tab w:val="clear" w:pos="708" w:leader="none"/>
          <w:tab w:val="left" w:pos="770" w:leader="none"/>
        </w:tabs>
      </w:pPr>
      <w:r>
        <w:tab/>
        <w:t xml:space="preserve">Выполнение </w:t>
      </w:r>
      <w:r>
        <w:rPr>
          <w:b/>
        </w:rPr>
        <w:t xml:space="preserve">задания 26</w:t>
      </w:r>
      <w:r>
        <w:t xml:space="preserve">, проверяющего умение находить изобраз</w:t>
      </w:r>
      <w:r>
        <w:t xml:space="preserve">ительно-выразительные средства, охарактеризованные в небольшой рецензии, с термином, указанным в списке, в 2021 г. по сравнению с 2020 г. дало положительную динамику: процент выполнения этого задания повысился. Основные ошибки участников экзамена связаны с</w:t>
      </w:r>
      <w:r>
        <w:t xml:space="preserve"> незнанием терминологии, отсутствием системного представления об основных стилистических ресурсах языковой системы. Лучше других средств выразительности в тексте опознаются функции просторечной лексики, вопросительных предложений, разговорных синтаксически</w:t>
      </w:r>
      <w:r>
        <w:t xml:space="preserve">х конструкций. Трудности возникали у тестируемых при выборе соответствующих терминов, называющих усиление признака в тексте (градация), переноса признаков с одного субъекта на другой (метафора) в случае лингвостилистического анализа художественного текста.</w:t>
      </w:r>
      <w:r/>
    </w:p>
    <w:p>
      <w:pPr>
        <w:pStyle w:val="940"/>
        <w:jc w:val="both"/>
        <w:tabs>
          <w:tab w:val="clear" w:pos="708" w:leader="none"/>
          <w:tab w:val="left" w:pos="770" w:leader="none"/>
        </w:tabs>
      </w:pPr>
      <w:r>
        <w:rPr>
          <w:b/>
        </w:rPr>
        <w:tab/>
        <w:t xml:space="preserve">Задание 21.</w:t>
      </w:r>
      <w:r>
        <w:t xml:space="preserve"> Сложность формирования пунктуационных умений заключается в том, что они предполагают и грамматико-синтаксичес</w:t>
      </w:r>
      <w:r>
        <w:t xml:space="preserve">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отвлеченной схемой, а выбор необходимого знака предполагает и</w:t>
      </w:r>
      <w:r>
        <w:t xml:space="preserve"> синтаксические, и пунктуационные умения, и способность соотносить конкретный материал со схемой, с образцом, и понимание смысловых оттенков той или иной конструкции. Этим обусловлен результат усвоения участниками экзамена пунктуационных норм. Как и в 2020</w:t>
      </w:r>
      <w:r>
        <w:t xml:space="preserve">, так и в 2021 году для анализа был предложен текст, пунктуационный анализ которого предполагал поиск конструкций с запятой, двоеточием, тире. Количество верных ответов в задании ограничивается только количеством предложений в тексте. Следует обратить вним</w:t>
      </w:r>
      <w:r>
        <w:t xml:space="preserve">ание на то, что содержание этого задания определяется кодификатором элементов содержания и требований к уровню подготовки для проведения единого государственного экзамена по русскому языку – одним из документов, определяющих структуру и содержание КИМ ЕГЭ.</w:t>
      </w:r>
      <w:r/>
    </w:p>
    <w:p>
      <w:pPr>
        <w:pStyle w:val="940"/>
        <w:jc w:val="both"/>
        <w:tabs>
          <w:tab w:val="clear" w:pos="708" w:leader="none"/>
          <w:tab w:val="left" w:pos="770" w:leader="none"/>
        </w:tabs>
      </w:pPr>
      <w:r>
        <w:tab/>
        <w:t xml:space="preserve">Подобный анализ, являющийся основой формирования лингви</w:t>
      </w:r>
      <w:r>
        <w:t xml:space="preserve">стической компетентности выпускников в области синтаксиса и пунктуации, развивает способность не только опознавать и анализировать языковые явления, но и правильно, стилистически уместно, выразительно употреблять их в собственной речи. Реализация данного а</w:t>
      </w:r>
      <w:r>
        <w:t xml:space="preserve">спекта в обучении требует повышенного внимания к семантической стороне языка и выяснению внутренней сути языкового явления, знакомства с разными типами языковых значений и формирования способности опираться на него при решении разнообразных языковых задач.</w:t>
      </w:r>
      <w:r/>
    </w:p>
    <w:p>
      <w:pPr>
        <w:pStyle w:val="940"/>
        <w:jc w:val="both"/>
        <w:tabs>
          <w:tab w:val="clear" w:pos="708" w:leader="none"/>
          <w:tab w:val="left" w:pos="770" w:leader="none"/>
        </w:tabs>
      </w:pPr>
      <w:r>
        <w:tab/>
        <w:t xml:space="preserve">В целом, следует отметить, что результаты единого государственного экзамена по русскому языку последних лет стабильны (выво</w:t>
      </w:r>
      <w:r>
        <w:t xml:space="preserve">д подтвержден сравнением результатов трёх последних лет). Однако при этом остаются недостаточно усвоенными разделы речеведения, связанные с интерпретацией содержания текста, комментарием проблематики текста, выяснением способов и средств связи предложений.</w:t>
      </w:r>
      <w:r/>
    </w:p>
    <w:p>
      <w:pPr>
        <w:pStyle w:val="940"/>
        <w:contextualSpacing/>
        <w:jc w:val="both"/>
        <w:spacing w:before="0" w:after="0"/>
        <w:rPr>
          <w:b/>
          <w:iCs/>
        </w:rPr>
      </w:pPr>
      <w:r>
        <w:rPr>
          <w:b/>
          <w:iCs/>
        </w:rPr>
      </w:r>
      <w:r/>
    </w:p>
    <w:p>
      <w:pPr>
        <w:pStyle w:val="940"/>
        <w:contextualSpacing/>
        <w:jc w:val="both"/>
        <w:spacing w:before="0" w:after="0"/>
        <w:rPr>
          <w:b/>
          <w:iCs/>
        </w:rPr>
      </w:pPr>
      <w:r>
        <w:rPr>
          <w:b/>
          <w:iCs/>
        </w:rPr>
        <w:t xml:space="preserve">Часть 2 (задание 27)</w:t>
      </w:r>
      <w:r/>
    </w:p>
    <w:p>
      <w:pPr>
        <w:pStyle w:val="940"/>
        <w:jc w:val="right"/>
        <w:keepNext/>
        <w:spacing w:before="0" w:after="200"/>
        <w:rPr>
          <w:bCs/>
          <w:i/>
          <w:sz w:val="18"/>
          <w:szCs w:val="18"/>
          <w:lang w:val="en-US"/>
        </w:rPr>
      </w:pPr>
      <w:r>
        <w:rPr>
          <w:bCs/>
          <w:i/>
          <w:sz w:val="18"/>
          <w:szCs w:val="18"/>
          <w:lang w:val="en-US"/>
        </w:rPr>
        <w:t xml:space="preserve">Таблица 2-13</w:t>
      </w:r>
      <w:r/>
    </w:p>
    <w:tbl>
      <w:tblPr>
        <w:tblW w:w="9877" w:type="dxa"/>
        <w:jc w:val="right"/>
        <w:tblInd w:w="0" w:type="dxa"/>
        <w:tblLayout w:type="fixed"/>
        <w:tblCellMar>
          <w:left w:w="57" w:type="dxa"/>
          <w:top w:w="0" w:type="dxa"/>
          <w:right w:w="57" w:type="dxa"/>
          <w:bottom w:w="0" w:type="dxa"/>
        </w:tblCellMar>
        <w:tblLook w:val="04A0" w:firstRow="1" w:lastRow="0" w:firstColumn="1" w:lastColumn="0" w:noHBand="0" w:noVBand="1"/>
      </w:tblPr>
      <w:tblGrid>
        <w:gridCol w:w="851"/>
        <w:gridCol w:w="1048"/>
        <w:gridCol w:w="1276"/>
        <w:gridCol w:w="1134"/>
        <w:gridCol w:w="1272"/>
        <w:gridCol w:w="1204"/>
        <w:gridCol w:w="1203"/>
        <w:gridCol w:w="1889"/>
      </w:tblGrid>
      <w:tr>
        <w:trPr>
          <w:cantSplit/>
          <w:trHeight w:val="313"/>
          <w:tblHeader/>
        </w:trPr>
        <w:tc>
          <w:tcPr>
            <w:tcBorders>
              <w:top w:val="single" w:color="000000" w:sz="8" w:space="0"/>
              <w:left w:val="single" w:color="000000" w:sz="8" w:space="0"/>
            </w:tcBorders>
            <w:tcW w:w="851"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1048"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276"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6702" w:type="dxa"/>
            <w:textDirection w:val="lrTb"/>
            <w:noWrap w:val="false"/>
          </w:tcPr>
          <w:p>
            <w:pPr>
              <w:pStyle w:val="940"/>
              <w:jc w:val="center"/>
            </w:pPr>
            <w:r>
              <w:t xml:space="preserve">Процент выполнения задания </w:t>
              <w:br/>
              <w:t xml:space="preserve">в субъекте Российской Федерации</w:t>
            </w:r>
            <w:r/>
          </w:p>
        </w:tc>
      </w:tr>
      <w:tr>
        <w:trPr>
          <w:cantSplit/>
          <w:trHeight w:val="635"/>
          <w:tblHeader/>
        </w:trPr>
        <w:tc>
          <w:tcPr>
            <w:tcBorders>
              <w:top w:val="single" w:color="000000" w:sz="8" w:space="0"/>
              <w:left w:val="single" w:color="000000" w:sz="8" w:space="0"/>
            </w:tcBorders>
            <w:tcW w:w="851"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048"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276"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sz w:val="18"/>
              </w:rPr>
            </w:pPr>
            <w:r>
              <w:rPr>
                <w:sz w:val="18"/>
              </w:rPr>
              <w:t xml:space="preserve">средний</w:t>
            </w:r>
            <w:r/>
          </w:p>
        </w:tc>
        <w:tc>
          <w:tcPr>
            <w:tcBorders>
              <w:top w:val="single" w:color="000000" w:sz="8" w:space="0"/>
              <w:left w:val="single" w:color="000000" w:sz="8" w:space="0"/>
              <w:bottom w:val="single" w:color="000000" w:sz="8" w:space="0"/>
            </w:tcBorders>
            <w:tcW w:w="1272" w:type="dxa"/>
            <w:textDirection w:val="lrTb"/>
            <w:noWrap w:val="false"/>
          </w:tcPr>
          <w:p>
            <w:pPr>
              <w:pStyle w:val="940"/>
              <w:jc w:val="center"/>
              <w:rPr>
                <w:bCs/>
                <w:sz w:val="18"/>
              </w:rPr>
            </w:pPr>
            <w:r>
              <w:rPr>
                <w:bCs/>
                <w:sz w:val="18"/>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rPr>
                <w:bCs/>
                <w:sz w:val="18"/>
              </w:rPr>
            </w:pPr>
            <w:r>
              <w:rPr>
                <w:bCs/>
                <w:sz w:val="18"/>
              </w:rPr>
              <w:t xml:space="preserve">в группе от минимального до 60 т.б.</w:t>
            </w:r>
            <w:r/>
          </w:p>
        </w:tc>
        <w:tc>
          <w:tcPr>
            <w:tcBorders>
              <w:top w:val="single" w:color="000000" w:sz="8" w:space="0"/>
              <w:left w:val="single" w:color="000000" w:sz="8" w:space="0"/>
              <w:bottom w:val="single" w:color="000000" w:sz="8" w:space="0"/>
            </w:tcBorders>
            <w:tcW w:w="1203" w:type="dxa"/>
            <w:vAlign w:val="center"/>
            <w:textDirection w:val="lrTb"/>
            <w:noWrap w:val="false"/>
          </w:tcPr>
          <w:p>
            <w:pPr>
              <w:pStyle w:val="940"/>
              <w:jc w:val="center"/>
              <w:rPr>
                <w:bCs/>
                <w:sz w:val="18"/>
              </w:rPr>
            </w:pPr>
            <w:r>
              <w:rPr>
                <w:bCs/>
                <w:sz w:val="18"/>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889" w:type="dxa"/>
            <w:vAlign w:val="center"/>
            <w:textDirection w:val="lrTb"/>
            <w:noWrap w:val="false"/>
          </w:tcPr>
          <w:p>
            <w:pPr>
              <w:pStyle w:val="940"/>
              <w:jc w:val="center"/>
              <w:rPr>
                <w:bCs/>
                <w:sz w:val="18"/>
              </w:rPr>
            </w:pPr>
            <w:r>
              <w:rPr>
                <w:bCs/>
                <w:sz w:val="18"/>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 (к1)</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Формулировка проблем исходного текста</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98,64</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95,02</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99,72</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27(к2)</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Комментарий к сформулированной проблеме исходного текста</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74,59</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53,24</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75,98</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90,65</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 (к3)</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Отражение позиции автора исходного текста</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95,19</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85,40</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97,36</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99,90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27(к4)</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Отношение к позиции автора по проблеме исходного текста</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92,02</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78,68</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94,50</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99,20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27(к5)</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Смысловая цельность, речевая связность и последовательность изложения</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78,90</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60,60</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79,53</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93,70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27(к6)</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Точность и выразительность речи</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65,75</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51,04</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63,21</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83,20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27(к7)</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орфографических норм</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72,09</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46,66</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73,80</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91,07</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27(к8)</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пунктуационных норм</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49,09</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15,84</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47,77</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80,30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27(к9)</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языковых норм</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65,73</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42,87</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65,13</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86,65</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27(к10)</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речевых норм</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64,19</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44,61</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62,74</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83,85</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27(к11)</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этических норм</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98,94</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95,94</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99,89</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851" w:type="dxa"/>
            <w:vAlign w:val="bottom"/>
            <w:textDirection w:val="lrTb"/>
            <w:noWrap w:val="false"/>
          </w:tcPr>
          <w:p>
            <w:pPr>
              <w:pStyle w:val="940"/>
              <w:jc w:val="center"/>
              <w:rPr>
                <w:color w:val="000000"/>
                <w:sz w:val="22"/>
                <w:szCs w:val="22"/>
              </w:rPr>
            </w:pPr>
            <w:r>
              <w:rPr>
                <w:color w:val="000000"/>
                <w:sz w:val="22"/>
                <w:szCs w:val="22"/>
              </w:rPr>
              <w:t xml:space="preserve">27(к12)</w:t>
            </w:r>
            <w:r/>
          </w:p>
        </w:tc>
        <w:tc>
          <w:tcPr>
            <w:tcBorders>
              <w:top w:val="single" w:color="000000" w:sz="8" w:space="0"/>
              <w:left w:val="single" w:color="000000" w:sz="8" w:space="0"/>
              <w:bottom w:val="single" w:color="000000" w:sz="8" w:space="0"/>
            </w:tcBorders>
            <w:tcW w:w="1048" w:type="dxa"/>
            <w:vAlign w:val="center"/>
            <w:textDirection w:val="lrTb"/>
            <w:noWrap w:val="false"/>
          </w:tcPr>
          <w:p>
            <w:pPr>
              <w:pStyle w:val="940"/>
              <w:tabs>
                <w:tab w:val="clear" w:pos="708" w:leader="none"/>
                <w:tab w:val="left" w:pos="770" w:leader="none"/>
              </w:tabs>
            </w:pPr>
            <w:r>
              <w:t xml:space="preserve">Соблюдение фактологической точности в фоновом материале</w:t>
            </w:r>
            <w:r/>
          </w:p>
        </w:tc>
        <w:tc>
          <w:tcPr>
            <w:tcBorders>
              <w:top w:val="single" w:color="000000" w:sz="8" w:space="0"/>
              <w:left w:val="single" w:color="000000" w:sz="8" w:space="0"/>
              <w:bottom w:val="single" w:color="000000" w:sz="8" w:space="0"/>
            </w:tcBorders>
            <w:tcW w:w="1276" w:type="dxa"/>
            <w:vAlign w:val="center"/>
            <w:textDirection w:val="lrTb"/>
            <w:noWrap w:val="false"/>
          </w:tcPr>
          <w:p>
            <w:pPr>
              <w:pStyle w:val="940"/>
              <w:jc w:val="center"/>
              <w:tabs>
                <w:tab w:val="clear" w:pos="708" w:leader="none"/>
                <w:tab w:val="left" w:pos="770" w:leader="none"/>
              </w:tabs>
              <w:rPr>
                <w:b/>
              </w:rPr>
            </w:pPr>
            <w:r>
              <w:rPr>
                <w:b/>
              </w:rPr>
              <w:t xml:space="preserve">П</w:t>
            </w:r>
            <w:r/>
          </w:p>
        </w:tc>
        <w:tc>
          <w:tcPr>
            <w:tcBorders>
              <w:top w:val="single" w:color="000000" w:sz="8" w:space="0"/>
              <w:left w:val="single" w:color="000000" w:sz="8" w:space="0"/>
              <w:bottom w:val="single" w:color="000000" w:sz="8" w:space="0"/>
            </w:tcBorders>
            <w:tcW w:w="1134" w:type="dxa"/>
            <w:vAlign w:val="bottom"/>
            <w:textDirection w:val="lrTb"/>
            <w:noWrap w:val="false"/>
          </w:tcPr>
          <w:p>
            <w:pPr>
              <w:pStyle w:val="940"/>
              <w:jc w:val="center"/>
              <w:rPr>
                <w:color w:val="000000"/>
                <w:sz w:val="22"/>
                <w:szCs w:val="22"/>
              </w:rPr>
            </w:pPr>
            <w:r>
              <w:rPr>
                <w:color w:val="000000"/>
                <w:sz w:val="22"/>
                <w:szCs w:val="22"/>
              </w:rPr>
              <w:t xml:space="preserve">96,88</w:t>
            </w:r>
            <w:r/>
          </w:p>
        </w:tc>
        <w:tc>
          <w:tcPr>
            <w:tcBorders>
              <w:top w:val="single" w:color="000000" w:sz="8" w:space="0"/>
              <w:left w:val="single" w:color="000000" w:sz="8" w:space="0"/>
              <w:bottom w:val="single" w:color="000000" w:sz="8" w:space="0"/>
            </w:tcBorders>
            <w:tcW w:w="1272" w:type="dxa"/>
            <w:vAlign w:val="bottom"/>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1204" w:type="dxa"/>
            <w:vAlign w:val="bottom"/>
            <w:textDirection w:val="lrTb"/>
            <w:noWrap w:val="false"/>
          </w:tcPr>
          <w:p>
            <w:pPr>
              <w:pStyle w:val="940"/>
              <w:jc w:val="center"/>
              <w:rPr>
                <w:color w:val="000000"/>
                <w:sz w:val="22"/>
                <w:szCs w:val="22"/>
              </w:rPr>
            </w:pPr>
            <w:r>
              <w:rPr>
                <w:color w:val="000000"/>
                <w:sz w:val="22"/>
                <w:szCs w:val="22"/>
              </w:rPr>
              <w:t xml:space="preserve">91,54</w:t>
            </w:r>
            <w:r/>
          </w:p>
        </w:tc>
        <w:tc>
          <w:tcPr>
            <w:tcBorders>
              <w:top w:val="single" w:color="000000" w:sz="8" w:space="0"/>
              <w:left w:val="single" w:color="000000" w:sz="8" w:space="0"/>
              <w:bottom w:val="single" w:color="000000" w:sz="8" w:space="0"/>
            </w:tcBorders>
            <w:tcW w:w="1203" w:type="dxa"/>
            <w:vAlign w:val="bottom"/>
            <w:textDirection w:val="lrTb"/>
            <w:noWrap w:val="false"/>
          </w:tcPr>
          <w:p>
            <w:pPr>
              <w:pStyle w:val="940"/>
              <w:jc w:val="center"/>
              <w:rPr>
                <w:color w:val="000000"/>
                <w:sz w:val="22"/>
                <w:szCs w:val="22"/>
              </w:rPr>
            </w:pPr>
            <w:r>
              <w:rPr>
                <w:color w:val="000000"/>
                <w:sz w:val="22"/>
                <w:szCs w:val="22"/>
              </w:rPr>
              <w:t xml:space="preserve">98,07</w:t>
            </w:r>
            <w:r/>
          </w:p>
        </w:tc>
        <w:tc>
          <w:tcPr>
            <w:tcBorders>
              <w:top w:val="single" w:color="000000" w:sz="8" w:space="0"/>
              <w:left w:val="single" w:color="000000" w:sz="8" w:space="0"/>
              <w:bottom w:val="single" w:color="000000" w:sz="8" w:space="0"/>
              <w:right w:val="single" w:color="000000" w:sz="8" w:space="0"/>
            </w:tcBorders>
            <w:tcW w:w="1889" w:type="dxa"/>
            <w:vAlign w:val="bottom"/>
            <w:textDirection w:val="lrTb"/>
            <w:noWrap w:val="false"/>
          </w:tcPr>
          <w:p>
            <w:pPr>
              <w:pStyle w:val="940"/>
              <w:jc w:val="center"/>
              <w:rPr>
                <w:color w:val="000000"/>
                <w:sz w:val="22"/>
                <w:szCs w:val="22"/>
              </w:rPr>
            </w:pPr>
            <w:r>
              <w:rPr>
                <w:color w:val="000000"/>
                <w:sz w:val="22"/>
                <w:szCs w:val="22"/>
              </w:rPr>
              <w:t xml:space="preserve">99,50</w:t>
            </w:r>
            <w:r/>
          </w:p>
        </w:tc>
      </w:tr>
    </w:tbl>
    <w:p>
      <w:pPr>
        <w:pStyle w:val="940"/>
        <w:jc w:val="both"/>
        <w:tabs>
          <w:tab w:val="clear" w:pos="708" w:leader="none"/>
          <w:tab w:val="left" w:pos="770" w:leader="none"/>
        </w:tabs>
      </w:pPr>
      <w:r/>
      <w:r/>
    </w:p>
    <w:p>
      <w:pPr>
        <w:pStyle w:val="940"/>
        <w:jc w:val="both"/>
        <w:tabs>
          <w:tab w:val="clear" w:pos="708" w:leader="none"/>
          <w:tab w:val="left" w:pos="770" w:leader="none"/>
        </w:tabs>
      </w:pPr>
      <w:r>
        <w:tab/>
        <w:t xml:space="preserve">Особенности контроля и аттестации выпускников при проведении ЕГЭ по русскому языку определяются спецификой предмета, конечными целями обучения и назначением экзаменационной работы.</w:t>
      </w:r>
      <w:r/>
    </w:p>
    <w:p>
      <w:pPr>
        <w:pStyle w:val="940"/>
        <w:jc w:val="both"/>
        <w:tabs>
          <w:tab w:val="clear" w:pos="708" w:leader="none"/>
          <w:tab w:val="left" w:pos="770" w:leader="none"/>
        </w:tabs>
      </w:pPr>
      <w:r>
        <w:tab/>
        <w:t xml:space="preserve">Современный этап развит</w:t>
      </w:r>
      <w:r>
        <w:t xml:space="preserve">ия методики преподавания русского языка характеризуют новые подходы к определению целей обучения. Цели обучения, его содержание (знания, умения и навыки) определяются через понятия языковой, лингвистической, коммуникативной и культуроведческой компетенций.</w:t>
      </w:r>
      <w:r/>
    </w:p>
    <w:p>
      <w:pPr>
        <w:pStyle w:val="940"/>
        <w:jc w:val="both"/>
        <w:tabs>
          <w:tab w:val="clear" w:pos="708" w:leader="none"/>
          <w:tab w:val="left" w:pos="770" w:leader="none"/>
        </w:tabs>
      </w:pPr>
      <w:r>
        <w:tab/>
        <w:t xml:space="preserve">Изучая язык, как систему, и овладевая лингвистическими знаниями, школьники одновременно обучаются речи на родном языке – осознают и осмысливают через понятия и правила с</w:t>
      </w:r>
      <w:r>
        <w:t xml:space="preserve">вою уже сложившуюся речевую практику и на этой основе корректируют и совершенствуют устную и письменную речь. Экзаменационная работа составлена так, что позволяет проверить, в какой степени у выпускников средней школы сформирована каждая из четырех компете</w:t>
      </w:r>
      <w:r>
        <w:t xml:space="preserve">нций – языковая, лингвистическая, коммуникативная и культуроведческая. Двоякая функция ЕГЭ – аттестовать выпускников общеобразовательных школ и отобрать среди них наиболее подготовленных учащихся для продолжения обучения в вузе – определяет структуру и сод</w:t>
      </w:r>
      <w:r>
        <w:t xml:space="preserve">ержание экзаменационной работы. В ней, помимо заданий базового уровня, имеются задания повышенного и высокого уровней сложности, обладающие большой дифференцирующей силой. Именно эти задания позволяют выделить из числа экзаменуемых наиболее подготовленных.</w:t>
      </w:r>
      <w:r/>
    </w:p>
    <w:p>
      <w:pPr>
        <w:pStyle w:val="940"/>
        <w:jc w:val="both"/>
        <w:tabs>
          <w:tab w:val="clear" w:pos="708" w:leader="none"/>
          <w:tab w:val="left" w:pos="770" w:leader="none"/>
        </w:tabs>
      </w:pPr>
      <w:r>
        <w:tab/>
        <w:t xml:space="preserve">В работе использованы два типа заданий: задания с кратким ответом и задание с развернутым ответом.</w:t>
      </w:r>
      <w:r/>
    </w:p>
    <w:p>
      <w:pPr>
        <w:pStyle w:val="940"/>
        <w:jc w:val="both"/>
        <w:tabs>
          <w:tab w:val="clear" w:pos="708" w:leader="none"/>
          <w:tab w:val="left" w:pos="770" w:leader="none"/>
        </w:tabs>
      </w:pPr>
      <w:r>
        <w:tab/>
        <w:t xml:space="preserve">Большая часть заданий</w:t>
      </w:r>
      <w:r>
        <w:t xml:space="preserve"> с кратким ответом проверяет сформированность базовой языковой компетенции экзаменуемых: умение выявлять соответствие (или несоответствие) какой-либо речевой единицы языковой норме, а также умение на базовом уровне опознавать языковые единицы и классифицир</w:t>
      </w:r>
      <w:r>
        <w:t xml:space="preserve">овать их. Несколько заданий проверяет сформированность коммуникативной компетенции экзаменуемых – способность понимать высказывание, связно и логично строить текст. В целом задания с кратким ответом проверяют подготовку по русскому языку на базовом уровне.</w:t>
      </w:r>
      <w:r/>
    </w:p>
    <w:p>
      <w:pPr>
        <w:pStyle w:val="940"/>
        <w:jc w:val="both"/>
        <w:tabs>
          <w:tab w:val="clear" w:pos="708" w:leader="none"/>
          <w:tab w:val="left" w:pos="770" w:leader="none"/>
        </w:tabs>
      </w:pPr>
      <w:r>
        <w:tab/>
        <w:t xml:space="preserve">При этом есть задания с кратким ответом, которые ориентированы главным образом на проверку лингвист</w:t>
      </w:r>
      <w:r>
        <w:t xml:space="preserve">ической компетенции экзаменуемых. В заданиях этого типа для анализа предлагается более сложный, чем в заданиях базового уровня, языковой материал, причем предъявляется он как в виде изолированных языковых примеров (предложений), так и на материале текста. </w:t>
      </w:r>
      <w:r/>
    </w:p>
    <w:p>
      <w:pPr>
        <w:pStyle w:val="940"/>
        <w:jc w:val="both"/>
        <w:tabs>
          <w:tab w:val="clear" w:pos="708" w:leader="none"/>
          <w:tab w:val="left" w:pos="770" w:leader="none"/>
        </w:tabs>
      </w:pPr>
      <w:r>
        <w:tab/>
        <w:t xml:space="preserve">В целом задания к тексту представляют собой многоаспектный анализ текста (смысловой, композиционный, типологический, стилистический, языковой) и являются заданиями базового, высокого и повышенного уровней сложности.</w:t>
      </w:r>
      <w:r/>
    </w:p>
    <w:p>
      <w:pPr>
        <w:pStyle w:val="940"/>
        <w:jc w:val="both"/>
        <w:tabs>
          <w:tab w:val="clear" w:pos="708" w:leader="none"/>
          <w:tab w:val="left" w:pos="770" w:leader="none"/>
        </w:tabs>
      </w:pPr>
      <w:r>
        <w:rPr>
          <w:b/>
        </w:rPr>
        <w:tab/>
        <w:t xml:space="preserve">Задание с развернутым ответом</w:t>
      </w:r>
      <w:r>
        <w:t xml:space="preserve"> </w:t>
      </w:r>
      <w:r>
        <w:rPr>
          <w:b/>
        </w:rPr>
        <w:t xml:space="preserve">(27)</w:t>
      </w:r>
      <w:r>
        <w:t xml:space="preserve"> – это сочинение на основе предложенного текста. Задание, являясь заданием повышенного уровня сложности, проверяет сформированность отдельных коммуникативных умений и навыков:</w:t>
      </w:r>
      <w:r/>
    </w:p>
    <w:p>
      <w:pPr>
        <w:pStyle w:val="940"/>
        <w:jc w:val="both"/>
        <w:tabs>
          <w:tab w:val="clear" w:pos="708" w:leader="none"/>
          <w:tab w:val="left" w:pos="770" w:leader="none"/>
        </w:tabs>
      </w:pPr>
      <w:r>
        <w:tab/>
        <w:t xml:space="preserve">1) анализировать содержание и проблематику прочитанного текста;</w:t>
      </w:r>
      <w:r/>
    </w:p>
    <w:p>
      <w:pPr>
        <w:pStyle w:val="940"/>
        <w:jc w:val="both"/>
        <w:tabs>
          <w:tab w:val="clear" w:pos="708" w:leader="none"/>
          <w:tab w:val="left" w:pos="770" w:leader="none"/>
        </w:tabs>
      </w:pPr>
      <w:r>
        <w:tab/>
        <w:t xml:space="preserve">2) комментировать главную проблему исходного текста;</w:t>
      </w:r>
      <w:r/>
    </w:p>
    <w:p>
      <w:pPr>
        <w:pStyle w:val="940"/>
        <w:jc w:val="both"/>
        <w:tabs>
          <w:tab w:val="clear" w:pos="708" w:leader="none"/>
          <w:tab w:val="left" w:pos="770" w:leader="none"/>
        </w:tabs>
      </w:pPr>
      <w:r>
        <w:tab/>
        <w:t xml:space="preserve">3) определять позицию автора текста по заявленной проблеме;</w:t>
      </w:r>
      <w:r/>
    </w:p>
    <w:p>
      <w:pPr>
        <w:pStyle w:val="940"/>
        <w:jc w:val="both"/>
        <w:tabs>
          <w:tab w:val="clear" w:pos="708" w:leader="none"/>
          <w:tab w:val="left" w:pos="770" w:leader="none"/>
        </w:tabs>
      </w:pPr>
      <w:r>
        <w:tab/>
        <w:t xml:space="preserve">4) выражать и аргументировать собственное мнение;</w:t>
      </w:r>
      <w:r/>
    </w:p>
    <w:p>
      <w:pPr>
        <w:pStyle w:val="940"/>
        <w:jc w:val="both"/>
        <w:tabs>
          <w:tab w:val="clear" w:pos="708" w:leader="none"/>
          <w:tab w:val="left" w:pos="770" w:leader="none"/>
        </w:tabs>
      </w:pPr>
      <w:r>
        <w:tab/>
        <w:t xml:space="preserve">5) последовательно и логично излагать мысли;</w:t>
      </w:r>
      <w:r/>
    </w:p>
    <w:p>
      <w:pPr>
        <w:pStyle w:val="940"/>
        <w:jc w:val="both"/>
        <w:tabs>
          <w:tab w:val="clear" w:pos="708" w:leader="none"/>
          <w:tab w:val="left" w:pos="770" w:leader="none"/>
        </w:tabs>
      </w:pPr>
      <w:r>
        <w:tab/>
        <w:t xml:space="preserve">6) использовать в речи разнообразные грамматические формы и лексическое богатство языка;</w:t>
      </w:r>
      <w:r/>
    </w:p>
    <w:p>
      <w:pPr>
        <w:pStyle w:val="940"/>
        <w:jc w:val="both"/>
        <w:tabs>
          <w:tab w:val="clear" w:pos="708" w:leader="none"/>
          <w:tab w:val="left" w:pos="770" w:leader="none"/>
        </w:tabs>
      </w:pPr>
      <w:r>
        <w:tab/>
        <w:t xml:space="preserve">7) практическую грамотность – навыки оформления высказывания в соответствии с орфографическими, пунктуационными, грамматическими и речевыми нормами современного русского литературного языка.</w:t>
      </w:r>
      <w:r/>
    </w:p>
    <w:p>
      <w:pPr>
        <w:pStyle w:val="940"/>
        <w:jc w:val="both"/>
        <w:tabs>
          <w:tab w:val="clear" w:pos="708" w:leader="none"/>
          <w:tab w:val="left" w:pos="770" w:leader="none"/>
        </w:tabs>
      </w:pPr>
      <w:r>
        <w:tab/>
        <w:t xml:space="preserve">Таким образом, вторая часть экзаменационной работы проверяет состояние практических речевых умений и нав</w:t>
      </w:r>
      <w:r>
        <w:t xml:space="preserve">ыков и дает представление о том, владеют ли экзаменуемые монологической речью, умеют ли аргументированно и грамотно излагать свою точку зрения, что немаловажно не только для успешной учебной деятельности, но и для дальнейшего профессионального образования.</w:t>
      </w:r>
      <w:r/>
    </w:p>
    <w:p>
      <w:pPr>
        <w:pStyle w:val="940"/>
        <w:jc w:val="both"/>
        <w:tabs>
          <w:tab w:val="clear" w:pos="708" w:leader="none"/>
          <w:tab w:val="left" w:pos="770" w:leader="none"/>
        </w:tabs>
      </w:pPr>
      <w:r>
        <w:tab/>
        <w:t xml:space="preserve">Кроме того, сочинение на основе ис</w:t>
      </w:r>
      <w:r>
        <w:t xml:space="preserve">ходного текста призвано показать сформированность культуроведческой компетенции, потому что прямо или косвенно дает представление в части аргументации собственного мнения о широте кругозора экзаменуемых, их начитанности и общей культурной образованности.  </w:t>
      </w:r>
      <w:r/>
    </w:p>
    <w:p>
      <w:pPr>
        <w:pStyle w:val="940"/>
        <w:jc w:val="both"/>
        <w:tabs>
          <w:tab w:val="clear" w:pos="708" w:leader="none"/>
          <w:tab w:val="left" w:pos="770" w:leader="none"/>
        </w:tabs>
      </w:pPr>
      <w:r>
        <w:tab/>
        <w:t xml:space="preserve">Результаты выполнения </w:t>
      </w:r>
      <w:r>
        <w:rPr>
          <w:b/>
        </w:rPr>
        <w:t xml:space="preserve">задания 27</w:t>
      </w:r>
      <w:r>
        <w:t xml:space="preserve">, позволяющего в достаточно полном объеме проверить и объективно оценить речевую подготовку и практическую грамотность участников экзамена, в целом сопоставимы с результатами выполнения этого задания                            в 2020 г.</w:t>
      </w:r>
      <w:r/>
    </w:p>
    <w:p>
      <w:pPr>
        <w:pStyle w:val="940"/>
        <w:jc w:val="both"/>
        <w:tabs>
          <w:tab w:val="clear" w:pos="708" w:leader="none"/>
          <w:tab w:val="left" w:pos="770" w:leader="none"/>
        </w:tabs>
      </w:pPr>
      <w:r>
        <w:tab/>
        <w:t xml:space="preserve">Анализ сочинений части 2 также позволяет говорить о значительном количестве грамматических ошибок (нарушения норм согласования и управле</w:t>
      </w:r>
      <w:r>
        <w:t xml:space="preserve">ния, неверное употребление конструкций с однородными членами, прямой и косвенной речью, нарушения границ предложений и др.) и речевых нарушений (плеоназм, тавтология, неверное употребление слова, немотивированное использование просторечной лексики и др.). </w:t>
      </w:r>
      <w:r/>
    </w:p>
    <w:p>
      <w:pPr>
        <w:pStyle w:val="940"/>
        <w:jc w:val="both"/>
        <w:tabs>
          <w:tab w:val="clear" w:pos="708" w:leader="none"/>
          <w:tab w:val="left" w:pos="770" w:leader="none"/>
        </w:tabs>
      </w:pPr>
      <w:r>
        <w:tab/>
        <w:t xml:space="preserve">Это привело, как было показано в таблице, к невысоким показателям по критериям:</w:t>
      </w:r>
      <w:r/>
    </w:p>
    <w:p>
      <w:pPr>
        <w:pStyle w:val="940"/>
        <w:jc w:val="both"/>
        <w:tabs>
          <w:tab w:val="clear" w:pos="708" w:leader="none"/>
          <w:tab w:val="left" w:pos="770" w:leader="none"/>
        </w:tabs>
      </w:pPr>
      <w:r>
        <w:tab/>
        <w:t xml:space="preserve">К6 (получили 2 балла только 32,89% участников экзамена, 1 балл - 65,74%) - понижение;</w:t>
      </w:r>
      <w:r/>
    </w:p>
    <w:p>
      <w:pPr>
        <w:pStyle w:val="940"/>
        <w:jc w:val="both"/>
        <w:tabs>
          <w:tab w:val="clear" w:pos="708" w:leader="none"/>
          <w:tab w:val="left" w:pos="770" w:leader="none"/>
        </w:tabs>
      </w:pPr>
      <w:r>
        <w:tab/>
        <w:t xml:space="preserve">К9 (получили 2 балла только 40,93% участников экзамена, 1 балл - 49,59%)- понижение/повышение;</w:t>
      </w:r>
      <w:r/>
    </w:p>
    <w:p>
      <w:pPr>
        <w:pStyle w:val="940"/>
        <w:jc w:val="both"/>
        <w:tabs>
          <w:tab w:val="clear" w:pos="708" w:leader="none"/>
          <w:tab w:val="left" w:pos="770" w:leader="none"/>
        </w:tabs>
      </w:pPr>
      <w:r>
        <w:tab/>
        <w:t xml:space="preserve">К10 (получили 2 балла только 37,45% участников экзамена, 1 балл - 51,48%) – понижение/повышение.</w:t>
      </w:r>
      <w:r/>
    </w:p>
    <w:p>
      <w:pPr>
        <w:pStyle w:val="940"/>
        <w:jc w:val="both"/>
        <w:tabs>
          <w:tab w:val="clear" w:pos="708" w:leader="none"/>
          <w:tab w:val="left" w:pos="770" w:leader="none"/>
        </w:tabs>
      </w:pPr>
      <w:r>
        <w:tab/>
        <w:t xml:space="preserve">Кроме того, выполнение задания с развернутым ответом (27) продемонстрировало наиболее распространенные ошибки, связанные с информационной обработкой текста и изложением собственных мыслей по поводу прочитанного. По </w:t>
      </w:r>
      <w:r>
        <w:rPr>
          <w:b/>
        </w:rPr>
        <w:t xml:space="preserve">критерию К2</w:t>
      </w:r>
      <w:r>
        <w:t xml:space="preserve"> (комментирование обозначенной проблемы исходного текста) получили: </w:t>
      </w:r>
      <w:r/>
    </w:p>
    <w:p>
      <w:pPr>
        <w:pStyle w:val="940"/>
        <w:jc w:val="both"/>
        <w:tabs>
          <w:tab w:val="clear" w:pos="708" w:leader="none"/>
          <w:tab w:val="left" w:pos="770" w:leader="none"/>
        </w:tabs>
      </w:pPr>
      <w:r>
        <mc:AlternateContent>
          <mc:Choice Requires="wpg">
            <w:drawing>
              <wp:anchor xmlns:wp="http://schemas.openxmlformats.org/drawingml/2006/wordprocessingDrawing" distT="0" distB="0" distL="114935" distR="114935" simplePos="0" relativeHeight="25" behindDoc="0" locked="0" layoutInCell="0" allowOverlap="1">
                <wp:simplePos x="0" y="0"/>
                <wp:positionH relativeFrom="column">
                  <wp:posOffset>2502535</wp:posOffset>
                </wp:positionH>
                <wp:positionV relativeFrom="paragraph">
                  <wp:posOffset>36830</wp:posOffset>
                </wp:positionV>
                <wp:extent cx="105410" cy="324485"/>
                <wp:effectExtent l="0" t="0" r="0" b="0"/>
                <wp:wrapNone/>
                <wp:docPr id="2" name="" hidden="0"/>
                <wp:cNvGraphicFramePr/>
                <a:graphic xmlns:a="http://schemas.openxmlformats.org/drawingml/2006/main">
                  <a:graphicData uri="http://schemas.microsoft.com/office/word/2010/wordprocessingShape">
                    <wps:wsp>
                      <wps:cNvPr id="0" name=""/>
                      <wps:cNvSpPr/>
                      <wps:spPr bwMode="auto">
                        <a:xfrm>
                          <a:off x="0" y="0"/>
                          <a:ext cx="104760" cy="324000"/>
                        </a:xfrm>
                        <a:custGeom>
                          <a:avLst/>
                          <a:gdLst/>
                          <a:ahLst/>
                          <a:cxnLst/>
                          <a:rect l="0" t="0" r="r" b="b"/>
                          <a:pathLst>
                            <a:path w="167" h="512" fill="norm" stroke="1" extrusionOk="0">
                              <a:moveTo>
                                <a:pt x="0" y="0"/>
                              </a:moveTo>
                              <a:cubicBezTo>
                                <a:pt x="41" y="0"/>
                                <a:pt x="83" y="21"/>
                                <a:pt x="83" y="42"/>
                              </a:cubicBezTo>
                              <a:lnTo>
                                <a:pt x="83" y="212"/>
                              </a:lnTo>
                              <a:cubicBezTo>
                                <a:pt x="83" y="234"/>
                                <a:pt x="124" y="255"/>
                                <a:pt x="166" y="255"/>
                              </a:cubicBezTo>
                              <a:cubicBezTo>
                                <a:pt x="124" y="255"/>
                                <a:pt x="83" y="276"/>
                                <a:pt x="83" y="298"/>
                              </a:cubicBezTo>
                              <a:lnTo>
                                <a:pt x="83" y="468"/>
                              </a:lnTo>
                              <a:cubicBezTo>
                                <a:pt x="83" y="489"/>
                                <a:pt x="41" y="511"/>
                                <a:pt x="0" y="511"/>
                              </a:cubicBezTo>
                            </a:path>
                          </a:pathLst>
                        </a:custGeom>
                        <a:noFill/>
                        <a:ln w="9360">
                          <a:solidFill>
                            <a:srgbClr val="000000"/>
                          </a:solidFill>
                          <a:miter/>
                        </a:ln>
                      </wps:spPr>
                      <wps:style>
                        <a:lnRef idx="0"/>
                        <a:fillRef idx="0"/>
                        <a:effectRef idx="0"/>
                        <a:fontRef idx="minor"/>
                      </wps:style>
                      <wps:bodyPr rot="0">
                        <a:prstTxWarp prst="textNoShape">
                          <a:avLst/>
                        </a:prstTxWarp>
                        <a:noAutofit/>
                      </wps:bodyPr>
                    </wps:wsp>
                  </a:graphicData>
                </a:graphic>
              </wp:anchor>
            </w:drawing>
          </mc:Choice>
          <mc:Fallback>
            <w:pict>
              <v:shape id="shape 1" o:spid="_x0000_s1" style="position:absolute;mso-wrap-distance-left:9.0pt;mso-wrap-distance-top:0.0pt;mso-wrap-distance-right:9.0pt;mso-wrap-distance-bottom:0.0pt;z-index:25;o:allowoverlap:true;o:allowincell:false;mso-position-horizontal-relative:text;margin-left:197.0pt;mso-position-horizontal:absolute;mso-position-vertical-relative:text;margin-top:2.9pt;mso-position-vertical:absolute;width:8.3pt;height:25.5pt;" coordsize="100000,100000" path="m0,0l0,0c24549,0,49699,4100,49699,8201l49699,41405l49699,41405c49699,45701,74248,49803,99399,49803l99399,49803c74248,49803,49699,53905,49699,58201l49699,91405l49699,91405c49699,95507,24549,99803,0,99803e" filled="f" strokecolor="#000000" strokeweight="0.74pt">
                <v:path textboxrect="0,0,100000,100000"/>
              </v:shape>
            </w:pict>
          </mc:Fallback>
        </mc:AlternateContent>
      </w:r>
      <w:r>
        <w:t xml:space="preserve">6</w:t>
      </w:r>
      <w:r>
        <w:t xml:space="preserve"> баллов (новое) 29,7% выпускников;</w:t>
      </w:r>
      <w:r/>
    </w:p>
    <w:p>
      <w:pPr>
        <w:pStyle w:val="940"/>
        <w:jc w:val="both"/>
        <w:tabs>
          <w:tab w:val="clear" w:pos="708" w:leader="none"/>
          <w:tab w:val="left" w:pos="770" w:leader="none"/>
        </w:tabs>
      </w:pPr>
      <w:r>
        <w:t xml:space="preserve">5 баллов только 25,83% выпускников;     55,53% - повышение</w:t>
      </w:r>
      <w:r/>
    </w:p>
    <w:p>
      <w:pPr>
        <w:pStyle w:val="940"/>
        <w:jc w:val="both"/>
        <w:tabs>
          <w:tab w:val="clear" w:pos="708" w:leader="none"/>
          <w:tab w:val="left" w:pos="770" w:leader="none"/>
        </w:tabs>
      </w:pPr>
      <w:r>
        <w:t xml:space="preserve">4 балла только 22,35% выпускников; </w:t>
      </w:r>
      <w:r/>
    </w:p>
    <w:p>
      <w:pPr>
        <w:pStyle w:val="940"/>
        <w:jc w:val="both"/>
        <w:tabs>
          <w:tab w:val="clear" w:pos="708" w:leader="none"/>
          <w:tab w:val="left" w:pos="770" w:leader="none"/>
        </w:tabs>
      </w:pPr>
      <w:r>
        <w:t xml:space="preserve">3 балла - 11,33%;</w:t>
      </w:r>
      <w:r/>
    </w:p>
    <w:p>
      <w:pPr>
        <w:pStyle w:val="940"/>
        <w:jc w:val="both"/>
        <w:tabs>
          <w:tab w:val="clear" w:pos="708" w:leader="none"/>
          <w:tab w:val="left" w:pos="770" w:leader="none"/>
        </w:tabs>
      </w:pPr>
      <w:r>
        <w:t xml:space="preserve">2 балла -  7,41%; </w:t>
      </w:r>
      <w:r/>
    </w:p>
    <w:p>
      <w:pPr>
        <w:pStyle w:val="940"/>
        <w:jc w:val="both"/>
        <w:tabs>
          <w:tab w:val="clear" w:pos="708" w:leader="none"/>
          <w:tab w:val="left" w:pos="770" w:leader="none"/>
        </w:tabs>
      </w:pPr>
      <w:r>
        <w:t xml:space="preserve">1 балл-  1,6%; </w:t>
      </w:r>
      <w:r/>
    </w:p>
    <w:p>
      <w:pPr>
        <w:pStyle w:val="940"/>
        <w:jc w:val="both"/>
        <w:tabs>
          <w:tab w:val="clear" w:pos="708" w:leader="none"/>
          <w:tab w:val="left" w:pos="770" w:leader="none"/>
        </w:tabs>
      </w:pPr>
      <w:r>
        <w:tab/>
        <w:t xml:space="preserve">не справились с заданием -1,3% - понижение</w:t>
      </w:r>
      <w:r/>
    </w:p>
    <w:p>
      <w:pPr>
        <w:pStyle w:val="940"/>
        <w:jc w:val="both"/>
        <w:tabs>
          <w:tab w:val="clear" w:pos="708" w:leader="none"/>
          <w:tab w:val="left" w:pos="770" w:leader="none"/>
        </w:tabs>
      </w:pPr>
      <w:r>
        <w:tab/>
        <w:t xml:space="preserve">Уровень сформированности умения проводить текстовый анализ средний, а в некоторых случаях даже повысился. С одной стороны, в сочинениях выпускники обосновывают актуальность проблемы, раскрывают ее значимость для а</w:t>
      </w:r>
      <w:r>
        <w:t xml:space="preserve">втора текста, заостряют внимание на текстовых деталях, иллюстрирующих проблему. С другой стороны, экзаменуемые часто углубляются в собственные размышления без опоры на исходный текст или используют просто его пересказ, при этом результативность выполнения </w:t>
      </w:r>
      <w:r>
        <w:rPr>
          <w:b/>
        </w:rPr>
        <w:t xml:space="preserve">задания 27 по К2</w:t>
      </w:r>
      <w:r>
        <w:t xml:space="preserve"> повысилась. </w:t>
      </w:r>
      <w:r/>
    </w:p>
    <w:p>
      <w:pPr>
        <w:pStyle w:val="940"/>
        <w:jc w:val="both"/>
        <w:tabs>
          <w:tab w:val="clear" w:pos="708" w:leader="none"/>
          <w:tab w:val="left" w:pos="770" w:leader="none"/>
        </w:tabs>
      </w:pPr>
      <w:r>
        <w:rPr>
          <w:b/>
        </w:rPr>
        <w:tab/>
        <w:t xml:space="preserve">Результаты выполнения задания с развёрнутым ответом (27) по каждой из выделенных групп.</w:t>
      </w:r>
      <w:r/>
    </w:p>
    <w:p>
      <w:pPr>
        <w:pStyle w:val="940"/>
        <w:jc w:val="both"/>
        <w:tabs>
          <w:tab w:val="clear" w:pos="708" w:leader="none"/>
          <w:tab w:val="left" w:pos="770" w:leader="none"/>
        </w:tabs>
      </w:pPr>
      <w:r>
        <w:rPr>
          <w:b/>
        </w:rPr>
        <w:tab/>
        <w:t xml:space="preserve">1 группа</w:t>
      </w:r>
      <w:r/>
    </w:p>
    <w:p>
      <w:pPr>
        <w:pStyle w:val="940"/>
        <w:jc w:val="both"/>
        <w:tabs>
          <w:tab w:val="clear" w:pos="708" w:leader="none"/>
          <w:tab w:val="left" w:pos="770" w:leader="none"/>
        </w:tabs>
      </w:pPr>
      <w:r>
        <w:tab/>
        <w:t xml:space="preserve">При выполнении задания части 2 экзаменационной работы экзаменуемые </w:t>
      </w:r>
      <w:r>
        <w:rPr>
          <w:b/>
        </w:rPr>
        <w:t xml:space="preserve">(59 человек по Астраханской области, 1,6%)</w:t>
      </w:r>
      <w:r>
        <w:t xml:space="preserve">, не достигшие минимальной границы, ни по одному из критериев оценивания не выполнили задания.  </w:t>
      </w:r>
      <w:r/>
    </w:p>
    <w:p>
      <w:pPr>
        <w:pStyle w:val="940"/>
        <w:jc w:val="both"/>
        <w:tabs>
          <w:tab w:val="clear" w:pos="708" w:leader="none"/>
          <w:tab w:val="left" w:pos="770" w:leader="none"/>
        </w:tabs>
      </w:pPr>
      <w:r>
        <w:rPr>
          <w:b/>
        </w:rPr>
        <w:tab/>
        <w:t xml:space="preserve">2 группа</w:t>
      </w:r>
      <w:r/>
    </w:p>
    <w:p>
      <w:pPr>
        <w:pStyle w:val="940"/>
        <w:jc w:val="both"/>
        <w:tabs>
          <w:tab w:val="clear" w:pos="708" w:leader="none"/>
          <w:tab w:val="left" w:pos="770" w:leader="none"/>
        </w:tabs>
      </w:pPr>
      <w:r>
        <w:t xml:space="preserve">Участники экзамена со средней подготовкой (863 человека по Астраханской области, 23,4%) перешедшие минимальную границу. Самый низкий процент среди позиций оценивания экзаменуемые из этой группы демонстрируют по </w:t>
      </w:r>
      <w:r>
        <w:rPr>
          <w:b/>
        </w:rPr>
        <w:t xml:space="preserve">критерию К8 </w:t>
      </w:r>
      <w:r>
        <w:t xml:space="preserve">(пунктуация) и по критериям </w:t>
      </w:r>
      <w:r>
        <w:rPr>
          <w:b/>
        </w:rPr>
        <w:t xml:space="preserve">К9</w:t>
      </w:r>
      <w:r>
        <w:t xml:space="preserve"> (соблюдение языковых норм), </w:t>
      </w:r>
      <w:r>
        <w:rPr>
          <w:b/>
        </w:rPr>
        <w:t xml:space="preserve">К7 </w:t>
      </w:r>
      <w:r>
        <w:t xml:space="preserve">(орфография).</w:t>
      </w:r>
      <w:r/>
    </w:p>
    <w:p>
      <w:pPr>
        <w:pStyle w:val="940"/>
        <w:jc w:val="both"/>
        <w:tabs>
          <w:tab w:val="clear" w:pos="708" w:leader="none"/>
          <w:tab w:val="left" w:pos="770" w:leader="none"/>
        </w:tabs>
      </w:pPr>
      <w:r>
        <w:rPr>
          <w:b/>
        </w:rPr>
        <w:tab/>
        <w:t xml:space="preserve">3 группа</w:t>
      </w:r>
      <w:r/>
    </w:p>
    <w:p>
      <w:pPr>
        <w:pStyle w:val="940"/>
        <w:jc w:val="both"/>
        <w:tabs>
          <w:tab w:val="clear" w:pos="708" w:leader="none"/>
          <w:tab w:val="left" w:pos="770" w:leader="none"/>
        </w:tabs>
      </w:pPr>
      <w:r>
        <w:tab/>
        <w:t xml:space="preserve">Участники экзамена с хорошей подготовкой (1817 человек по Астраханской области, 49,3%) показывают достаточно высокий уровень освоения умений, необходимых для проведения комментария к сформулированной </w:t>
      </w:r>
      <w:r>
        <w:t xml:space="preserve">проблеме исходного текста (критерий К2; процент выполнения – 75,98), но уровень пунктуационной грамотности снизился (критерий К8; процент выполнения – 47,77). Соблюдение речевых и грамматических (языковых) норм также остается на уровне соответственно 63% (</w:t>
      </w:r>
      <w:r>
        <w:rPr>
          <w:b/>
        </w:rPr>
        <w:t xml:space="preserve">критерий К10</w:t>
      </w:r>
      <w:r>
        <w:t xml:space="preserve">) и 65% (</w:t>
      </w:r>
      <w:r>
        <w:rPr>
          <w:b/>
        </w:rPr>
        <w:t xml:space="preserve">критерий К9</w:t>
      </w:r>
      <w:r>
        <w:t xml:space="preserve">). Большое понижение в сравнении с 2020 г. связано с тем, что основное внимание экзаменуемые уделяли </w:t>
      </w:r>
      <w:r>
        <w:rPr>
          <w:b/>
        </w:rPr>
        <w:t xml:space="preserve">К1</w:t>
      </w:r>
      <w:r>
        <w:t xml:space="preserve"> и </w:t>
      </w:r>
      <w:r>
        <w:rPr>
          <w:b/>
        </w:rPr>
        <w:t xml:space="preserve">К2, тем более что требования к  К2 изменились.</w:t>
      </w:r>
      <w:r/>
    </w:p>
    <w:p>
      <w:pPr>
        <w:pStyle w:val="940"/>
        <w:jc w:val="both"/>
        <w:tabs>
          <w:tab w:val="clear" w:pos="708" w:leader="none"/>
          <w:tab w:val="left" w:pos="770" w:leader="none"/>
        </w:tabs>
      </w:pPr>
      <w:r>
        <w:tab/>
        <w:t xml:space="preserve">При этом экзаменуемые из этой группы демонстрируют способность формулировать проблему исходного текста и позицию автора, в основном не допускают нарушения этических норм и не допускают фактических ошибок в фоновых знаниях.</w:t>
      </w:r>
      <w:r/>
    </w:p>
    <w:p>
      <w:pPr>
        <w:pStyle w:val="940"/>
        <w:jc w:val="both"/>
        <w:tabs>
          <w:tab w:val="clear" w:pos="708" w:leader="none"/>
          <w:tab w:val="left" w:pos="770" w:leader="none"/>
        </w:tabs>
      </w:pPr>
      <w:r>
        <w:t xml:space="preserve">В целом же, при выполнении </w:t>
      </w:r>
      <w:r>
        <w:rPr>
          <w:b/>
        </w:rPr>
        <w:t xml:space="preserve">задания 27</w:t>
      </w:r>
      <w:r>
        <w:t xml:space="preserve"> экзаменуемые данной группы продемонстрировали хорошо сформированную коммуникативную компетенцию. </w:t>
      </w:r>
      <w:r/>
    </w:p>
    <w:p>
      <w:pPr>
        <w:pStyle w:val="940"/>
        <w:jc w:val="both"/>
        <w:tabs>
          <w:tab w:val="clear" w:pos="708" w:leader="none"/>
          <w:tab w:val="left" w:pos="770" w:leader="none"/>
        </w:tabs>
      </w:pPr>
      <w:r>
        <w:rPr>
          <w:b/>
        </w:rPr>
        <w:tab/>
        <w:t xml:space="preserve">4 группа</w:t>
      </w:r>
      <w:r/>
    </w:p>
    <w:p>
      <w:pPr>
        <w:pStyle w:val="940"/>
        <w:jc w:val="both"/>
        <w:tabs>
          <w:tab w:val="clear" w:pos="708" w:leader="none"/>
          <w:tab w:val="left" w:pos="770" w:leader="none"/>
        </w:tabs>
      </w:pPr>
      <w:r>
        <w:tab/>
        <w:t xml:space="preserve">При написании сочинения-рассуждения у наиболее подготовленных экзаменуемых </w:t>
      </w:r>
      <w:r>
        <w:rPr>
          <w:b/>
        </w:rPr>
        <w:t xml:space="preserve">(1000 человек по Астраханской области, 27,15%)</w:t>
      </w:r>
      <w:r>
        <w:t xml:space="preserve"> допущенных грамматических (</w:t>
      </w:r>
      <w:r>
        <w:rPr>
          <w:b/>
        </w:rPr>
        <w:t xml:space="preserve">критерий К9</w:t>
      </w:r>
      <w:r>
        <w:t xml:space="preserve">; процент выполнения – 86,65%) и пунктуационных (</w:t>
      </w:r>
      <w:r>
        <w:rPr>
          <w:b/>
        </w:rPr>
        <w:t xml:space="preserve">критерий К8</w:t>
      </w:r>
      <w:r>
        <w:t xml:space="preserve">; процент выполнения – 80,3%) ошибок больше, чем орфографических (</w:t>
      </w:r>
      <w:r>
        <w:rPr>
          <w:b/>
        </w:rPr>
        <w:t xml:space="preserve">критерий К7</w:t>
      </w:r>
      <w:r>
        <w:t xml:space="preserve">; процент выполнения – 91,07%). Данная группа выпускников показала результаты лучше, чем выпускники 2020 г., хотя по критерию </w:t>
      </w:r>
      <w:r>
        <w:rPr>
          <w:b/>
        </w:rPr>
        <w:t xml:space="preserve">К8 </w:t>
      </w:r>
      <w:r>
        <w:t xml:space="preserve">требования повысились.</w:t>
      </w:r>
      <w:r/>
    </w:p>
    <w:p>
      <w:pPr>
        <w:pStyle w:val="940"/>
        <w:jc w:val="both"/>
        <w:tabs>
          <w:tab w:val="clear" w:pos="708" w:leader="none"/>
          <w:tab w:val="left" w:pos="770" w:leader="none"/>
        </w:tabs>
      </w:pPr>
      <w:r>
        <w:tab/>
        <w:t xml:space="preserve">В целом, изменения в критериях оценивания </w:t>
      </w:r>
      <w:r>
        <w:rPr>
          <w:b/>
        </w:rPr>
        <w:t xml:space="preserve">задания 27</w:t>
      </w:r>
      <w:r>
        <w:t xml:space="preserve"> требуют особого внимания к работе в данном направлении и поиске новых современных средств и методик обучения при подготовке к ЕГЭ 2022 г.</w:t>
      </w:r>
      <w:r/>
    </w:p>
    <w:p>
      <w:pPr>
        <w:pStyle w:val="940"/>
        <w:jc w:val="both"/>
        <w:tabs>
          <w:tab w:val="clear" w:pos="708" w:leader="none"/>
          <w:tab w:val="left" w:pos="770" w:leader="none"/>
        </w:tabs>
      </w:pPr>
      <w:r>
        <w:rPr>
          <w:b/>
        </w:rPr>
        <w:tab/>
        <w:t xml:space="preserve">В задании 27 изменилось требование к комментарию: нужно указать смысловую связь между примерами – иллюстрациями и проанализировать ее.</w:t>
      </w:r>
      <w:r/>
    </w:p>
    <w:p>
      <w:pPr>
        <w:pStyle w:val="940"/>
        <w:jc w:val="both"/>
        <w:tabs>
          <w:tab w:val="clear" w:pos="708" w:leader="none"/>
          <w:tab w:val="left" w:pos="770" w:leader="none"/>
        </w:tabs>
      </w:pPr>
      <w:r>
        <w:t xml:space="preserve">Статистика показывает, что все группы экзаменуемых, кроме участников с минимальным уровнем подготовки, овладели умением формулировать проблему, поставленную автором текста (</w:t>
      </w:r>
      <w:r>
        <w:rPr>
          <w:b/>
        </w:rPr>
        <w:t xml:space="preserve">К1</w:t>
      </w:r>
      <w:r>
        <w:t xml:space="preserve">), и определять позицию автора по отношению к этой проблеме (</w:t>
      </w:r>
      <w:r>
        <w:rPr>
          <w:b/>
        </w:rPr>
        <w:t xml:space="preserve">К3</w:t>
      </w:r>
      <w:r>
        <w:t xml:space="preserve">) в большей степени, чем умением комментировать поставленную проблему (</w:t>
      </w:r>
      <w:r>
        <w:rPr>
          <w:b/>
        </w:rPr>
        <w:t xml:space="preserve">К2</w:t>
      </w:r>
      <w:r>
        <w:t xml:space="preserve">). </w:t>
      </w:r>
      <w:r/>
    </w:p>
    <w:p>
      <w:pPr>
        <w:pStyle w:val="940"/>
        <w:jc w:val="both"/>
        <w:tabs>
          <w:tab w:val="clear" w:pos="708" w:leader="none"/>
          <w:tab w:val="left" w:pos="770" w:leader="none"/>
        </w:tabs>
      </w:pPr>
      <w:r>
        <w:tab/>
        <w:t xml:space="preserve">Повышение роли комментария при выполнении </w:t>
      </w:r>
      <w:r>
        <w:rPr>
          <w:b/>
        </w:rPr>
        <w:t xml:space="preserve">задания 27,</w:t>
      </w:r>
      <w:r>
        <w:t xml:space="preserve"> с одной стороны, находится в русле усиления лингвистической составляющей экзаменационной работы, с другой, является жизненной необходимостью для усиления дифференцирующей способности измерителя.</w:t>
      </w:r>
      <w:r/>
    </w:p>
    <w:p>
      <w:pPr>
        <w:pStyle w:val="940"/>
        <w:jc w:val="both"/>
        <w:tabs>
          <w:tab w:val="clear" w:pos="708" w:leader="none"/>
          <w:tab w:val="left" w:pos="770" w:leader="none"/>
        </w:tabs>
      </w:pPr>
      <w:r>
        <w:tab/>
        <w:t xml:space="preserve">Максимальное количество баллов за выполнение задания с развернутым ответом изменилось. В 2020 году было 24 первичных балла, в 2021 г. стало 25 баллов.</w:t>
      </w:r>
      <w:r/>
    </w:p>
    <w:p>
      <w:pPr>
        <w:pStyle w:val="940"/>
        <w:jc w:val="both"/>
        <w:tabs>
          <w:tab w:val="clear" w:pos="708" w:leader="none"/>
          <w:tab w:val="left" w:pos="770" w:leader="none"/>
        </w:tabs>
      </w:pPr>
      <w:r>
        <w:tab/>
        <w:t xml:space="preserve">Определяющими в оценивании комментария к сформулированной проблеме являются следующие </w:t>
      </w:r>
      <w:r>
        <w:t xml:space="preserve">позиции оценивания: количество примеров-иллюстраций, наличие пояснений к примерам-иллюстрациям, указание смысловой связи между примерами-иллюстрациями и ее анализ. При этом комментарий должен проводиться с опорой на исходный текст и без фактических ошибок.</w:t>
      </w:r>
      <w:r/>
    </w:p>
    <w:p>
      <w:pPr>
        <w:pStyle w:val="940"/>
        <w:jc w:val="both"/>
        <w:tabs>
          <w:tab w:val="clear" w:pos="708" w:leader="none"/>
          <w:tab w:val="left" w:pos="770" w:leader="none"/>
        </w:tabs>
      </w:pPr>
      <w:r>
        <w:tab/>
        <w:t xml:space="preserve">Исключе</w:t>
      </w:r>
      <w:r>
        <w:t xml:space="preserve">ние аргументации из задания с развернутым ответом не означает уход от культуроведческого направления в содержании экзаменационной работы, а комментирование при работе с текстом актуально на всех этапах государственной итоговой аттестации по русскому языку.</w:t>
      </w:r>
      <w:r/>
    </w:p>
    <w:p>
      <w:pPr>
        <w:pStyle w:val="940"/>
        <w:jc w:val="both"/>
        <w:tabs>
          <w:tab w:val="clear" w:pos="708" w:leader="none"/>
          <w:tab w:val="left" w:pos="770" w:leader="none"/>
        </w:tabs>
      </w:pPr>
      <w:r>
        <w:rPr>
          <w:b/>
        </w:rPr>
        <w:tab/>
        <w:t xml:space="preserve">Анализ типичных ошибок (задание 27)</w:t>
      </w:r>
      <w:r/>
    </w:p>
    <w:p>
      <w:pPr>
        <w:pStyle w:val="940"/>
        <w:jc w:val="both"/>
        <w:tabs>
          <w:tab w:val="clear" w:pos="708" w:leader="none"/>
          <w:tab w:val="left" w:pos="770" w:leader="none"/>
        </w:tabs>
      </w:pPr>
      <w:r>
        <w:rPr>
          <w:b/>
        </w:rPr>
        <w:tab/>
        <w:t xml:space="preserve">К-1 </w:t>
      </w:r>
      <w:r/>
    </w:p>
    <w:p>
      <w:pPr>
        <w:pStyle w:val="940"/>
        <w:jc w:val="both"/>
        <w:tabs>
          <w:tab w:val="clear" w:pos="708" w:leader="none"/>
          <w:tab w:val="left" w:pos="770" w:leader="none"/>
        </w:tabs>
      </w:pPr>
      <w:r>
        <w:tab/>
        <w:t xml:space="preserve">При формулировке проблемы текста встречается неумение грамотно сформулировать проблему: «Основной проблемой текста является отсутствие столов в гостинице. Автор хорошо её выделил», «В тексте проблема об отношении к помощи больному человеку».</w:t>
      </w:r>
      <w:r/>
    </w:p>
    <w:p>
      <w:pPr>
        <w:pStyle w:val="940"/>
        <w:jc w:val="both"/>
        <w:tabs>
          <w:tab w:val="clear" w:pos="708" w:leader="none"/>
          <w:tab w:val="left" w:pos="770" w:leader="none"/>
        </w:tabs>
      </w:pPr>
      <w:r>
        <w:tab/>
        <w:t xml:space="preserve">Наиболее понятными для выпускников оказались публицистические тексты, где сам автор четко формулирует проблему и свою позицию. Проблему, поставленную в художественном тексте, выпускники затрудняются определить однозначно.</w:t>
      </w:r>
      <w:r/>
    </w:p>
    <w:p>
      <w:pPr>
        <w:pStyle w:val="940"/>
        <w:jc w:val="both"/>
        <w:tabs>
          <w:tab w:val="clear" w:pos="708" w:leader="none"/>
          <w:tab w:val="left" w:pos="770" w:leader="none"/>
        </w:tabs>
      </w:pPr>
      <w:r>
        <w:tab/>
        <w:t xml:space="preserve">На практическом уровне экзаменуемыми порой ещё не различаются понятия «тема» текста  и «проблема» в тексте.</w:t>
      </w:r>
      <w:r/>
    </w:p>
    <w:p>
      <w:pPr>
        <w:pStyle w:val="940"/>
        <w:jc w:val="both"/>
        <w:tabs>
          <w:tab w:val="clear" w:pos="708" w:leader="none"/>
          <w:tab w:val="left" w:pos="770" w:leader="none"/>
        </w:tabs>
      </w:pPr>
      <w:r>
        <w:tab/>
        <w:t xml:space="preserve">Зачастую выпускники, не сумев определить то главное, о чем говорится в тексте, рассуждают о второстепенных проблемах.</w:t>
      </w:r>
      <w:r/>
    </w:p>
    <w:p>
      <w:pPr>
        <w:pStyle w:val="940"/>
        <w:jc w:val="both"/>
        <w:tabs>
          <w:tab w:val="clear" w:pos="708" w:leader="none"/>
          <w:tab w:val="left" w:pos="770" w:leader="none"/>
        </w:tabs>
      </w:pPr>
      <w:r>
        <w:rPr>
          <w:b/>
        </w:rPr>
        <w:tab/>
        <w:t xml:space="preserve">К-2</w:t>
      </w:r>
      <w:r/>
    </w:p>
    <w:p>
      <w:pPr>
        <w:pStyle w:val="940"/>
        <w:jc w:val="both"/>
        <w:tabs>
          <w:tab w:val="clear" w:pos="708" w:leader="none"/>
          <w:tab w:val="left" w:pos="770" w:leader="none"/>
        </w:tabs>
      </w:pPr>
      <w:r>
        <w:tab/>
        <w:t xml:space="preserve">- Комментирование проблемы во многих работах сводится к пересказу текста и цитированию. </w:t>
      </w:r>
      <w:r/>
    </w:p>
    <w:p>
      <w:pPr>
        <w:pStyle w:val="940"/>
        <w:jc w:val="both"/>
        <w:tabs>
          <w:tab w:val="clear" w:pos="708" w:leader="none"/>
          <w:tab w:val="left" w:pos="770" w:leader="none"/>
        </w:tabs>
      </w:pPr>
      <w:r>
        <w:tab/>
        <w:t xml:space="preserve">- Часто комментируется не проблема, а текст.</w:t>
      </w:r>
      <w:r/>
    </w:p>
    <w:p>
      <w:pPr>
        <w:pStyle w:val="940"/>
        <w:jc w:val="both"/>
        <w:tabs>
          <w:tab w:val="clear" w:pos="708" w:leader="none"/>
          <w:tab w:val="left" w:pos="770" w:leader="none"/>
        </w:tabs>
      </w:pPr>
      <w:r>
        <w:tab/>
        <w:t xml:space="preserve">- Во многих работах формулируется одна проблема, а комментируется другая проблема. Например, «В тексте поднимается проблема написания писем, автор рассказывает о том, какие были письменные столы».</w:t>
      </w:r>
      <w:r/>
    </w:p>
    <w:p>
      <w:pPr>
        <w:pStyle w:val="940"/>
        <w:jc w:val="both"/>
        <w:tabs>
          <w:tab w:val="clear" w:pos="708" w:leader="none"/>
          <w:tab w:val="left" w:pos="770" w:leader="none"/>
        </w:tabs>
      </w:pPr>
      <w:r>
        <w:rPr>
          <w:b/>
        </w:rPr>
        <w:tab/>
        <w:t xml:space="preserve">К-3 </w:t>
      </w:r>
      <w:r/>
    </w:p>
    <w:p>
      <w:pPr>
        <w:pStyle w:val="940"/>
        <w:jc w:val="both"/>
        <w:tabs>
          <w:tab w:val="clear" w:pos="708" w:leader="none"/>
          <w:tab w:val="left" w:pos="770" w:leader="none"/>
        </w:tabs>
      </w:pPr>
      <w:r>
        <w:tab/>
        <w:t xml:space="preserve">- Позиция автора не определяется или определяется неверно. </w:t>
      </w:r>
      <w:r/>
    </w:p>
    <w:p>
      <w:pPr>
        <w:pStyle w:val="940"/>
        <w:jc w:val="both"/>
        <w:tabs>
          <w:tab w:val="clear" w:pos="708" w:leader="none"/>
          <w:tab w:val="left" w:pos="770" w:leader="none"/>
        </w:tabs>
      </w:pPr>
      <w:r>
        <w:tab/>
        <w:t xml:space="preserve">- В начале сочинения формулируется одна проблема, а позиция автора анализируется по другой проблеме. </w:t>
      </w:r>
      <w:r/>
    </w:p>
    <w:p>
      <w:pPr>
        <w:pStyle w:val="940"/>
        <w:jc w:val="both"/>
        <w:tabs>
          <w:tab w:val="clear" w:pos="708" w:leader="none"/>
          <w:tab w:val="left" w:pos="770" w:leader="none"/>
        </w:tabs>
      </w:pPr>
      <w:r>
        <w:tab/>
        <w:t xml:space="preserve">- Во многих работах содержится формальное «Я согласен с позицией автора». Зачем, с какой целью написан текст, выпускники не понимают, идея не комментируется.</w:t>
      </w:r>
      <w:r/>
    </w:p>
    <w:p>
      <w:pPr>
        <w:pStyle w:val="940"/>
        <w:jc w:val="both"/>
        <w:tabs>
          <w:tab w:val="clear" w:pos="708" w:leader="none"/>
          <w:tab w:val="left" w:pos="770" w:leader="none"/>
        </w:tabs>
      </w:pPr>
      <w:r>
        <w:rPr>
          <w:b/>
        </w:rPr>
        <w:tab/>
        <w:t xml:space="preserve">К-4 </w:t>
      </w:r>
      <w:r/>
    </w:p>
    <w:p>
      <w:pPr>
        <w:pStyle w:val="940"/>
        <w:jc w:val="both"/>
        <w:tabs>
          <w:tab w:val="clear" w:pos="708" w:leader="none"/>
          <w:tab w:val="left" w:pos="770" w:leader="none"/>
        </w:tabs>
      </w:pPr>
      <w:r>
        <w:tab/>
        <w:t xml:space="preserve">- При выражении своего мнения по проблеме аргументы часто не связаны с проблемой: «В тексте… ставится проблема самопожертвования, а выпускник пишет о том, что к людям надо относиться по-доброму».</w:t>
      </w:r>
      <w:r/>
    </w:p>
    <w:p>
      <w:pPr>
        <w:pStyle w:val="940"/>
        <w:jc w:val="both"/>
        <w:tabs>
          <w:tab w:val="clear" w:pos="708" w:leader="none"/>
          <w:tab w:val="left" w:pos="770" w:leader="none"/>
        </w:tabs>
      </w:pPr>
      <w:r>
        <w:tab/>
        <w:t xml:space="preserve">- При выражении своего мнения нередко приводятся примитивные бытовые примеры или примеры, не соответствующие уровню выпускника средней школы.</w:t>
      </w:r>
      <w:r/>
    </w:p>
    <w:p>
      <w:pPr>
        <w:pStyle w:val="940"/>
        <w:jc w:val="both"/>
        <w:tabs>
          <w:tab w:val="clear" w:pos="708" w:leader="none"/>
          <w:tab w:val="left" w:pos="770" w:leader="none"/>
        </w:tabs>
      </w:pPr>
      <w:r>
        <w:tab/>
        <w:t xml:space="preserve">- Зачастую выпускники ограничиваются размышлениями на тему, не аргументируя своего мнения.</w:t>
      </w:r>
      <w:r/>
    </w:p>
    <w:p>
      <w:pPr>
        <w:pStyle w:val="940"/>
        <w:jc w:val="both"/>
        <w:tabs>
          <w:tab w:val="clear" w:pos="708" w:leader="none"/>
          <w:tab w:val="left" w:pos="770" w:leader="none"/>
        </w:tabs>
      </w:pPr>
      <w:r>
        <w:rPr>
          <w:b/>
        </w:rPr>
        <w:tab/>
        <w:t xml:space="preserve">К-5 </w:t>
      </w:r>
      <w:r/>
    </w:p>
    <w:p>
      <w:pPr>
        <w:pStyle w:val="940"/>
        <w:jc w:val="both"/>
        <w:tabs>
          <w:tab w:val="clear" w:pos="708" w:leader="none"/>
          <w:tab w:val="left" w:pos="770" w:leader="none"/>
        </w:tabs>
      </w:pPr>
      <w:r>
        <w:tab/>
        <w:t xml:space="preserve">- Отсутствие выделения композиционных частей (нет абзацного членения текста) </w:t>
      </w:r>
      <w:r/>
    </w:p>
    <w:p>
      <w:pPr>
        <w:pStyle w:val="940"/>
        <w:jc w:val="both"/>
        <w:tabs>
          <w:tab w:val="clear" w:pos="708" w:leader="none"/>
          <w:tab w:val="left" w:pos="770" w:leader="none"/>
        </w:tabs>
      </w:pPr>
      <w:r>
        <w:tab/>
        <w:t xml:space="preserve">- Нет отступлений от края в начале абзаца.</w:t>
      </w:r>
      <w:r/>
    </w:p>
    <w:p>
      <w:pPr>
        <w:pStyle w:val="940"/>
        <w:jc w:val="both"/>
        <w:tabs>
          <w:tab w:val="clear" w:pos="708" w:leader="none"/>
          <w:tab w:val="left" w:pos="770" w:leader="none"/>
        </w:tabs>
      </w:pPr>
      <w:r>
        <w:tab/>
        <w:t xml:space="preserve">- Нередко в работах нарушается внутренняя логика сочинения.</w:t>
      </w:r>
      <w:r/>
    </w:p>
    <w:p>
      <w:pPr>
        <w:pStyle w:val="940"/>
        <w:jc w:val="both"/>
        <w:tabs>
          <w:tab w:val="clear" w:pos="708" w:leader="none"/>
          <w:tab w:val="left" w:pos="770" w:leader="none"/>
        </w:tabs>
      </w:pPr>
      <w:r>
        <w:tab/>
        <w:t xml:space="preserve">- Цитаты не соответствуют рассуждениям, не связаны с ними. </w:t>
      </w:r>
      <w:r/>
    </w:p>
    <w:p>
      <w:pPr>
        <w:pStyle w:val="940"/>
        <w:jc w:val="both"/>
        <w:tabs>
          <w:tab w:val="clear" w:pos="708" w:leader="none"/>
          <w:tab w:val="left" w:pos="770" w:leader="none"/>
        </w:tabs>
      </w:pPr>
      <w:r>
        <w:tab/>
        <w:t xml:space="preserve">- Учащиеся обрывают мысль, перескакивая к обоснованию другой мысли, не делая логических переходов. </w:t>
      </w:r>
      <w:r/>
    </w:p>
    <w:p>
      <w:pPr>
        <w:pStyle w:val="940"/>
        <w:jc w:val="both"/>
        <w:tabs>
          <w:tab w:val="clear" w:pos="708" w:leader="none"/>
          <w:tab w:val="left" w:pos="770" w:leader="none"/>
        </w:tabs>
      </w:pPr>
      <w:r>
        <w:tab/>
        <w:t xml:space="preserve">- Одно или два предложения выделяются в отдельный абзац. Отсутствует связь между предложениями.</w:t>
      </w:r>
      <w:r/>
    </w:p>
    <w:p>
      <w:pPr>
        <w:pStyle w:val="940"/>
        <w:jc w:val="both"/>
        <w:tabs>
          <w:tab w:val="clear" w:pos="708" w:leader="none"/>
          <w:tab w:val="left" w:pos="770" w:leader="none"/>
        </w:tabs>
      </w:pPr>
      <w:r>
        <w:tab/>
        <w:t xml:space="preserve">- Нередки случаи нарушения логики: «Любовь к родной природе начинается с любви к родине, но не каждый человек способен понять и полюбить искусство».</w:t>
      </w:r>
      <w:r/>
    </w:p>
    <w:p>
      <w:pPr>
        <w:pStyle w:val="940"/>
        <w:jc w:val="both"/>
        <w:tabs>
          <w:tab w:val="clear" w:pos="708" w:leader="none"/>
          <w:tab w:val="left" w:pos="770" w:leader="none"/>
        </w:tabs>
      </w:pPr>
      <w:r>
        <w:tab/>
        <w:t xml:space="preserve">- До сих пор встречаются работы с анализом языковых средств, который выглядит чужеродным элементом в композиции сочинения.</w:t>
      </w:r>
      <w:r/>
    </w:p>
    <w:p>
      <w:pPr>
        <w:pStyle w:val="940"/>
        <w:jc w:val="both"/>
        <w:tabs>
          <w:tab w:val="clear" w:pos="708" w:leader="none"/>
          <w:tab w:val="left" w:pos="770" w:leader="none"/>
        </w:tabs>
      </w:pPr>
      <w:r>
        <w:rPr>
          <w:rFonts w:eastAsia="Times New Roman"/>
        </w:rPr>
        <w:t xml:space="preserve"> </w:t>
      </w:r>
      <w:r>
        <w:rPr>
          <w:rFonts w:eastAsia="Times New Roman"/>
        </w:rPr>
        <w:tab/>
      </w:r>
      <w:r>
        <w:t xml:space="preserve">- Встречаются излишне многословные работы. Авторам не хватает времени, чтобы четко сформулировать то, что они задумали и завершить мысль логически</w:t>
      </w:r>
      <w:r/>
    </w:p>
    <w:p>
      <w:pPr>
        <w:pStyle w:val="940"/>
        <w:jc w:val="both"/>
        <w:tabs>
          <w:tab w:val="clear" w:pos="708" w:leader="none"/>
          <w:tab w:val="left" w:pos="770" w:leader="none"/>
        </w:tabs>
      </w:pPr>
      <w:r>
        <w:rPr>
          <w:b/>
        </w:rPr>
        <w:tab/>
        <w:t xml:space="preserve">К-6 </w:t>
      </w:r>
      <w:r/>
    </w:p>
    <w:p>
      <w:pPr>
        <w:pStyle w:val="940"/>
        <w:jc w:val="both"/>
        <w:tabs>
          <w:tab w:val="clear" w:pos="708" w:leader="none"/>
          <w:tab w:val="left" w:pos="770" w:leader="none"/>
        </w:tabs>
      </w:pPr>
      <w:r>
        <w:tab/>
        <w:t xml:space="preserve">- Выпускники неточно выражают свои мысли.</w:t>
      </w:r>
      <w:r/>
    </w:p>
    <w:p>
      <w:pPr>
        <w:pStyle w:val="940"/>
        <w:jc w:val="both"/>
        <w:tabs>
          <w:tab w:val="clear" w:pos="708" w:leader="none"/>
          <w:tab w:val="left" w:pos="770" w:leader="none"/>
        </w:tabs>
      </w:pPr>
      <w:r>
        <w:tab/>
        <w:t xml:space="preserve">- В работах встречаются неоправданные повторы, что снижает впечатление о точности и выразительности речи. Есть и неудачные формулировки. Например, «…люди (...) отличаются дисциплинированностью, некоторой философией».</w:t>
      </w:r>
      <w:r/>
    </w:p>
    <w:p>
      <w:pPr>
        <w:pStyle w:val="940"/>
        <w:jc w:val="both"/>
        <w:tabs>
          <w:tab w:val="clear" w:pos="708" w:leader="none"/>
          <w:tab w:val="left" w:pos="770" w:leader="none"/>
        </w:tabs>
      </w:pPr>
      <w:r>
        <w:tab/>
        <w:t xml:space="preserve">- Активно используется в сочинениях и клише. Заученные фразы выглядят надуманно, мешают высказать собственное мнение. </w:t>
      </w:r>
      <w:r/>
    </w:p>
    <w:p>
      <w:pPr>
        <w:pStyle w:val="940"/>
        <w:jc w:val="both"/>
        <w:tabs>
          <w:tab w:val="clear" w:pos="708" w:leader="none"/>
          <w:tab w:val="left" w:pos="770" w:leader="none"/>
        </w:tabs>
      </w:pPr>
      <w:r>
        <w:tab/>
        <w:t xml:space="preserve">- Наличие ложной патетики.</w:t>
      </w:r>
      <w:r/>
    </w:p>
    <w:p>
      <w:pPr>
        <w:pStyle w:val="940"/>
        <w:jc w:val="both"/>
        <w:tabs>
          <w:tab w:val="clear" w:pos="708" w:leader="none"/>
          <w:tab w:val="left" w:pos="770" w:leader="none"/>
        </w:tabs>
      </w:pPr>
      <w:r>
        <w:tab/>
        <w:t xml:space="preserve">- Оборванные посередине предложения и, наоборот, сложные, многочленные, несогласованные между собой синтаксические конструкции в половину листа свидетельствуют о том, что пишущие не умеют формулировать законченную мысль.</w:t>
      </w:r>
      <w:r/>
    </w:p>
    <w:p>
      <w:pPr>
        <w:pStyle w:val="940"/>
        <w:jc w:val="both"/>
        <w:tabs>
          <w:tab w:val="clear" w:pos="708" w:leader="none"/>
          <w:tab w:val="left" w:pos="770" w:leader="none"/>
        </w:tabs>
      </w:pPr>
      <w:r>
        <w:tab/>
        <w:t xml:space="preserve">- Наличие в тексте разговорных фраз: «Ну и так далее», «чего тут расскажешь», «в мозгу не укладывается».</w:t>
      </w:r>
      <w:r/>
    </w:p>
    <w:p>
      <w:pPr>
        <w:pStyle w:val="940"/>
        <w:jc w:val="both"/>
        <w:tabs>
          <w:tab w:val="clear" w:pos="708" w:leader="none"/>
          <w:tab w:val="left" w:pos="770" w:leader="none"/>
        </w:tabs>
      </w:pPr>
      <w:r>
        <w:tab/>
        <w:t xml:space="preserve">- Мысли выпускника формулируются точно и ясно, работа написана хороши</w:t>
      </w:r>
      <w:r>
        <w:t xml:space="preserve">м, грамотным языком, но работу портят фразы-штампы: «позиция автора очевидна, и с ней невозможно не согласиться», «я полностью разделяю позицию автора», «проблема единства человека и природы не нова, к ней обращались многие замечательные русские писатели».</w:t>
      </w:r>
      <w:r/>
    </w:p>
    <w:p>
      <w:pPr>
        <w:pStyle w:val="940"/>
        <w:jc w:val="both"/>
        <w:tabs>
          <w:tab w:val="clear" w:pos="708" w:leader="none"/>
          <w:tab w:val="left" w:pos="770" w:leader="none"/>
        </w:tabs>
      </w:pPr>
      <w:r>
        <w:rPr>
          <w:b/>
        </w:rPr>
        <w:tab/>
        <w:t xml:space="preserve">К-7 </w:t>
      </w:r>
      <w:r/>
    </w:p>
    <w:p>
      <w:pPr>
        <w:pStyle w:val="940"/>
        <w:jc w:val="both"/>
        <w:tabs>
          <w:tab w:val="clear" w:pos="708" w:leader="none"/>
          <w:tab w:val="left" w:pos="770" w:leader="none"/>
        </w:tabs>
      </w:pPr>
      <w:r>
        <w:tab/>
        <w:t xml:space="preserve">Типичными орфографическими ошибками являются:</w:t>
      </w:r>
      <w:r/>
    </w:p>
    <w:p>
      <w:pPr>
        <w:pStyle w:val="940"/>
        <w:jc w:val="both"/>
        <w:tabs>
          <w:tab w:val="clear" w:pos="708" w:leader="none"/>
          <w:tab w:val="left" w:pos="770" w:leader="none"/>
        </w:tabs>
      </w:pPr>
      <w:r>
        <w:tab/>
        <w:t xml:space="preserve">- правописание безударных гласных в корнях слов (принемает, удевление, обсалютно, камфортно, увожение, пожелой, здаровался);</w:t>
      </w:r>
      <w:r/>
    </w:p>
    <w:p>
      <w:pPr>
        <w:pStyle w:val="940"/>
        <w:jc w:val="both"/>
        <w:tabs>
          <w:tab w:val="clear" w:pos="708" w:leader="none"/>
          <w:tab w:val="left" w:pos="770" w:leader="none"/>
        </w:tabs>
      </w:pPr>
      <w:r>
        <w:tab/>
        <w:t xml:space="preserve">- правописание частиц и приставок не и ни со словами разных частей речи (небыл, нестал, немогли, неимеющее себе равного);</w:t>
      </w:r>
      <w:r/>
    </w:p>
    <w:p>
      <w:pPr>
        <w:pStyle w:val="940"/>
        <w:jc w:val="both"/>
        <w:tabs>
          <w:tab w:val="clear" w:pos="708" w:leader="none"/>
          <w:tab w:val="left" w:pos="770" w:leader="none"/>
        </w:tabs>
      </w:pPr>
      <w:r>
        <w:tab/>
        <w:t xml:space="preserve">- правописание - тся и - ться в глаголах (приходиться потрудиться, будет учится);</w:t>
      </w:r>
      <w:r/>
    </w:p>
    <w:p>
      <w:pPr>
        <w:pStyle w:val="940"/>
        <w:jc w:val="both"/>
        <w:tabs>
          <w:tab w:val="clear" w:pos="708" w:leader="none"/>
          <w:tab w:val="left" w:pos="770" w:leader="none"/>
        </w:tabs>
      </w:pPr>
      <w:r>
        <w:tab/>
        <w:t xml:space="preserve">- правописание Н – НН в суффиксах (в определеной, связанно, зеленная, груженные);</w:t>
      </w:r>
      <w:r/>
    </w:p>
    <w:p>
      <w:pPr>
        <w:pStyle w:val="940"/>
        <w:jc w:val="both"/>
        <w:tabs>
          <w:tab w:val="clear" w:pos="708" w:leader="none"/>
          <w:tab w:val="left" w:pos="770" w:leader="none"/>
        </w:tabs>
      </w:pPr>
      <w:r>
        <w:tab/>
        <w:t xml:space="preserve">- написание наречий (по моему, по разному, на зло, по важней, не редко);</w:t>
      </w:r>
      <w:r/>
    </w:p>
    <w:p>
      <w:pPr>
        <w:pStyle w:val="940"/>
        <w:jc w:val="both"/>
        <w:tabs>
          <w:tab w:val="clear" w:pos="708" w:leader="none"/>
          <w:tab w:val="left" w:pos="770" w:leader="none"/>
        </w:tabs>
      </w:pPr>
      <w:r>
        <w:tab/>
        <w:t xml:space="preserve">- суффиксы и окончания глаголов, причастий (исчезнит, увидешь, держут, колышатся, потерено);</w:t>
      </w:r>
      <w:r/>
    </w:p>
    <w:p>
      <w:pPr>
        <w:pStyle w:val="940"/>
        <w:jc w:val="both"/>
        <w:tabs>
          <w:tab w:val="clear" w:pos="708" w:leader="none"/>
          <w:tab w:val="left" w:pos="770" w:leader="none"/>
        </w:tabs>
      </w:pPr>
      <w:r>
        <w:tab/>
        <w:t xml:space="preserve">- правописание предлогов и союзов (в течении, хотя-бы, в последствие);</w:t>
      </w:r>
      <w:r/>
    </w:p>
    <w:p>
      <w:pPr>
        <w:pStyle w:val="940"/>
        <w:jc w:val="both"/>
        <w:tabs>
          <w:tab w:val="clear" w:pos="708" w:leader="none"/>
          <w:tab w:val="left" w:pos="770" w:leader="none"/>
        </w:tabs>
      </w:pPr>
      <w:r>
        <w:tab/>
        <w:t xml:space="preserve">- дефисное написание неопределенных местоимений (чей то, в чем то, кто то, что либо, что то, какой либо);</w:t>
      </w:r>
      <w:r/>
    </w:p>
    <w:p>
      <w:pPr>
        <w:pStyle w:val="940"/>
        <w:jc w:val="both"/>
        <w:tabs>
          <w:tab w:val="clear" w:pos="708" w:leader="none"/>
          <w:tab w:val="left" w:pos="770" w:leader="none"/>
        </w:tabs>
      </w:pPr>
      <w:r>
        <w:tab/>
        <w:t xml:space="preserve">- правописание Ь после шипящих (достич, помоч, зверенышь, стараешся).</w:t>
      </w:r>
      <w:r/>
    </w:p>
    <w:p>
      <w:pPr>
        <w:pStyle w:val="940"/>
        <w:jc w:val="both"/>
        <w:tabs>
          <w:tab w:val="clear" w:pos="708" w:leader="none"/>
          <w:tab w:val="left" w:pos="770" w:leader="none"/>
        </w:tabs>
      </w:pPr>
      <w:r>
        <w:rPr>
          <w:b/>
        </w:rPr>
        <w:tab/>
        <w:t xml:space="preserve">К-8 </w:t>
      </w:r>
      <w:r/>
    </w:p>
    <w:p>
      <w:pPr>
        <w:pStyle w:val="940"/>
        <w:jc w:val="both"/>
        <w:tabs>
          <w:tab w:val="clear" w:pos="708" w:leader="none"/>
          <w:tab w:val="left" w:pos="770" w:leader="none"/>
        </w:tabs>
      </w:pPr>
      <w:r>
        <w:tab/>
        <w:t xml:space="preserve">Среди пунктуационных ошибок следует отметить следующие:</w:t>
      </w:r>
      <w:r/>
    </w:p>
    <w:p>
      <w:pPr>
        <w:pStyle w:val="940"/>
        <w:jc w:val="both"/>
        <w:tabs>
          <w:tab w:val="clear" w:pos="708" w:leader="none"/>
          <w:tab w:val="left" w:pos="770" w:leader="none"/>
        </w:tabs>
      </w:pPr>
      <w:r>
        <w:tab/>
        <w:t xml:space="preserve">- не выделяются вводные слова;</w:t>
      </w:r>
      <w:r/>
    </w:p>
    <w:p>
      <w:pPr>
        <w:pStyle w:val="940"/>
        <w:jc w:val="both"/>
        <w:tabs>
          <w:tab w:val="clear" w:pos="708" w:leader="none"/>
          <w:tab w:val="left" w:pos="770" w:leader="none"/>
        </w:tabs>
      </w:pPr>
      <w:r>
        <w:tab/>
        <w:t xml:space="preserve">- в</w:t>
      </w:r>
      <w:r>
        <w:t xml:space="preserve">ыделяют как вводные слова, которые таковыми не являются: «...автор задаёт вопросы, в какой-то степени, о будущем своей страны...». «В какой-то степени» не является вводным сочетанием. И это сочетание слов не несёт особого смысла: лучше его вообще опустить.</w:t>
      </w:r>
      <w:r/>
    </w:p>
    <w:p>
      <w:pPr>
        <w:pStyle w:val="940"/>
        <w:jc w:val="both"/>
        <w:tabs>
          <w:tab w:val="clear" w:pos="708" w:leader="none"/>
          <w:tab w:val="left" w:pos="770" w:leader="none"/>
        </w:tabs>
      </w:pPr>
      <w:r>
        <w:tab/>
        <w:t xml:space="preserve">- «Я не раз задумывался о данной проблеме и приходил к выводам близким к позиции автора». (В предложении также допущено нарушение речевых норм, комментарий см. в </w:t>
      </w:r>
      <w:r>
        <w:rPr>
          <w:b/>
        </w:rPr>
        <w:t xml:space="preserve">К10</w:t>
      </w:r>
      <w:r>
        <w:t xml:space="preserve">).</w:t>
      </w:r>
      <w:r/>
    </w:p>
    <w:p>
      <w:pPr>
        <w:pStyle w:val="940"/>
        <w:jc w:val="both"/>
        <w:tabs>
          <w:tab w:val="clear" w:pos="708" w:leader="none"/>
          <w:tab w:val="left" w:pos="770" w:leader="none"/>
        </w:tabs>
      </w:pPr>
      <w:r>
        <w:tab/>
        <w:t xml:space="preserve">- обособленное согласованное определение;</w:t>
      </w:r>
      <w:r/>
    </w:p>
    <w:p>
      <w:pPr>
        <w:pStyle w:val="940"/>
        <w:jc w:val="both"/>
        <w:tabs>
          <w:tab w:val="clear" w:pos="708" w:leader="none"/>
          <w:tab w:val="left" w:pos="770" w:leader="none"/>
        </w:tabs>
      </w:pPr>
      <w:r>
        <w:tab/>
        <w:t xml:space="preserve">- знаки препинания в сложных предложениях: «Я согласен с мнением автора и хотел бы добавить, что дружба более уязвима чем любовь».</w:t>
      </w:r>
      <w:r/>
    </w:p>
    <w:p>
      <w:pPr>
        <w:pStyle w:val="940"/>
        <w:jc w:val="both"/>
        <w:tabs>
          <w:tab w:val="clear" w:pos="708" w:leader="none"/>
          <w:tab w:val="left" w:pos="770" w:leader="none"/>
        </w:tabs>
      </w:pPr>
      <w:r>
        <w:tab/>
        <w:t xml:space="preserve">Обособленное определение, выраженное причастным оборотом, запятыми выделяется с двух сторон.</w:t>
      </w:r>
      <w:r/>
    </w:p>
    <w:p>
      <w:pPr>
        <w:pStyle w:val="940"/>
        <w:jc w:val="both"/>
        <w:tabs>
          <w:tab w:val="clear" w:pos="708" w:leader="none"/>
          <w:tab w:val="left" w:pos="770" w:leader="none"/>
        </w:tabs>
      </w:pPr>
      <w:r>
        <w:tab/>
        <w:t xml:space="preserve">- «что автор задаёт вопросы ... о будущем своей страны, и не может найти чёткого ответа». Союз и соединяет однородные сказуемые: запятая не нужна.</w:t>
      </w:r>
      <w:r/>
    </w:p>
    <w:p>
      <w:pPr>
        <w:pStyle w:val="940"/>
        <w:jc w:val="both"/>
        <w:tabs>
          <w:tab w:val="clear" w:pos="708" w:leader="none"/>
          <w:tab w:val="left" w:pos="770" w:leader="none"/>
        </w:tabs>
      </w:pPr>
      <w:r>
        <w:tab/>
        <w:t xml:space="preserve">- вводные конс</w:t>
      </w:r>
      <w:r>
        <w:t xml:space="preserve">трукции, обособленные члены или придаточные предложения, находящиеся в середине предложения, выделяются только с одной стороны: «Есть конечно же, люди…». «Каждый человек по сути своей, являлся материалистом» - по сути своей не является вводным сочетанием. </w:t>
      </w:r>
      <w:r/>
    </w:p>
    <w:p>
      <w:pPr>
        <w:pStyle w:val="940"/>
        <w:jc w:val="both"/>
        <w:tabs>
          <w:tab w:val="clear" w:pos="708" w:leader="none"/>
          <w:tab w:val="left" w:pos="770" w:leader="none"/>
        </w:tabs>
      </w:pPr>
      <w:r>
        <w:tab/>
        <w:t xml:space="preserve">- «...ведь быть может все люди одинаково склонны к счастью, просто многие не замечают этого. Вводное сочетание быть может выделяется запятыми с двух сторон.</w:t>
      </w:r>
      <w:r/>
    </w:p>
    <w:p>
      <w:pPr>
        <w:pStyle w:val="940"/>
        <w:jc w:val="both"/>
        <w:tabs>
          <w:tab w:val="clear" w:pos="708" w:leader="none"/>
          <w:tab w:val="left" w:pos="770" w:leader="none"/>
        </w:tabs>
      </w:pPr>
      <w:r>
        <w:tab/>
        <w:t xml:space="preserve">- «Я считаю основа дружбы — это доверие» - знаки препинания в сложном предложении.</w:t>
      </w:r>
      <w:r/>
    </w:p>
    <w:p>
      <w:pPr>
        <w:pStyle w:val="940"/>
        <w:jc w:val="both"/>
        <w:tabs>
          <w:tab w:val="clear" w:pos="708" w:leader="none"/>
          <w:tab w:val="left" w:pos="770" w:leader="none"/>
        </w:tabs>
      </w:pPr>
      <w:r>
        <w:tab/>
        <w:t xml:space="preserve">- «Поэтому, особенно страшно...» - после союза запятая не нужна.</w:t>
      </w:r>
      <w:r/>
    </w:p>
    <w:p>
      <w:pPr>
        <w:pStyle w:val="940"/>
        <w:jc w:val="both"/>
        <w:tabs>
          <w:tab w:val="clear" w:pos="708" w:leader="none"/>
          <w:tab w:val="left" w:pos="770" w:leader="none"/>
        </w:tabs>
      </w:pPr>
      <w:r>
        <w:tab/>
        <w:t xml:space="preserve">- «Размышляя над текстом я понял, насколько прав автор» - деепричастный оборот    выделяется запятой.</w:t>
      </w:r>
      <w:r/>
    </w:p>
    <w:p>
      <w:pPr>
        <w:pStyle w:val="940"/>
        <w:jc w:val="both"/>
        <w:tabs>
          <w:tab w:val="clear" w:pos="708" w:leader="none"/>
          <w:tab w:val="left" w:pos="770" w:leader="none"/>
        </w:tabs>
      </w:pPr>
      <w:r>
        <w:rPr>
          <w:b/>
        </w:rPr>
        <w:tab/>
        <w:t xml:space="preserve">К-9 </w:t>
      </w:r>
      <w:r/>
    </w:p>
    <w:p>
      <w:pPr>
        <w:pStyle w:val="940"/>
        <w:jc w:val="both"/>
        <w:tabs>
          <w:tab w:val="clear" w:pos="708" w:leader="none"/>
          <w:tab w:val="left" w:pos="770" w:leader="none"/>
        </w:tabs>
      </w:pPr>
      <w:r>
        <w:tab/>
        <w:t xml:space="preserve">- «Несомненно, эта проблема высоконравственная». Нарушена лексическая сочетаемость: высоконравственный человек (=строго соблюдающий нормы нра</w:t>
      </w:r>
      <w:r>
        <w:t xml:space="preserve">вственности) — нравственная проблема (=проблема нравственности), нравственный человек (=соблюдающий нормы нравственности). Слово высоконравственный не может быть использовано со словом проблема, поскольку у него нет значения «относящийся к нравственности».</w:t>
      </w:r>
      <w:r/>
    </w:p>
    <w:p>
      <w:pPr>
        <w:pStyle w:val="940"/>
        <w:jc w:val="both"/>
        <w:tabs>
          <w:tab w:val="clear" w:pos="708" w:leader="none"/>
          <w:tab w:val="left" w:pos="770" w:leader="none"/>
        </w:tabs>
      </w:pPr>
      <w:r>
        <w:tab/>
        <w:t xml:space="preserve">- «Ведь доброе слово- огромная сила, которой нужно дорожить и укреплять». Глаголы дорожить и укреплять имеют разное управление (дорожить чем? укреплять что?), поэтому они не могут иметь при себе одну форму слова «который».</w:t>
      </w:r>
      <w:r/>
    </w:p>
    <w:p>
      <w:pPr>
        <w:pStyle w:val="940"/>
        <w:jc w:val="both"/>
        <w:tabs>
          <w:tab w:val="clear" w:pos="708" w:leader="none"/>
          <w:tab w:val="left" w:pos="770" w:leader="none"/>
        </w:tabs>
      </w:pPr>
      <w:r>
        <w:tab/>
        <w:t xml:space="preserve">- «...что заставило их забыть о существовании единственного в мире творения человеческого, величайшего произведения искусства, как русская природа». Конструкция: такой..,  как...</w:t>
      </w:r>
      <w:r/>
    </w:p>
    <w:p>
      <w:pPr>
        <w:pStyle w:val="940"/>
        <w:jc w:val="both"/>
        <w:tabs>
          <w:tab w:val="clear" w:pos="708" w:leader="none"/>
          <w:tab w:val="left" w:pos="770" w:leader="none"/>
        </w:tabs>
      </w:pPr>
      <w:r>
        <w:tab/>
        <w:t xml:space="preserve">- «Читая текст, чувствуется...». Деепричастный оборот не может быть в безличном предложении.</w:t>
      </w:r>
      <w:r/>
    </w:p>
    <w:p>
      <w:pPr>
        <w:pStyle w:val="940"/>
        <w:jc w:val="both"/>
        <w:tabs>
          <w:tab w:val="clear" w:pos="708" w:leader="none"/>
          <w:tab w:val="left" w:pos="770" w:leader="none"/>
        </w:tabs>
      </w:pPr>
      <w:r>
        <w:tab/>
        <w:t xml:space="preserve">Экзаменуемые допускают ошибки в словообразовании («автор анализированомого текста», «благородность», «спомнили», «надсмешки», «пришественники»).</w:t>
      </w:r>
      <w:r/>
    </w:p>
    <w:p>
      <w:pPr>
        <w:pStyle w:val="940"/>
        <w:jc w:val="both"/>
        <w:tabs>
          <w:tab w:val="clear" w:pos="708" w:leader="none"/>
          <w:tab w:val="left" w:pos="770" w:leader="none"/>
        </w:tabs>
      </w:pPr>
      <w:r>
        <w:tab/>
        <w:t xml:space="preserve">- «Говоря о данной проблеме, невольно вспоминается один из величайших поэтов русской литературы, а именно М.Ю. Лермонтов». Деепричастный оборот невозможен в безличном предложении.</w:t>
      </w:r>
      <w:r/>
    </w:p>
    <w:p>
      <w:pPr>
        <w:pStyle w:val="940"/>
        <w:jc w:val="both"/>
        <w:tabs>
          <w:tab w:val="clear" w:pos="708" w:leader="none"/>
          <w:tab w:val="left" w:pos="770" w:leader="none"/>
        </w:tabs>
      </w:pPr>
      <w:r>
        <w:tab/>
        <w:t xml:space="preserve">- «Сложно пов</w:t>
      </w:r>
      <w:r>
        <w:t xml:space="preserve">ерить, что человека, написавшего такие глубокие и меланхоличные по своей сути письма может осчастливить какие-либо яркие моменты и благосклонные обстоятельства». Нарушена связь между подлежащим и сказуемым, которые должны быть в форме одно и того же числа.</w:t>
      </w:r>
      <w:r/>
    </w:p>
    <w:p>
      <w:pPr>
        <w:pStyle w:val="940"/>
        <w:jc w:val="both"/>
        <w:tabs>
          <w:tab w:val="clear" w:pos="708" w:leader="none"/>
          <w:tab w:val="left" w:pos="770" w:leader="none"/>
        </w:tabs>
      </w:pPr>
      <w:r>
        <w:tab/>
        <w:t xml:space="preserve">- «благосклонные обстоятельства» - нарушение лексической сочетаемости (благосклонный взгляд, благосконное мнение, благосклонное отношение, благосклонная оценка — благоприятные обстоятельства).</w:t>
      </w:r>
      <w:r/>
    </w:p>
    <w:p>
      <w:pPr>
        <w:pStyle w:val="940"/>
        <w:jc w:val="both"/>
        <w:tabs>
          <w:tab w:val="clear" w:pos="708" w:leader="none"/>
          <w:tab w:val="left" w:pos="770" w:leader="none"/>
        </w:tabs>
      </w:pPr>
      <w:r>
        <w:tab/>
        <w:t xml:space="preserve">- Нарушаются границы предложений. Придаточные предложения выделяются в самостоятельные: «Я сразу узнал своего лучшего друга. Так как добыть такого друга невозможно».</w:t>
      </w:r>
      <w:r/>
    </w:p>
    <w:p>
      <w:pPr>
        <w:pStyle w:val="940"/>
        <w:jc w:val="both"/>
        <w:tabs>
          <w:tab w:val="clear" w:pos="708" w:leader="none"/>
          <w:tab w:val="left" w:pos="770" w:leader="none"/>
        </w:tabs>
      </w:pPr>
      <w:r>
        <w:tab/>
        <w:t xml:space="preserve">- Неправильно образуются степени сравнения прилагательных (наиболее чудовищнее, наиболее ярче, бережительнее, самый лучший).</w:t>
      </w:r>
      <w:r/>
    </w:p>
    <w:p>
      <w:pPr>
        <w:pStyle w:val="940"/>
        <w:jc w:val="both"/>
        <w:tabs>
          <w:tab w:val="clear" w:pos="708" w:leader="none"/>
          <w:tab w:val="left" w:pos="770" w:leader="none"/>
        </w:tabs>
      </w:pPr>
      <w:r>
        <w:tab/>
        <w:t xml:space="preserve">- «они нахмурились и вспоминали…». Правильно: ...они хмурились и вспоминали... (оба глагола НСВ) или: ...они нахмурились и вспомнили... (оба глагола СВ).</w:t>
      </w:r>
      <w:r/>
    </w:p>
    <w:p>
      <w:pPr>
        <w:pStyle w:val="940"/>
        <w:jc w:val="both"/>
        <w:tabs>
          <w:tab w:val="clear" w:pos="708" w:leader="none"/>
          <w:tab w:val="left" w:pos="770" w:leader="none"/>
        </w:tabs>
      </w:pPr>
      <w:r>
        <w:tab/>
        <w:t xml:space="preserve">- «руины деревней…» - ошибочная форма множественного числа Р.п. слова «деревня»).</w:t>
      </w:r>
      <w:r/>
    </w:p>
    <w:p>
      <w:pPr>
        <w:pStyle w:val="940"/>
        <w:jc w:val="both"/>
        <w:tabs>
          <w:tab w:val="clear" w:pos="708" w:leader="none"/>
          <w:tab w:val="left" w:pos="770" w:leader="none"/>
        </w:tabs>
      </w:pPr>
      <w:r>
        <w:tab/>
        <w:t xml:space="preserve">- «Нам было подарено великая земля...» Подлежащее «земля» в форме единственного числа, И.п., сказуемое согласуется с подлежащим по признаку числа.</w:t>
      </w:r>
      <w:r/>
    </w:p>
    <w:p>
      <w:pPr>
        <w:pStyle w:val="940"/>
        <w:jc w:val="both"/>
        <w:tabs>
          <w:tab w:val="clear" w:pos="708" w:leader="none"/>
          <w:tab w:val="left" w:pos="770" w:leader="none"/>
        </w:tabs>
      </w:pPr>
      <w:r>
        <w:tab/>
        <w:t xml:space="preserve">- «Мы обязаны спасать, помогать и развивать Россию...» - слово «помогать» требует другого управления.</w:t>
      </w:r>
      <w:r/>
    </w:p>
    <w:p>
      <w:pPr>
        <w:pStyle w:val="940"/>
        <w:jc w:val="both"/>
        <w:tabs>
          <w:tab w:val="clear" w:pos="708" w:leader="none"/>
          <w:tab w:val="left" w:pos="770" w:leader="none"/>
        </w:tabs>
      </w:pPr>
      <w:r>
        <w:rPr>
          <w:b/>
        </w:rPr>
        <w:tab/>
        <w:t xml:space="preserve">К-10 </w:t>
      </w:r>
      <w:r/>
    </w:p>
    <w:p>
      <w:pPr>
        <w:pStyle w:val="940"/>
        <w:jc w:val="both"/>
        <w:tabs>
          <w:tab w:val="clear" w:pos="708" w:leader="none"/>
          <w:tab w:val="left" w:pos="770" w:leader="none"/>
        </w:tabs>
      </w:pPr>
      <w:r>
        <w:tab/>
        <w:t xml:space="preserve">Сред</w:t>
      </w:r>
      <w:r>
        <w:t xml:space="preserve">и речевых ошибок следует отметить неправильную лексическую сочетаемость (делает поступки, первый тип людей он описывает образом героя, точка мнения автора, сделать поступок, автор выразил суровое время, надо не наступать на грабли наших старших товарищей).</w:t>
      </w:r>
      <w:r/>
    </w:p>
    <w:p>
      <w:pPr>
        <w:pStyle w:val="940"/>
        <w:jc w:val="both"/>
        <w:tabs>
          <w:tab w:val="clear" w:pos="708" w:leader="none"/>
          <w:tab w:val="left" w:pos="770" w:leader="none"/>
        </w:tabs>
      </w:pPr>
      <w:r>
        <w:tab/>
        <w:t xml:space="preserve">- «Людей, имеющих общие взгляды на жизнь» - фраза неполная, так предложения не строятся. Необходимо переформулировать весь кусок текста, чтобы данный фрагмент оказался частью предложения.</w:t>
      </w:r>
      <w:r/>
    </w:p>
    <w:p>
      <w:pPr>
        <w:pStyle w:val="940"/>
        <w:jc w:val="both"/>
        <w:tabs>
          <w:tab w:val="clear" w:pos="708" w:leader="none"/>
          <w:tab w:val="left" w:pos="770" w:leader="none"/>
        </w:tabs>
      </w:pPr>
      <w:r>
        <w:tab/>
        <w:t xml:space="preserve">- Неоправданные повторы: «Именно эту проблему затрагивает В. Солоухин в тексте. Эта проблема актуальна сегодня, как никогда, и известный писатель не обошел ее вниманием».</w:t>
      </w:r>
      <w:r/>
    </w:p>
    <w:p>
      <w:pPr>
        <w:pStyle w:val="940"/>
        <w:jc w:val="both"/>
        <w:tabs>
          <w:tab w:val="clear" w:pos="708" w:leader="none"/>
          <w:tab w:val="left" w:pos="770" w:leader="none"/>
        </w:tabs>
      </w:pPr>
      <w:r>
        <w:tab/>
        <w:t xml:space="preserve">- Неточность в формулировке: ...любовь к родной природе одна из главных причин, как дальше будет развиваться мир. </w:t>
      </w:r>
      <w:r/>
    </w:p>
    <w:p>
      <w:pPr>
        <w:pStyle w:val="940"/>
        <w:jc w:val="both"/>
        <w:tabs>
          <w:tab w:val="clear" w:pos="708" w:leader="none"/>
          <w:tab w:val="left" w:pos="770" w:leader="none"/>
        </w:tabs>
      </w:pPr>
      <w:r>
        <w:tab/>
        <w:t xml:space="preserve">- Неоправданное словоупотребление: В наше время многие люди, от которых зависит уровень развития своей страны...</w:t>
      </w:r>
      <w:r/>
    </w:p>
    <w:p>
      <w:pPr>
        <w:pStyle w:val="940"/>
        <w:jc w:val="both"/>
        <w:tabs>
          <w:tab w:val="clear" w:pos="708" w:leader="none"/>
          <w:tab w:val="left" w:pos="770" w:leader="none"/>
        </w:tabs>
      </w:pPr>
      <w:r>
        <w:tab/>
        <w:t xml:space="preserve">Правильно: В наше время многие люди, от которых зависит уровень развития страны... Или: уровень развития нашей страны... </w:t>
      </w:r>
      <w:r/>
    </w:p>
    <w:p>
      <w:pPr>
        <w:pStyle w:val="940"/>
        <w:jc w:val="both"/>
        <w:tabs>
          <w:tab w:val="clear" w:pos="708" w:leader="none"/>
          <w:tab w:val="left" w:pos="770" w:leader="none"/>
        </w:tabs>
      </w:pPr>
      <w:r>
        <w:tab/>
        <w:t xml:space="preserve">- Неоправданное словоупотребление: ...очень редко задумываются о роли пейзажа и ландшафта в лице России.</w:t>
      </w:r>
      <w:r/>
    </w:p>
    <w:p>
      <w:pPr>
        <w:pStyle w:val="940"/>
        <w:jc w:val="both"/>
        <w:tabs>
          <w:tab w:val="clear" w:pos="708" w:leader="none"/>
          <w:tab w:val="left" w:pos="770" w:leader="none"/>
        </w:tabs>
      </w:pPr>
      <w:r>
        <w:tab/>
        <w:t xml:space="preserve">Правильно: ...очень редко задумываются о роли пейзажа и ландшафта России.</w:t>
      </w:r>
      <w:r/>
    </w:p>
    <w:p>
      <w:pPr>
        <w:pStyle w:val="940"/>
        <w:jc w:val="both"/>
        <w:tabs>
          <w:tab w:val="clear" w:pos="708" w:leader="none"/>
          <w:tab w:val="left" w:pos="770" w:leader="none"/>
        </w:tabs>
      </w:pPr>
      <w:r>
        <w:tab/>
        <w:t xml:space="preserve">- Некорректный ввод цитаты: Очень часто мы можем услышать такие слова, как "Русская природа - самая красивая".</w:t>
      </w:r>
      <w:r/>
    </w:p>
    <w:p>
      <w:pPr>
        <w:pStyle w:val="940"/>
        <w:jc w:val="both"/>
        <w:tabs>
          <w:tab w:val="clear" w:pos="708" w:leader="none"/>
          <w:tab w:val="left" w:pos="770" w:leader="none"/>
        </w:tabs>
      </w:pPr>
      <w:r>
        <w:t xml:space="preserve">Правильно: Очень часто мы можем услышать такие слова: "Русская природа самая красивая".</w:t>
      </w:r>
      <w:r/>
    </w:p>
    <w:p>
      <w:pPr>
        <w:pStyle w:val="940"/>
        <w:jc w:val="both"/>
        <w:tabs>
          <w:tab w:val="clear" w:pos="708" w:leader="none"/>
          <w:tab w:val="left" w:pos="770" w:leader="none"/>
        </w:tabs>
      </w:pPr>
      <w:r>
        <w:tab/>
        <w:t xml:space="preserve">- Неправильное употребление глагола с рядом однородных членов: Рушились церкви, монастыри, дворянские особняки, сады, безграничные поля, холмы и реки.</w:t>
      </w:r>
      <w:r/>
    </w:p>
    <w:p>
      <w:pPr>
        <w:pStyle w:val="940"/>
        <w:jc w:val="both"/>
        <w:tabs>
          <w:tab w:val="clear" w:pos="708" w:leader="none"/>
          <w:tab w:val="left" w:pos="770" w:leader="none"/>
        </w:tabs>
      </w:pPr>
      <w:r>
        <w:tab/>
        <w:t xml:space="preserve">Правильно: Рушились церкви, монастыри, дворянские особняки. Гибли сады, безграничные поля, холмы и реки. (сады, поля, реки не могут рушиться)</w:t>
      </w:r>
      <w:r/>
    </w:p>
    <w:p>
      <w:pPr>
        <w:pStyle w:val="940"/>
        <w:jc w:val="both"/>
        <w:tabs>
          <w:tab w:val="clear" w:pos="708" w:leader="none"/>
          <w:tab w:val="left" w:pos="770" w:leader="none"/>
        </w:tabs>
      </w:pPr>
      <w:r>
        <w:tab/>
        <w:t xml:space="preserve">- Ненужное использование частицы: В. Солоухина же эта тема беспокоит до глубины души.</w:t>
      </w:r>
      <w:r/>
    </w:p>
    <w:p>
      <w:pPr>
        <w:pStyle w:val="940"/>
        <w:jc w:val="both"/>
        <w:tabs>
          <w:tab w:val="clear" w:pos="708" w:leader="none"/>
          <w:tab w:val="left" w:pos="770" w:leader="none"/>
        </w:tabs>
      </w:pPr>
      <w:r>
        <w:tab/>
        <w:t xml:space="preserve">Правильно: В. Солоухина эта тема беспокоит до глубины души.</w:t>
      </w:r>
      <w:r/>
    </w:p>
    <w:p>
      <w:pPr>
        <w:pStyle w:val="940"/>
        <w:jc w:val="both"/>
        <w:tabs>
          <w:tab w:val="clear" w:pos="708" w:leader="none"/>
          <w:tab w:val="left" w:pos="770" w:leader="none"/>
        </w:tabs>
      </w:pPr>
      <w:r>
        <w:tab/>
        <w:t xml:space="preserve">(Частица же несет здесь неоправданный контекстом противительный оттенок. Вот если бы в сочинении говорилось о других авторах, а В. Солоухин им противопоставлялся, то она была бы к месту.)</w:t>
      </w:r>
      <w:r/>
    </w:p>
    <w:p>
      <w:pPr>
        <w:pStyle w:val="940"/>
        <w:jc w:val="both"/>
        <w:tabs>
          <w:tab w:val="clear" w:pos="708" w:leader="none"/>
          <w:tab w:val="left" w:pos="770" w:leader="none"/>
        </w:tabs>
      </w:pPr>
      <w:r>
        <w:tab/>
        <w:t xml:space="preserve">- Неверный выбор слова, относящегося к ряду однородных членов: ...оглядываясь вокруг и видя мрачные руины церквей, полей и особняков...</w:t>
      </w:r>
      <w:r/>
    </w:p>
    <w:p>
      <w:pPr>
        <w:pStyle w:val="940"/>
        <w:jc w:val="both"/>
        <w:tabs>
          <w:tab w:val="clear" w:pos="708" w:leader="none"/>
          <w:tab w:val="left" w:pos="770" w:leader="none"/>
        </w:tabs>
      </w:pPr>
      <w:r>
        <w:tab/>
        <w:t xml:space="preserve">(Слово руины не может сочетаться со словом поле)</w:t>
      </w:r>
      <w:r/>
    </w:p>
    <w:p>
      <w:pPr>
        <w:pStyle w:val="940"/>
        <w:jc w:val="both"/>
        <w:tabs>
          <w:tab w:val="clear" w:pos="708" w:leader="none"/>
          <w:tab w:val="left" w:pos="770" w:leader="none"/>
        </w:tabs>
      </w:pPr>
      <w:r>
        <w:tab/>
        <w:t xml:space="preserve">- Нарушение нормы, возможно двоякое толкование: Народ создаёт картину на полотне в виде земли, нашей земли — России.</w:t>
      </w:r>
      <w:r/>
    </w:p>
    <w:p>
      <w:pPr>
        <w:pStyle w:val="940"/>
        <w:jc w:val="both"/>
        <w:tabs>
          <w:tab w:val="clear" w:pos="708" w:leader="none"/>
          <w:tab w:val="left" w:pos="770" w:leader="none"/>
        </w:tabs>
      </w:pPr>
      <w:r>
        <w:tab/>
        <w:t xml:space="preserve">Правильно: Народ создаёт на полотне в виде земли, нашей земли — России — картину. (Толкование 1-е: картину в виде земли…толкование 2-е: на полотне в виде земли...)</w:t>
      </w:r>
      <w:r/>
    </w:p>
    <w:p>
      <w:pPr>
        <w:pStyle w:val="940"/>
        <w:jc w:val="both"/>
        <w:tabs>
          <w:tab w:val="clear" w:pos="708" w:leader="none"/>
          <w:tab w:val="left" w:pos="770" w:leader="none"/>
        </w:tabs>
      </w:pPr>
      <w:r>
        <w:tab/>
        <w:t xml:space="preserve">- Нарушение речевой нормы: «Я согласен с мнением автора: на мой взгляд, жизнь потребителя нельзя назвать полноценной. Они не понимают, каких удовольствий лишают себя». Здесь неуместно местоимение мн. ч. Кто они?</w:t>
      </w:r>
      <w:r/>
    </w:p>
    <w:p>
      <w:pPr>
        <w:pStyle w:val="940"/>
        <w:jc w:val="both"/>
        <w:tabs>
          <w:tab w:val="clear" w:pos="708" w:leader="none"/>
          <w:tab w:val="left" w:pos="770" w:leader="none"/>
        </w:tabs>
      </w:pPr>
      <w:r>
        <w:rPr>
          <w:b/>
        </w:rPr>
        <w:tab/>
        <w:t xml:space="preserve">К-11 </w:t>
      </w:r>
      <w:r/>
    </w:p>
    <w:p>
      <w:pPr>
        <w:pStyle w:val="940"/>
        <w:jc w:val="both"/>
        <w:tabs>
          <w:tab w:val="clear" w:pos="708" w:leader="none"/>
          <w:tab w:val="left" w:pos="770" w:leader="none"/>
        </w:tabs>
      </w:pPr>
      <w:r>
        <w:tab/>
        <w:t xml:space="preserve">Этические ошибки связаны с выражением собственного мнения, оценки: «На войне озверевшие, обезумевшие люди рвали друг другу глотки. Вот проявление животных инстинктов</w:t>
      </w:r>
      <w:r>
        <w:t xml:space="preserve">», «сумасшедший Дарвин», «все бизнесмены связаны с криминалом». Свое мнение по проблеме порой выражается достаточно агрессивно. Так, в рассуждении о людях, которые не чтут память о войне и ветеранах, говорится, что таких людей надо убивать, расстреливать. </w:t>
      </w:r>
      <w:r/>
    </w:p>
    <w:p>
      <w:pPr>
        <w:pStyle w:val="940"/>
        <w:jc w:val="both"/>
        <w:tabs>
          <w:tab w:val="clear" w:pos="708" w:leader="none"/>
          <w:tab w:val="left" w:pos="770" w:leader="none"/>
        </w:tabs>
      </w:pPr>
      <w:r>
        <w:rPr>
          <w:b/>
        </w:rPr>
        <w:tab/>
        <w:t xml:space="preserve">К-12 </w:t>
      </w:r>
      <w:r/>
    </w:p>
    <w:p>
      <w:pPr>
        <w:pStyle w:val="940"/>
        <w:jc w:val="both"/>
        <w:tabs>
          <w:tab w:val="clear" w:pos="708" w:leader="none"/>
          <w:tab w:val="left" w:pos="770" w:leader="none"/>
        </w:tabs>
      </w:pPr>
      <w:r>
        <w:tab/>
        <w:t xml:space="preserve">Фактические ошибки встречаются в определении жанра произведения (роман Шолохова «Судьба человека», рассказ Тургенева «Му-му», рассказ «Война и мир»), в назв</w:t>
      </w:r>
      <w:r>
        <w:t xml:space="preserve">аниях художественных произведений (Пушкин «Сказка о Гвидоне», рассказ Паустовского «Гайдар» вместо «Спасенный сад») и их авторов: «Константин Григорьевич Паустовский, Михаил Юрьевич Ломоносов», поэма Маяковского «Двенадцать», повесть Чехова «Мертвые души».</w:t>
      </w:r>
      <w:r/>
    </w:p>
    <w:p>
      <w:pPr>
        <w:pStyle w:val="940"/>
        <w:jc w:val="both"/>
        <w:tabs>
          <w:tab w:val="clear" w:pos="708" w:leader="none"/>
          <w:tab w:val="left" w:pos="770" w:leader="none"/>
        </w:tabs>
      </w:pPr>
      <w:r>
        <w:tab/>
        <w:t xml:space="preserve">Неправильное цитирование: «Война…как много в этом слове для сердца русского слилось, и тут же в ней отозвалось».</w:t>
      </w:r>
      <w:r/>
    </w:p>
    <w:p>
      <w:pPr>
        <w:pStyle w:val="940"/>
        <w:jc w:val="both"/>
        <w:tabs>
          <w:tab w:val="clear" w:pos="708" w:leader="none"/>
          <w:tab w:val="left" w:pos="770" w:leader="none"/>
        </w:tabs>
      </w:pPr>
      <w:r>
        <w:tab/>
        <w:t xml:space="preserve">Имеет место искажение имен персонажей текста или художественных произведений: Фурсов вместо Фирсов.</w:t>
      </w:r>
      <w:r/>
    </w:p>
    <w:p>
      <w:pPr>
        <w:pStyle w:val="940"/>
        <w:jc w:val="both"/>
        <w:tabs>
          <w:tab w:val="clear" w:pos="708" w:leader="none"/>
          <w:tab w:val="left" w:pos="770" w:leader="none"/>
        </w:tabs>
      </w:pPr>
      <w:r>
        <w:t xml:space="preserve">При использовании фоновых знаний практически всегда имеют место фактические ошибки, что свидетельствует о низком уровне образования: Достоевский и Паустовский называются «талантливыми русскими поэтами».</w:t>
      </w:r>
      <w:r/>
    </w:p>
    <w:p>
      <w:pPr>
        <w:pStyle w:val="940"/>
        <w:jc w:val="both"/>
        <w:tabs>
          <w:tab w:val="clear" w:pos="708" w:leader="none"/>
          <w:tab w:val="left" w:pos="770" w:leader="none"/>
        </w:tabs>
      </w:pPr>
      <w:r/>
      <w:r/>
    </w:p>
    <w:p>
      <w:pPr>
        <w:pStyle w:val="940"/>
        <w:ind w:firstLine="708"/>
        <w:keepLines/>
        <w:keepNext/>
        <w:spacing w:before="200" w:after="0"/>
      </w:pPr>
      <w:r>
        <w:rPr>
          <w:rFonts w:eastAsia="SimSun;宋体"/>
          <w:b/>
          <w:sz w:val="28"/>
        </w:rPr>
        <w:t xml:space="preserve">3.2.2.</w:t>
      </w:r>
      <w:r>
        <w:rPr>
          <w:rFonts w:eastAsia="SimSun;宋体"/>
          <w:sz w:val="28"/>
        </w:rPr>
        <w:t xml:space="preserve"> </w:t>
      </w:r>
      <w:r>
        <w:rPr>
          <w:rFonts w:eastAsia="SimSun;宋体"/>
          <w:sz w:val="28"/>
          <w:lang w:val="en-US"/>
        </w:rPr>
        <w:t xml:space="preserve">Содержательный анализ выполнения заданий КИМ</w:t>
      </w:r>
      <w:r/>
    </w:p>
    <w:p>
      <w:pPr>
        <w:pStyle w:val="940"/>
        <w:jc w:val="both"/>
        <w:tabs>
          <w:tab w:val="clear" w:pos="708" w:leader="none"/>
          <w:tab w:val="left" w:pos="770" w:leader="none"/>
        </w:tabs>
      </w:pPr>
      <w:r>
        <w:tab/>
        <w:t xml:space="preserve">Наибольшую сложность у экзаменуемых вызвали задания: </w:t>
      </w:r>
      <w:r/>
    </w:p>
    <w:p>
      <w:pPr>
        <w:pStyle w:val="940"/>
        <w:jc w:val="both"/>
        <w:tabs>
          <w:tab w:val="clear" w:pos="708" w:leader="none"/>
          <w:tab w:val="left" w:pos="770" w:leader="none"/>
        </w:tabs>
      </w:pPr>
      <w:r>
        <w:tab/>
        <w:t xml:space="preserve">11 - Правописание суффиксов различных частей речи;</w:t>
      </w:r>
      <w:r/>
    </w:p>
    <w:p>
      <w:pPr>
        <w:pStyle w:val="940"/>
        <w:jc w:val="both"/>
        <w:tabs>
          <w:tab w:val="clear" w:pos="708" w:leader="none"/>
          <w:tab w:val="left" w:pos="770" w:leader="none"/>
        </w:tabs>
      </w:pPr>
      <w:r>
        <w:tab/>
        <w:t xml:space="preserve">12 - Правописание личных окончаний глаголов и суффиксов причастий;</w:t>
      </w:r>
      <w:r/>
    </w:p>
    <w:p>
      <w:pPr>
        <w:pStyle w:val="940"/>
        <w:jc w:val="both"/>
        <w:tabs>
          <w:tab w:val="clear" w:pos="708" w:leader="none"/>
          <w:tab w:val="left" w:pos="770" w:leader="none"/>
        </w:tabs>
      </w:pPr>
      <w:r>
        <w:tab/>
        <w:t xml:space="preserve">20 – Знаки препинания в сложном предложении с разными видами связи;</w:t>
      </w:r>
      <w:r/>
    </w:p>
    <w:p>
      <w:pPr>
        <w:pStyle w:val="940"/>
        <w:jc w:val="both"/>
        <w:tabs>
          <w:tab w:val="clear" w:pos="708" w:leader="none"/>
          <w:tab w:val="left" w:pos="770" w:leader="none"/>
        </w:tabs>
      </w:pPr>
      <w:r>
        <w:tab/>
        <w:t xml:space="preserve">21 - Пунктуационный анализ текста;</w:t>
      </w:r>
      <w:r/>
    </w:p>
    <w:p>
      <w:pPr>
        <w:pStyle w:val="940"/>
        <w:ind w:firstLine="708"/>
        <w:jc w:val="both"/>
      </w:pPr>
      <w:r>
        <w:rPr>
          <w:rFonts w:eastAsia="Times New Roman"/>
        </w:rPr>
        <w:t xml:space="preserve"> </w:t>
      </w:r>
      <w:r>
        <w:t xml:space="preserve">23 - Типы речи.</w:t>
      </w:r>
      <w:r/>
    </w:p>
    <w:p>
      <w:pPr>
        <w:pStyle w:val="940"/>
        <w:jc w:val="both"/>
        <w:tabs>
          <w:tab w:val="clear" w:pos="708" w:leader="none"/>
          <w:tab w:val="left" w:pos="770" w:leader="none"/>
        </w:tabs>
      </w:pPr>
      <w:r>
        <w:tab/>
        <w:t xml:space="preserve">В 2021 году наиболее трудными для выпус</w:t>
      </w:r>
      <w:r>
        <w:t xml:space="preserve">кников остаются задания, связанные с анализом текста («Функционально-смысловые типы речи», «Средства связи предложений в тексте»). По всей видимости, это можно связать с тем, что школьники очень мало читают текстов художественной литературы, привыкнув к ра</w:t>
      </w:r>
      <w:r>
        <w:t xml:space="preserve">зличного рода эрзац-продуктам, которые в изобилии предоставляет интернет, к примеру, к кратким пересказам программных художественных произведений. Школьники с трудом воспринимают связные тексты, и несложные по сути задания превращаются для них в серьезное </w:t>
      </w:r>
      <w:r>
        <w:t xml:space="preserve">испытание. В используемых учебниках мало внимания уделяется строению текста. Также вредит развитию умений работы с текстом и ориентация многих учителей русского языка на «натаскивание по тестам» - подобный подход не предполагает обучение вдумчивому чтению.</w:t>
      </w:r>
      <w:r/>
    </w:p>
    <w:p>
      <w:pPr>
        <w:pStyle w:val="940"/>
        <w:jc w:val="both"/>
        <w:tabs>
          <w:tab w:val="clear" w:pos="708" w:leader="none"/>
          <w:tab w:val="left" w:pos="770" w:leader="none"/>
        </w:tabs>
      </w:pPr>
      <w:r>
        <w:tab/>
        <w:t xml:space="preserve">Затруднение вызывает </w:t>
      </w:r>
      <w:r>
        <w:rPr>
          <w:b/>
        </w:rPr>
        <w:t xml:space="preserve">задание 11 </w:t>
      </w:r>
      <w:r>
        <w:t xml:space="preserve">(Правописание суффиксов различных частей речи), т.к. во многих УМК по русскому языку данным темам уделено недостаточно внимании или данные темы совсем не представлены.</w:t>
      </w:r>
      <w:r/>
    </w:p>
    <w:p>
      <w:pPr>
        <w:pStyle w:val="940"/>
        <w:jc w:val="both"/>
        <w:tabs>
          <w:tab w:val="clear" w:pos="708" w:leader="none"/>
          <w:tab w:val="left" w:pos="770" w:leader="none"/>
        </w:tabs>
      </w:pPr>
      <w:r>
        <w:tab/>
        <w:t xml:space="preserve">Традиционно вызывает трудности правило на правописание Н- и -НН- в различных частях речи (47,8%) - </w:t>
      </w:r>
      <w:r>
        <w:rPr>
          <w:b/>
        </w:rPr>
        <w:t xml:space="preserve">задание 15</w:t>
      </w:r>
      <w:r>
        <w:t xml:space="preserve">. Невысок и в этом году процент (44,16%) выполнения </w:t>
      </w:r>
      <w:r>
        <w:rPr>
          <w:b/>
        </w:rPr>
        <w:t xml:space="preserve">задания 12</w:t>
      </w:r>
      <w:r>
        <w:t xml:space="preserve">, проверяющего такой элемент содержания, как «Правописание</w:t>
      </w:r>
      <w:r>
        <w:t xml:space="preserve"> личных окончаний глаголов и суффиксов причастий». Подобные затруднения свидетельствуют о недостаточной сформированности умения проводить лингвистический анализ языковых единиц, прежде всего морфологический (определение части речи в структуре предложения).</w:t>
      </w:r>
      <w:r/>
    </w:p>
    <w:p>
      <w:pPr>
        <w:pStyle w:val="940"/>
        <w:jc w:val="both"/>
        <w:tabs>
          <w:tab w:val="clear" w:pos="708" w:leader="none"/>
          <w:tab w:val="left" w:pos="770" w:leader="none"/>
        </w:tabs>
      </w:pPr>
      <w:r>
        <w:tab/>
        <w:t xml:space="preserve">Низкий результат показан при выполнении </w:t>
      </w:r>
      <w:r>
        <w:rPr>
          <w:b/>
        </w:rPr>
        <w:t xml:space="preserve">задания 21 </w:t>
      </w:r>
      <w:r>
        <w:t xml:space="preserve">(Пунктуационный анализ) – 42,25%.</w:t>
      </w:r>
      <w:r>
        <w:t xml:space="preserve"> Для успешного выполнения задания требуется умение проводить лингвистический анализ синтаксической структуры: устанавливать количество предикативных единиц в конструкции, отношения между ними, выявлять средства связи, определять границы частей предложения.</w:t>
      </w:r>
      <w:r/>
    </w:p>
    <w:p>
      <w:pPr>
        <w:pStyle w:val="940"/>
        <w:jc w:val="both"/>
        <w:tabs>
          <w:tab w:val="clear" w:pos="708" w:leader="none"/>
          <w:tab w:val="left" w:pos="770" w:leader="none"/>
        </w:tabs>
      </w:pPr>
      <w:r>
        <w:tab/>
        <w:t xml:space="preserve">Относительно плохое понимание функционально-смысловых типов речи (40,6%) (</w:t>
      </w:r>
      <w:r>
        <w:rPr>
          <w:b/>
        </w:rPr>
        <w:t xml:space="preserve">задание 23</w:t>
      </w:r>
      <w:r>
        <w:t xml:space="preserve">) в тексте демонстрируют все группы экзаменуемых. То, что большинство экзаменуемых затрудняются при выполнении этого задания, убедительно свидетельствует о</w:t>
      </w:r>
      <w:r>
        <w:t xml:space="preserve"> недостатках в сложившейся системе преподавания русского языка в области изучения текста, межфразовой связи и соотнесение разных видов текстов с разными типами речи. В подтверждение этого вывода можно привести и следующее наблюдение: выпускники также испыт</w:t>
      </w:r>
      <w:r>
        <w:t xml:space="preserve">ывают сложности с соблюдением грамматических норм речи, и значительная часть ошибок приходится именно на нарушение связи между предложениями. Эти данные свидетельствуют об отсутствии должного внимания на занятиях к формированию лингвистической компетенции.</w:t>
      </w:r>
      <w:r/>
    </w:p>
    <w:p>
      <w:pPr>
        <w:pStyle w:val="940"/>
        <w:jc w:val="both"/>
        <w:tabs>
          <w:tab w:val="clear" w:pos="708" w:leader="none"/>
          <w:tab w:val="left" w:pos="770" w:leader="none"/>
        </w:tabs>
      </w:pPr>
      <w:r>
        <w:tab/>
        <w:t xml:space="preserve">Также «слабым местом» в подготовке выпускников остается владение нормами расстановки знаков препинания в тексте. И если в тестовой части испытуемые с данным заданием относительно справляются, то в самостоятельно написанных текстах (</w:t>
      </w:r>
      <w:r>
        <w:rPr>
          <w:b/>
        </w:rPr>
        <w:t xml:space="preserve">задание 27</w:t>
      </w:r>
      <w:r>
        <w:t xml:space="preserve">) соблюсти пунктуационные нормы удае</w:t>
      </w:r>
      <w:r>
        <w:t xml:space="preserve">тся только 49,09 % экзаменующихся. Можно отметить, что задания, связанные с соблюдение пунктуационных норм, оказываются сложными для всех групп, следовательно, это также связано с проблемами в практике организации преподавания этого раздела русского языка.</w:t>
      </w:r>
      <w:r/>
    </w:p>
    <w:p>
      <w:pPr>
        <w:pStyle w:val="940"/>
        <w:jc w:val="both"/>
        <w:tabs>
          <w:tab w:val="clear" w:pos="708" w:leader="none"/>
          <w:tab w:val="left" w:pos="770" w:leader="none"/>
        </w:tabs>
      </w:pPr>
      <w:r>
        <w:tab/>
        <w:t xml:space="preserve">Учителям русского языка неоднократно было рекомендовано обратить серьезное внимание на системное повторе</w:t>
      </w:r>
      <w:r>
        <w:t xml:space="preserve">ние синтаксиса в старших классах, обеспечивать формирование пунктуационных навыков не за счет выполнения однотипных заданий, а за счет глубокого изучения синтаксиса. Однако анализ результатов показывает, что далеко не все педагоги учли данные рекомендации.</w:t>
      </w:r>
      <w:r/>
    </w:p>
    <w:p>
      <w:pPr>
        <w:pStyle w:val="940"/>
        <w:jc w:val="both"/>
        <w:tabs>
          <w:tab w:val="clear" w:pos="708" w:leader="none"/>
          <w:tab w:val="left" w:pos="770" w:leader="none"/>
        </w:tabs>
      </w:pPr>
      <w:r>
        <w:tab/>
        <w:t xml:space="preserve">Выполнение </w:t>
      </w:r>
      <w:r>
        <w:rPr>
          <w:b/>
        </w:rPr>
        <w:t xml:space="preserve">задания 27</w:t>
      </w:r>
      <w:r>
        <w:t xml:space="preserve"> (задание с развернутым ответом) в целом можно считать успешным, однако следует отметить некоторые возникшие в этом году проблемы. Явный прогресс достигнут в определении проблематики текстов. С этой задачей справились 98,64% от общего числа</w:t>
      </w:r>
      <w:r>
        <w:t xml:space="preserve"> экзаменуемых. Это, ненамного, лучше, чем в 2020 году. Группы обучающихся, получивших 81-100 и 61-80 баллов, имеют 100% и 99,72% результаты по этому критерию. Таким образом, можно говорить об успешном решении поставленной по итогам ЕГЭ 2020 года задачи по </w:t>
      </w:r>
      <w:r>
        <w:t xml:space="preserve">формированию умения извлекать из текста не только содержательно-фактическую, но и содержательно-концептуальную информацию. В 2021 году незначительно изменилась формулировка К2, где нужно было указать смысловую связь между примерами-иллюстрациями и проанали</w:t>
      </w:r>
      <w:r>
        <w:t xml:space="preserve">зировать ее. Следует отметить, что в своем большинстве выпускники 2021 года неплохо справились с поставленной задачей. Средний % выполнения задания 74,59. Группы обучающихся, получивших 81-100 и 61-80 баллов, имеют 90,65% и 75,98% результаты соответственно</w:t>
      </w:r>
      <w:r>
        <w:t xml:space="preserve"> по этому критерию. В группе обучающихся, набравших до от 25 до 60 баллов, 53,29% справились с заданием. Но аспекту, связанному с комментированием проблемы по исходному тексту, при подготовке к ЕГЭ 2022 года следует продолжать уделять пристальное внимание.</w:t>
      </w:r>
      <w:r/>
    </w:p>
    <w:p>
      <w:pPr>
        <w:pStyle w:val="940"/>
        <w:jc w:val="both"/>
        <w:tabs>
          <w:tab w:val="clear" w:pos="708" w:leader="none"/>
          <w:tab w:val="left" w:pos="770" w:leader="none"/>
        </w:tabs>
      </w:pPr>
      <w:r>
        <w:tab/>
        <w:t xml:space="preserve">Следует отметить недостаточный результат по </w:t>
      </w:r>
      <w:r>
        <w:rPr>
          <w:b/>
        </w:rPr>
        <w:t xml:space="preserve">критерию К8</w:t>
      </w:r>
      <w:r>
        <w:t xml:space="preserve">. </w:t>
      </w:r>
      <w:r/>
    </w:p>
    <w:p>
      <w:pPr>
        <w:pStyle w:val="940"/>
        <w:jc w:val="both"/>
        <w:tabs>
          <w:tab w:val="clear" w:pos="708" w:leader="none"/>
          <w:tab w:val="left" w:pos="770" w:leader="none"/>
        </w:tabs>
      </w:pPr>
      <w:r>
        <w:tab/>
        <w:t xml:space="preserve">Общая языковая, орфографическая и пунктуационная грамотность в работах улучшилась. Однако огорчает следующая тенденция: подавляющее большинство работ строятся по одной с</w:t>
      </w:r>
      <w:r>
        <w:t xml:space="preserve">хеме, шаблонам, которые не демонстрируют индивидуальность автора. И такие работы при отсутствии недочетов и ошибок, тем не менее, говорят о поверхностном, ограниченном рамками шаблона рассуждении, показывающем неумение экзаменуемого мыслить самостоятельно.</w:t>
      </w:r>
      <w:r/>
    </w:p>
    <w:p>
      <w:pPr>
        <w:pStyle w:val="940"/>
        <w:jc w:val="both"/>
        <w:tabs>
          <w:tab w:val="clear" w:pos="708" w:leader="none"/>
          <w:tab w:val="left" w:pos="770" w:leader="none"/>
        </w:tabs>
        <w:rPr>
          <w:b/>
        </w:rPr>
      </w:pPr>
      <w:r>
        <w:rPr>
          <w:b/>
        </w:rPr>
        <w:tab/>
      </w:r>
      <w:r/>
    </w:p>
    <w:p>
      <w:pPr>
        <w:pStyle w:val="943"/>
        <w:numPr>
          <w:ilvl w:val="0"/>
          <w:numId w:val="0"/>
        </w:numPr>
        <w:ind w:left="0" w:firstLine="708"/>
      </w:pPr>
      <w:r>
        <w:rPr>
          <w:rFonts w:ascii="Times New Roman" w:hAnsi="Times New Roman" w:cs="Times New Roman"/>
          <w:lang w:val="ru-RU"/>
        </w:rPr>
        <w:t xml:space="preserve">3.2.3.</w:t>
      </w:r>
      <w:r>
        <w:rPr>
          <w:rFonts w:ascii="Times New Roman" w:hAnsi="Times New Roman" w:cs="Times New Roman"/>
        </w:rPr>
        <w:t xml:space="preserve"> </w:t>
      </w:r>
      <w:r>
        <w:rPr>
          <w:rFonts w:ascii="Times New Roman" w:hAnsi="Times New Roman" w:cs="Times New Roman"/>
          <w:b w:val="0"/>
          <w:iCs/>
        </w:rPr>
        <w:t xml:space="preserve">Выводы</w:t>
      </w:r>
      <w:r>
        <w:rPr>
          <w:rFonts w:ascii="Times New Roman" w:hAnsi="Times New Roman" w:cs="Times New Roman"/>
          <w:b w:val="0"/>
          <w:bCs w:val="0"/>
        </w:rPr>
        <w:t xml:space="preserve"> об итогах анализа выполнения заданий, групп заданий: </w:t>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jc w:val="both"/>
      </w:pPr>
      <w:r>
        <w:rPr>
          <w:rFonts w:eastAsia="Times New Roman"/>
          <w:bCs/>
          <w:iCs/>
        </w:rPr>
        <w:t xml:space="preserve">     </w:t>
      </w:r>
      <w:r>
        <w:rPr>
          <w:rFonts w:eastAsia="Times New Roman"/>
          <w:bCs/>
          <w:iCs/>
        </w:rPr>
        <w:tab/>
        <w:t xml:space="preserve">- Информационная обработка письменных текстов различных стилей и жанров (задание 1);</w:t>
      </w:r>
      <w:r/>
    </w:p>
    <w:p>
      <w:pPr>
        <w:pStyle w:val="940"/>
        <w:jc w:val="both"/>
      </w:pPr>
      <w:r>
        <w:rPr>
          <w:rFonts w:eastAsia="Times New Roman"/>
          <w:bCs/>
          <w:iCs/>
        </w:rPr>
        <w:t xml:space="preserve">      </w:t>
      </w:r>
      <w:r>
        <w:rPr>
          <w:rFonts w:eastAsia="Times New Roman"/>
          <w:bCs/>
          <w:iCs/>
        </w:rPr>
        <w:tab/>
        <w:t xml:space="preserve">- Средства связи предложений в тексте. Отбор языковых средств в тексте в зависимости от     темы, цели, адресата и ситуации общения (задание 2);</w:t>
      </w:r>
      <w:r/>
    </w:p>
    <w:p>
      <w:pPr>
        <w:pStyle w:val="940"/>
        <w:jc w:val="both"/>
      </w:pPr>
      <w:r>
        <w:rPr>
          <w:rFonts w:eastAsia="Times New Roman"/>
          <w:bCs/>
          <w:iCs/>
        </w:rPr>
        <w:t xml:space="preserve">      </w:t>
      </w:r>
      <w:r>
        <w:rPr>
          <w:rFonts w:eastAsia="Times New Roman"/>
          <w:bCs/>
          <w:iCs/>
        </w:rPr>
        <w:tab/>
        <w:t xml:space="preserve">- Лексическое значение слова и лексические нормы (задания 3, 6);</w:t>
      </w:r>
      <w:r/>
    </w:p>
    <w:p>
      <w:pPr>
        <w:pStyle w:val="940"/>
        <w:jc w:val="both"/>
      </w:pPr>
      <w:r>
        <w:rPr>
          <w:rFonts w:eastAsia="Times New Roman"/>
          <w:bCs/>
          <w:iCs/>
        </w:rPr>
        <w:t xml:space="preserve">       </w:t>
      </w:r>
      <w:r>
        <w:rPr>
          <w:rFonts w:eastAsia="Times New Roman"/>
          <w:bCs/>
          <w:iCs/>
        </w:rPr>
        <w:tab/>
        <w:t xml:space="preserve">- Правописание НЕ и НИ (задание 13);</w:t>
      </w:r>
      <w:r/>
    </w:p>
    <w:p>
      <w:pPr>
        <w:pStyle w:val="940"/>
        <w:jc w:val="both"/>
      </w:pPr>
      <w:r>
        <w:rPr>
          <w:rFonts w:eastAsia="Times New Roman"/>
          <w:bCs/>
          <w:iCs/>
        </w:rPr>
        <w:t xml:space="preserve">       </w:t>
      </w:r>
      <w:r>
        <w:rPr>
          <w:rFonts w:eastAsia="Times New Roman"/>
          <w:bCs/>
          <w:iCs/>
        </w:rPr>
        <w:tab/>
        <w:t xml:space="preserve">- Слитное, дефисное, раздельное написание слов (задание 14);</w:t>
      </w:r>
      <w:r/>
    </w:p>
    <w:p>
      <w:pPr>
        <w:pStyle w:val="940"/>
        <w:jc w:val="both"/>
      </w:pPr>
      <w:r>
        <w:rPr>
          <w:rFonts w:eastAsia="Times New Roman"/>
          <w:bCs/>
          <w:iCs/>
        </w:rPr>
        <w:t xml:space="preserve">      </w:t>
      </w:r>
      <w:r>
        <w:rPr>
          <w:rFonts w:eastAsia="Times New Roman"/>
          <w:bCs/>
          <w:iCs/>
        </w:rPr>
        <w:tab/>
        <w:t xml:space="preserve">- Знаки препинания в сложноподчинённом предложении (задание 19).</w:t>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rPr>
          <w:rFonts w:eastAsia="Times New Roman"/>
          <w:bCs/>
          <w:iCs/>
        </w:rPr>
      </w:pPr>
      <w:r>
        <w:rPr>
          <w:rFonts w:eastAsia="Times New Roman"/>
          <w:bCs/>
          <w:iCs/>
        </w:rPr>
        <w:t xml:space="preserve">-  Правописание суффиксов различных частей речи (кроме -Н-/-НН-) (задание 11);</w:t>
      </w:r>
      <w:r/>
    </w:p>
    <w:p>
      <w:pPr>
        <w:pStyle w:val="940"/>
        <w:ind w:firstLine="708"/>
        <w:jc w:val="both"/>
        <w:rPr>
          <w:rFonts w:eastAsia="Times New Roman"/>
          <w:bCs/>
          <w:iCs/>
        </w:rPr>
      </w:pPr>
      <w:r>
        <w:rPr>
          <w:rFonts w:eastAsia="Times New Roman"/>
          <w:bCs/>
          <w:iCs/>
        </w:rPr>
        <w:t xml:space="preserve">-  Правописание личных окончаний глаголов и суффиксов причастий) (задание 12);</w:t>
      </w:r>
      <w:r/>
    </w:p>
    <w:p>
      <w:pPr>
        <w:pStyle w:val="940"/>
        <w:ind w:firstLine="708"/>
        <w:jc w:val="both"/>
        <w:rPr>
          <w:rFonts w:eastAsia="Times New Roman"/>
          <w:bCs/>
          <w:iCs/>
        </w:rPr>
      </w:pPr>
      <w:r>
        <w:rPr>
          <w:rFonts w:eastAsia="Times New Roman"/>
          <w:bCs/>
          <w:iCs/>
        </w:rPr>
        <w:t xml:space="preserve">-  Знаки препинания в сложном предложении с разными видами связи (задание 20);</w:t>
      </w:r>
      <w:r/>
    </w:p>
    <w:p>
      <w:pPr>
        <w:pStyle w:val="940"/>
        <w:ind w:firstLine="708"/>
        <w:jc w:val="both"/>
        <w:rPr>
          <w:rFonts w:eastAsia="Times New Roman"/>
          <w:bCs/>
          <w:iCs/>
        </w:rPr>
      </w:pPr>
      <w:r>
        <w:rPr>
          <w:rFonts w:eastAsia="Times New Roman"/>
          <w:bCs/>
          <w:iCs/>
        </w:rPr>
        <w:t xml:space="preserve">-  Пунктуационный анализ (задание 21);</w:t>
      </w:r>
      <w:r/>
    </w:p>
    <w:p>
      <w:pPr>
        <w:pStyle w:val="940"/>
        <w:ind w:firstLine="708"/>
        <w:jc w:val="both"/>
        <w:rPr>
          <w:rFonts w:eastAsia="Times New Roman"/>
          <w:bCs/>
          <w:iCs/>
        </w:rPr>
      </w:pPr>
      <w:r>
        <w:rPr>
          <w:rFonts w:eastAsia="Times New Roman"/>
          <w:bCs/>
          <w:iCs/>
        </w:rPr>
        <w:t xml:space="preserve">-  Функционально-смысловые типы речи (задание 23)</w:t>
      </w:r>
      <w:r/>
    </w:p>
    <w:p>
      <w:pPr>
        <w:pStyle w:val="940"/>
        <w:contextualSpacing/>
        <w:ind w:firstLine="708"/>
        <w:jc w:val="both"/>
        <w:spacing w:before="0" w:after="0"/>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708"/>
        <w:jc w:val="both"/>
        <w:rPr>
          <w:rFonts w:eastAsia="Times New Roman"/>
          <w:bCs/>
          <w:iCs/>
        </w:rPr>
      </w:pPr>
      <w:r>
        <w:rPr>
          <w:rFonts w:eastAsia="Times New Roman"/>
          <w:bCs/>
          <w:iCs/>
        </w:rPr>
        <w:t xml:space="preserve">В целом государственная итоговая аттестация показала неплохую подготовку выпускников и свидетельствует о серьезной работе педагогиче</w:t>
      </w:r>
      <w:r>
        <w:rPr>
          <w:rFonts w:eastAsia="Times New Roman"/>
          <w:bCs/>
          <w:iCs/>
        </w:rPr>
        <w:t xml:space="preserve">ских коллективов и методических служб. Однако общая тенденция к снижению результатов, пусть и незначительная, по заданиям и критериям настораживает и требует глубокого анализа, определения стратегии и проведения системы мероприятий по подготовке педагогов.</w:t>
      </w:r>
      <w:r/>
    </w:p>
    <w:p>
      <w:pPr>
        <w:pStyle w:val="940"/>
        <w:ind w:firstLine="708"/>
        <w:jc w:val="both"/>
        <w:rPr>
          <w:rFonts w:eastAsia="Times New Roman"/>
          <w:bCs/>
          <w:iCs/>
        </w:rPr>
      </w:pPr>
      <w:r>
        <w:rPr>
          <w:rFonts w:eastAsia="Times New Roman"/>
          <w:bCs/>
          <w:iCs/>
        </w:rPr>
        <w:t xml:space="preserve">Особое внимание следует уделить работе с текстом: комплексный анализ текста, изучение лингвистических явлений на текстовом материале, формирование навыков разграничения функционально-смысловых типов речи.</w:t>
      </w:r>
      <w:r/>
    </w:p>
    <w:p>
      <w:pPr>
        <w:pStyle w:val="940"/>
        <w:ind w:firstLine="708"/>
        <w:jc w:val="both"/>
        <w:rPr>
          <w:rFonts w:eastAsia="Times New Roman"/>
          <w:bCs/>
          <w:iCs/>
        </w:rPr>
      </w:pPr>
      <w:r>
        <w:rPr>
          <w:rFonts w:eastAsia="Times New Roman"/>
          <w:bCs/>
          <w:iCs/>
        </w:rPr>
        <w:t xml:space="preserve">Повседневное внимание к устной и письменной речи обучающихся, к использованию ими синонимичных констр</w:t>
      </w:r>
      <w:r>
        <w:rPr>
          <w:rFonts w:eastAsia="Times New Roman"/>
          <w:bCs/>
          <w:iCs/>
        </w:rPr>
        <w:t xml:space="preserve">укций и форм, борьба с «общими местами» и штампами в мыслях и речи, систематическая работа по преодолению различных несовершенств в создаваемых высказываниях не могут «работать» отдельно от изучения других школьных дисциплин. Именно поэтому проблемы, выявл</w:t>
      </w:r>
      <w:r>
        <w:rPr>
          <w:rFonts w:eastAsia="Times New Roman"/>
          <w:bCs/>
          <w:iCs/>
        </w:rPr>
        <w:t xml:space="preserve">енные при анализе результатов единого государственного экзамена, которые отражают уровень владения различными языковыми и речевыми нормами, могут быть устранены только в том случае, если в школе при изучении всех предметов будут соблюдаться единые подходы </w:t>
      </w:r>
      <w:r>
        <w:rPr>
          <w:rFonts w:eastAsia="Times New Roman"/>
          <w:bCs/>
          <w:iCs/>
        </w:rPr>
        <w:t xml:space="preserve">к формированию и оцениванию основных видов речевой деятельности (слушания, письма, чтения, говорения), будет проводиться работа по предупреждению ошибок, связанных с нарушением лексической сочетаемости слов, употреблением слов в несвойственном им значении.</w:t>
      </w:r>
      <w:r/>
    </w:p>
    <w:p>
      <w:pPr>
        <w:pStyle w:val="940"/>
        <w:contextualSpacing/>
        <w:ind w:firstLine="708"/>
        <w:jc w:val="both"/>
        <w:spacing w:before="0" w:after="0"/>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contextualSpacing/>
        <w:jc w:val="both"/>
        <w:spacing w:before="0" w:after="0"/>
      </w:pPr>
      <w:r>
        <w:rPr>
          <w:rFonts w:eastAsia="Times New Roman"/>
          <w:bCs/>
          <w:iCs/>
        </w:rPr>
        <w:t xml:space="preserve">В 2021 году изменений в тестовой части КИМ не было.</w:t>
      </w:r>
      <w:r/>
    </w:p>
    <w:p>
      <w:pPr>
        <w:pStyle w:val="940"/>
        <w:contextualSpacing/>
        <w:ind w:firstLine="708"/>
        <w:jc w:val="both"/>
        <w:spacing w:before="0" w:after="0"/>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708"/>
        <w:jc w:val="both"/>
        <w:rPr>
          <w:rFonts w:eastAsia="Times New Roman"/>
          <w:bCs/>
          <w:iCs/>
        </w:rPr>
      </w:pPr>
      <w:r>
        <w:rPr>
          <w:rFonts w:eastAsia="Times New Roman"/>
          <w:bCs/>
          <w:iCs/>
        </w:rPr>
        <w:t xml:space="preserve">В 2021 году ЕГЭ сдавало 3682 человек, что на 220 выпускников меньше, чем в 2020 году.</w:t>
      </w:r>
      <w:r/>
    </w:p>
    <w:p>
      <w:pPr>
        <w:pStyle w:val="940"/>
        <w:ind w:firstLine="708"/>
        <w:jc w:val="both"/>
        <w:rPr>
          <w:rFonts w:eastAsia="Times New Roman"/>
          <w:bCs/>
          <w:iCs/>
        </w:rPr>
      </w:pPr>
      <w:r>
        <w:rPr>
          <w:rFonts w:eastAsia="Times New Roman"/>
          <w:bCs/>
          <w:iCs/>
        </w:rPr>
        <w:t xml:space="preserve">Средний балл вырос на 0,4%. В 2021 году он составил 70,8%. В 2020 году этот показатель равнялся 70,4%, а в 2019 году 69,9%, что говорит о положительной динамике.</w:t>
      </w:r>
      <w:r/>
    </w:p>
    <w:p>
      <w:pPr>
        <w:pStyle w:val="940"/>
        <w:ind w:firstLine="708"/>
        <w:jc w:val="both"/>
        <w:rPr>
          <w:rFonts w:eastAsia="Times New Roman"/>
          <w:bCs/>
          <w:iCs/>
        </w:rPr>
      </w:pPr>
      <w:r>
        <w:rPr>
          <w:rFonts w:eastAsia="Times New Roman"/>
          <w:bCs/>
          <w:iCs/>
        </w:rPr>
        <w:t xml:space="preserve">Количество стобалльных работ в 2021 году уменьшилось в сравнении с предыдущими годами (2019 г.- 11, 2020 г.- 12, 2021 г. – 9).</w:t>
      </w:r>
      <w:r/>
    </w:p>
    <w:p>
      <w:pPr>
        <w:pStyle w:val="940"/>
        <w:ind w:firstLine="708"/>
        <w:jc w:val="both"/>
      </w:pPr>
      <w:r>
        <w:rPr>
          <w:rFonts w:eastAsia="Times New Roman"/>
          <w:bCs/>
          <w:iCs/>
        </w:rPr>
        <w:t xml:space="preserve">Количество участников, набравших от 81 до 99 баллов, увеличилось до 26,3%. В 2019 г. данное количество составляло 23,0%, в 2020 г. -  24,3%.</w:t>
      </w:r>
      <w:r/>
    </w:p>
    <w:p>
      <w:pPr>
        <w:pStyle w:val="940"/>
        <w:jc w:val="both"/>
        <w:rPr>
          <w:rFonts w:eastAsia="Times New Roman"/>
          <w:bCs/>
          <w:iCs/>
        </w:rPr>
      </w:pPr>
      <w:r>
        <w:rPr>
          <w:rFonts w:eastAsia="Times New Roman"/>
          <w:bCs/>
          <w:iCs/>
        </w:rPr>
        <w:t xml:space="preserve">0,2% выпускников не смогли преодолеть минимальный порог баллов. Тем не менее, это положительная динамика, т.к. в 2020 г. данный процент равнялся 1,5%.</w:t>
      </w:r>
      <w:r/>
    </w:p>
    <w:p>
      <w:pPr>
        <w:pStyle w:val="940"/>
        <w:contextualSpacing/>
        <w:ind w:firstLine="708"/>
        <w:jc w:val="both"/>
        <w:spacing w:before="0" w:after="0"/>
        <w:rPr>
          <w:rFonts w:eastAsia="Times New Roman"/>
          <w:bCs/>
          <w:i/>
          <w:iCs/>
        </w:rPr>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ind w:firstLine="708"/>
        <w:jc w:val="both"/>
        <w:rPr>
          <w:rFonts w:eastAsia="Times New Roman"/>
          <w:bCs/>
          <w:iCs/>
        </w:rPr>
      </w:pPr>
      <w:r>
        <w:rPr>
          <w:rFonts w:eastAsia="Times New Roman"/>
          <w:bCs/>
          <w:iCs/>
        </w:rPr>
        <w:t xml:space="preserve">Проанализировав мероприятия, предложенные для улучшения результатов ЕГЭ в 2021 году, можно сказать, что они положительно повлияли на ситуацию.</w:t>
      </w:r>
      <w:r/>
    </w:p>
    <w:p>
      <w:pPr>
        <w:pStyle w:val="940"/>
        <w:ind w:firstLine="708"/>
        <w:jc w:val="both"/>
        <w:rPr>
          <w:rFonts w:eastAsia="Times New Roman"/>
          <w:bCs/>
          <w:iCs/>
        </w:rPr>
      </w:pPr>
      <w:r>
        <w:rPr>
          <w:rFonts w:eastAsia="Times New Roman"/>
          <w:bCs/>
          <w:iCs/>
        </w:rPr>
        <w:t xml:space="preserve">В регионе были проведены обучающие мероприятия (семинары, вебинары, открытые заседания предмет</w:t>
      </w:r>
      <w:r>
        <w:rPr>
          <w:rFonts w:eastAsia="Times New Roman"/>
          <w:bCs/>
          <w:iCs/>
        </w:rPr>
        <w:t xml:space="preserve">ных секций регионального учебно-методического объединения) по разрешению актуальных вопросов подготовки, обучающихся к ГИА. По итогам обучающих мероприятий выработана согласованная позиция по организации работы по практической подготовке обучающихся к ГИА.</w:t>
      </w:r>
      <w:r/>
    </w:p>
    <w:p>
      <w:pPr>
        <w:pStyle w:val="940"/>
        <w:ind w:firstLine="708"/>
        <w:jc w:val="both"/>
        <w:rPr>
          <w:rFonts w:eastAsia="Times New Roman"/>
          <w:bCs/>
          <w:iCs/>
        </w:rPr>
      </w:pPr>
      <w:r>
        <w:rPr>
          <w:rFonts w:eastAsia="Times New Roman"/>
          <w:bCs/>
          <w:iCs/>
        </w:rPr>
        <w:t xml:space="preserve">Проведены открытые заседания предметных секций регионального учебно-методического объединения учителей с обсуждени</w:t>
      </w:r>
      <w:r>
        <w:rPr>
          <w:rFonts w:eastAsia="Times New Roman"/>
          <w:bCs/>
          <w:iCs/>
        </w:rPr>
        <w:t xml:space="preserve">ем вопросов, связанных с организацией учебных занятий, ориентированных на подготовку выпускников к ЕГЭ. Эффективность проведения подобных мероприятий в течение ряда лет подтверждается точечным и массовым изменением в положительную сторону результатов ГИА. </w:t>
      </w:r>
      <w:r/>
    </w:p>
    <w:p>
      <w:pPr>
        <w:pStyle w:val="940"/>
        <w:jc w:val="both"/>
      </w:pPr>
      <w:r>
        <w:rPr>
          <w:rFonts w:eastAsia="Times New Roman"/>
          <w:bCs/>
          <w:iCs/>
        </w:rPr>
        <w:t xml:space="preserve"> </w:t>
      </w:r>
      <w:r>
        <w:rPr>
          <w:rFonts w:eastAsia="Times New Roman"/>
          <w:bCs/>
          <w:iCs/>
        </w:rPr>
        <w:tab/>
        <w:t xml:space="preserve">Эффективность участия экспертов и председателей предметных комиссий в такого рода мероприятиях подтверждается ежегодным запросом со стороны учителей на расш</w:t>
      </w:r>
      <w:r>
        <w:rPr>
          <w:rFonts w:eastAsia="Times New Roman"/>
          <w:bCs/>
          <w:iCs/>
        </w:rPr>
        <w:t xml:space="preserve">ирение подобной тематики. Также в течение 2020-2021 учебного года проводилась работа с ОО с аномально низкими результатами ЕГЭ 2020 г. Было положено начало формирования управленческих команд, способных самостоятельно решать методические проблемы на местах.</w:t>
      </w:r>
      <w:r/>
    </w:p>
    <w:p>
      <w:pPr>
        <w:pStyle w:val="940"/>
        <w:ind w:firstLine="708"/>
        <w:jc w:val="both"/>
        <w:rPr>
          <w:rFonts w:eastAsia="Times New Roman"/>
          <w:bCs/>
          <w:iCs/>
        </w:rPr>
      </w:pPr>
      <w:r>
        <w:rPr>
          <w:rFonts w:eastAsia="Times New Roman"/>
          <w:bCs/>
          <w:iCs/>
        </w:rPr>
        <w:t xml:space="preserve">Комплекс проведенных мероприятий будет продолжен в следующем учебном году, т.к. он дал положительную динамику при проведении экзаменационной кампании 2021 года.</w:t>
      </w:r>
      <w:r/>
    </w:p>
    <w:p>
      <w:pPr>
        <w:pStyle w:val="940"/>
        <w:contextualSpacing/>
        <w:ind w:firstLine="708"/>
        <w:jc w:val="both"/>
        <w:spacing w:before="0" w:after="0"/>
        <w:rPr>
          <w:rFonts w:eastAsia="Times New Roman"/>
          <w:bCs/>
          <w:i/>
          <w:iCs/>
        </w:rPr>
      </w:pPr>
      <w:r>
        <w:rPr>
          <w:rFonts w:eastAsia="Times New Roman"/>
          <w:bCs/>
          <w:i/>
          <w:iCs/>
        </w:rPr>
        <w:t xml:space="preserve">Прочие выводы</w:t>
      </w:r>
      <w:r/>
    </w:p>
    <w:p>
      <w:pPr>
        <w:pStyle w:val="940"/>
        <w:jc w:val="both"/>
        <w:tabs>
          <w:tab w:val="clear" w:pos="708" w:leader="none"/>
          <w:tab w:val="left" w:pos="770" w:leader="none"/>
        </w:tabs>
      </w:pPr>
      <w:r>
        <w:tab/>
        <w:t xml:space="preserve">Результаты ЕГЭ по русскому языку также убеждают в необходимости использования в работе учителя современных способов проверки знаний, умений и навыков обучающихся.</w:t>
      </w:r>
      <w:r/>
    </w:p>
    <w:p>
      <w:pPr>
        <w:pStyle w:val="940"/>
        <w:jc w:val="both"/>
        <w:tabs>
          <w:tab w:val="clear" w:pos="708" w:leader="none"/>
          <w:tab w:val="left" w:pos="770" w:leader="none"/>
        </w:tabs>
      </w:pPr>
      <w:r>
        <w:tab/>
        <w:t xml:space="preserve">Единый государственный экзамен является в первую очередь испытанием, проверяющим индивидуальные достижения участника экзамена по предмету. И поэтому трудно переоценить значение учета индивидуаль</w:t>
      </w:r>
      <w:r>
        <w:t xml:space="preserve">ности обучающихся в освоении школьного курса при дифференцированном подходе к обучению русскому языку. Главными вопросами каждого учителя должны стать следующие: как учится ученик и как лучше его обучать; каковы сильные стороны конкретного ученика и как их</w:t>
      </w:r>
      <w:r>
        <w:t xml:space="preserve"> можно развить; в чем ученик испытывает трудности и как они могут быть преодолены; есть ли в обучении и учении школьников положительная динамика и в чем ее успех; происходит ли переход обучающихся в освоение предметного содержания на более высокий уровень?</w:t>
      </w:r>
      <w:r/>
    </w:p>
    <w:p>
      <w:pPr>
        <w:pStyle w:val="940"/>
        <w:jc w:val="both"/>
        <w:tabs>
          <w:tab w:val="clear" w:pos="708" w:leader="none"/>
          <w:tab w:val="left" w:pos="770" w:leader="none"/>
        </w:tabs>
      </w:pPr>
      <w:r>
        <w:tab/>
        <w:t xml:space="preserve">Таким образом, ученику должна быть предоставлена возможность: </w:t>
      </w:r>
      <w:r/>
    </w:p>
    <w:p>
      <w:pPr>
        <w:pStyle w:val="940"/>
        <w:jc w:val="both"/>
        <w:tabs>
          <w:tab w:val="clear" w:pos="708" w:leader="none"/>
          <w:tab w:val="left" w:pos="770" w:leader="none"/>
        </w:tabs>
      </w:pPr>
      <w:r>
        <w:tab/>
        <w:t xml:space="preserve">- учиться в зоне своего ближайшего развития; </w:t>
      </w:r>
      <w:r/>
    </w:p>
    <w:p>
      <w:pPr>
        <w:pStyle w:val="940"/>
        <w:jc w:val="both"/>
        <w:tabs>
          <w:tab w:val="clear" w:pos="708" w:leader="none"/>
          <w:tab w:val="left" w:pos="770" w:leader="none"/>
        </w:tabs>
      </w:pPr>
      <w:r>
        <w:tab/>
        <w:t xml:space="preserve">- осуществлять самоуправление и взаимоуправление учебно-познавательной деятельностью; </w:t>
      </w:r>
      <w:r/>
    </w:p>
    <w:p>
      <w:pPr>
        <w:pStyle w:val="940"/>
        <w:jc w:val="both"/>
        <w:tabs>
          <w:tab w:val="clear" w:pos="708" w:leader="none"/>
          <w:tab w:val="left" w:pos="770" w:leader="none"/>
        </w:tabs>
      </w:pPr>
      <w:r>
        <w:tab/>
        <w:t xml:space="preserve">- учиться общаться со своими товарищами и с учителем; </w:t>
      </w:r>
      <w:r/>
    </w:p>
    <w:p>
      <w:pPr>
        <w:pStyle w:val="940"/>
        <w:jc w:val="both"/>
        <w:tabs>
          <w:tab w:val="clear" w:pos="708" w:leader="none"/>
          <w:tab w:val="left" w:pos="770" w:leader="none"/>
        </w:tabs>
      </w:pPr>
      <w:r>
        <w:tab/>
        <w:t xml:space="preserve">- работать в своем темпе, но учиться распределять свое время; </w:t>
      </w:r>
      <w:r/>
    </w:p>
    <w:p>
      <w:pPr>
        <w:pStyle w:val="940"/>
        <w:jc w:val="both"/>
        <w:tabs>
          <w:tab w:val="clear" w:pos="708" w:leader="none"/>
          <w:tab w:val="left" w:pos="770" w:leader="none"/>
        </w:tabs>
      </w:pPr>
      <w:r>
        <w:tab/>
        <w:t xml:space="preserve">- осуществлять рефлексию по ходу учения и в конце каждого учебного занятия.</w:t>
      </w:r>
      <w:r/>
    </w:p>
    <w:p>
      <w:pPr>
        <w:pStyle w:val="940"/>
        <w:jc w:val="both"/>
        <w:tabs>
          <w:tab w:val="clear" w:pos="708" w:leader="none"/>
          <w:tab w:val="left" w:pos="770" w:leader="none"/>
        </w:tabs>
      </w:pPr>
      <w:r>
        <w:tab/>
        <w:t xml:space="preserve">Важно понимать, что школьник должен иметь право на ошибку, на подробный, совместный с учителем анализ последовательности учебных действий. Это определяет педагогическую нецелесообразность поспешности в примене</w:t>
      </w:r>
      <w:r>
        <w:t xml:space="preserve">нии цифровой оценки – отметки, карающей за любую ошибку, и усиление значения оценки в виде аналитических суждений, объясняющих возможные пути исправления ошибок. Такой подход поддерживает ситуацию успеха и формирует правильное отношение ученика к контролю.</w:t>
      </w:r>
      <w:r/>
    </w:p>
    <w:p>
      <w:pPr>
        <w:pStyle w:val="940"/>
        <w:jc w:val="both"/>
        <w:tabs>
          <w:tab w:val="clear" w:pos="708" w:leader="none"/>
          <w:tab w:val="left" w:pos="770" w:leader="none"/>
        </w:tabs>
      </w:pPr>
      <w:r>
        <w:tab/>
        <w:t xml:space="preserve">Важнейшей составляющей </w:t>
      </w:r>
      <w:r>
        <w:t xml:space="preserve">описанного подхода к обучению является использование в процессе изучения языка формирующего оценивания. Формирующее (формативное) оценивание – оценивание для обучения. Оно помогает ученику и учителю получить информацию о том, как много и насколько успешно </w:t>
      </w:r>
      <w:r>
        <w:t xml:space="preserve">идут процессы учения и обучения. Формирующее оценивание имеет свои особенности:  ориентировано на оценивание отдельного ученика «относительно его самого», а не на оценивание его относительно других; направлено на проверку развития навыков, а не умственных </w:t>
      </w:r>
      <w:r>
        <w:t xml:space="preserve">способностей ученика; осуществляется в относительно естественных условиях и, следовательно, не порождает «послушных» данных; нацелено на поиск «лучших», а не «типичных» учебных и внеучебных достижений; предполагает ослабление правил и инструкций, присущих </w:t>
      </w:r>
      <w:r>
        <w:t xml:space="preserve">стандартизованному тестированию; оказывает реальную помощь школьнику и не «навешивает» на него изначально заданных «ярлыков». Вместе с тем в отечественной методике накоплен немалый опыт выявления и описания педагогических условий индивидуализации обучения.</w:t>
      </w:r>
      <w:r/>
    </w:p>
    <w:p>
      <w:pPr>
        <w:pStyle w:val="940"/>
        <w:jc w:val="both"/>
        <w:tabs>
          <w:tab w:val="clear" w:pos="708" w:leader="none"/>
          <w:tab w:val="left" w:pos="770" w:leader="none"/>
        </w:tabs>
      </w:pPr>
      <w:r>
        <w:tab/>
        <w:t xml:space="preserve">Чтобы обучать всех, надо учитывать индивидуальные особенности учащихся и дифференцировать подлежащий усвоению материал на обязательный, дополнительный и факульт</w:t>
      </w:r>
      <w:r>
        <w:t xml:space="preserve">ативный. Конечно, такая дифференциация содержится в программах, учебниках, что значительно облегчает работу учителя. Однако в учебном процессе каждый учитель должен решать проблему дифференцированного подхода индивидуально, применительно к каждому ученику.</w:t>
      </w:r>
      <w:r/>
    </w:p>
    <w:p>
      <w:pPr>
        <w:pStyle w:val="940"/>
        <w:jc w:val="both"/>
        <w:tabs>
          <w:tab w:val="clear" w:pos="708" w:leader="none"/>
          <w:tab w:val="left" w:pos="770" w:leader="none"/>
        </w:tabs>
      </w:pPr>
      <w:r>
        <w:tab/>
        <w:t xml:space="preserve">С данным вопросом тесно соприкасается другой – о дидактическом материале. Каким он должен быть, чтобы уровень подготовки обучающихся по языку постепенно возрастал за счет совершенствования уже приобрет</w:t>
      </w:r>
      <w:r>
        <w:t xml:space="preserve">енных умений, навыков и прочного усвоения вновь изучаемого материала? Следует обратить внимание на то, что возможность диагностики и дифференцированного подхода к обучению русскому языку заложена в самой модели экзамена в целом и каждой темы в отдельности.</w:t>
      </w:r>
      <w:r/>
    </w:p>
    <w:p>
      <w:pPr>
        <w:pStyle w:val="940"/>
        <w:jc w:val="both"/>
        <w:tabs>
          <w:tab w:val="clear" w:pos="708" w:leader="none"/>
          <w:tab w:val="left" w:pos="770" w:leader="none"/>
        </w:tabs>
      </w:pPr>
      <w:r>
        <w:tab/>
        <w:t xml:space="preserve">Описанный подход к оцениванию устраняет дефициты действующей системы оценки, доминантой которой является контроль, и способен принципиально изменить сложившуюся педагогическую практику.</w:t>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both"/>
        <w:tabs>
          <w:tab w:val="clear" w:pos="708" w:leader="none"/>
          <w:tab w:val="left" w:pos="770" w:leader="none"/>
        </w:tabs>
      </w:p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t xml:space="preserve">Раздел 4. РЕКОМЕНДАЦИИ ДЛЯ СИСТЕМЫ ОБРАЗОВАНИЯ СУБЪЕКТА РОССИЙСКОЙ ФЕДЕРАЦИИ</w:t>
      </w:r>
      <w:r/>
    </w:p>
    <w:p>
      <w:pPr>
        <w:pStyle w:val="940"/>
        <w:jc w:val="both"/>
        <w:tabs>
          <w:tab w:val="clear" w:pos="708" w:leader="none"/>
          <w:tab w:val="left" w:pos="770" w:leader="none"/>
        </w:tabs>
      </w:pPr>
      <w:r>
        <w:tab/>
        <w:t xml:space="preserve">Анализ результатов единого государственного экзамена по русскому языку в 2021 году позволяет дать некоторые рекомендации по совершенствованию процесса преподавания русского языка.</w:t>
      </w:r>
      <w:r/>
    </w:p>
    <w:p>
      <w:pPr>
        <w:pStyle w:val="940"/>
        <w:jc w:val="both"/>
        <w:tabs>
          <w:tab w:val="clear" w:pos="708" w:leader="none"/>
          <w:tab w:val="left" w:pos="770" w:leader="none"/>
        </w:tabs>
      </w:pPr>
      <w:r>
        <w:tab/>
        <w:t xml:space="preserve">1. Можно предположить, что многие недостатки подготовки экзаменуемых связаны с сохраняющимся в школьной практике вербально-информационным стилем обучения, что приводит к неу</w:t>
      </w:r>
      <w:r>
        <w:t xml:space="preserve">мению выпускников мыслить самостоятельно, излагать свою точку зрения, аргументировать её. При этом на уроках русского языка в старшей школе необходимо учитывать объективные закономерности педагогического процесса: усложнение тематики и проблематики общения</w:t>
      </w:r>
      <w:r>
        <w:t xml:space="preserve">, необходимость работы с текстами различных стилей и типов речи, потребность овладения в условиях профильной школы навыками работы с информацией, представленной в различной форме, а также умениями, связанными с созданием собственного речевого высказывания.</w:t>
      </w:r>
      <w:r/>
    </w:p>
    <w:p>
      <w:pPr>
        <w:pStyle w:val="940"/>
        <w:jc w:val="both"/>
        <w:tabs>
          <w:tab w:val="clear" w:pos="708" w:leader="none"/>
          <w:tab w:val="left" w:pos="770" w:leader="none"/>
        </w:tabs>
      </w:pPr>
      <w:r>
        <w:tab/>
        <w:t xml:space="preserve">2. Весьма актуальной проблемой для современной методики преподавания русского языка становится проблема интеграции с</w:t>
      </w:r>
      <w:r>
        <w:t xml:space="preserve">одержания образования. Обучение языкам, изучение литературы происходит по сложившейся традиции автономно, недостаточно реализуются принципы преемственности, межпредметных связей, не всегда согласуется содержание и структура дисциплин филологического цикла.</w:t>
      </w:r>
      <w:r/>
    </w:p>
    <w:p>
      <w:pPr>
        <w:pStyle w:val="940"/>
        <w:jc w:val="both"/>
        <w:tabs>
          <w:tab w:val="clear" w:pos="708" w:leader="none"/>
          <w:tab w:val="left" w:pos="770" w:leader="none"/>
        </w:tabs>
      </w:pPr>
      <w:r>
        <w:tab/>
        <w:t xml:space="preserve">3. Как и в предыдущие годы, актуальной остаётся работа с текстом на уроках русского я</w:t>
      </w:r>
      <w:r>
        <w:t xml:space="preserve">зыка. Текст, с одной стороны, должен стать стимулом для обсуждения различных проблем, с другой стороны – предоставить необходимый фактический и языковой материал для создания собственного речевого высказывания (смысловая информация, структура и набор языко</w:t>
      </w:r>
      <w:r>
        <w:t xml:space="preserve">вых средств). Следует разнообразить дидактический материал, включая в работу на уроке неадаптированные тексты. Резервом повышения эффективности формирования коммуникативной компетенции может быть усиление внимания к вопросам структурной организации текста.</w:t>
      </w:r>
      <w:r/>
    </w:p>
    <w:p>
      <w:pPr>
        <w:pStyle w:val="940"/>
        <w:jc w:val="both"/>
        <w:tabs>
          <w:tab w:val="clear" w:pos="708" w:leader="none"/>
          <w:tab w:val="left" w:pos="770" w:leader="none"/>
        </w:tabs>
      </w:pPr>
      <w:r>
        <w:tab/>
        <w:t xml:space="preserve">4. Результаты экзамена говорят о том, что в процессе обучения следует более последовательно реализовывать в школе сознательно-коммуникативный принцип обучения родному языку, основная </w:t>
      </w:r>
      <w:r>
        <w:t xml:space="preserve">идея которого заключается в признании важности теоретических (лингвистических) знаний для успешного формирования практических речевых умений. Особое внимание следует обратить на формирование аналитических умений. При этом необходимо постоянное внимание к с</w:t>
      </w:r>
      <w:r>
        <w:t xml:space="preserve">мысловой стороне рассматриваемых языковых явлений (лексических, грамматических, словообразовательных и др.), использование разнообразных видов деятельности, нацеленных на применение знаний и умений в различных ситуациях, а не на простое их воспроизведение.</w:t>
      </w:r>
      <w:r/>
    </w:p>
    <w:p>
      <w:pPr>
        <w:pStyle w:val="940"/>
        <w:jc w:val="both"/>
        <w:tabs>
          <w:tab w:val="clear" w:pos="708" w:leader="none"/>
          <w:tab w:val="left" w:pos="770" w:leader="none"/>
        </w:tabs>
      </w:pPr>
      <w:r>
        <w:tab/>
        <w:t xml:space="preserve">5. Методика работы на уроках русского языка по предупреждению речевых ошибок должна основываться, во-</w:t>
      </w:r>
      <w:r>
        <w:t xml:space="preserve">первых, на распознавании ошибок различных типов и, во-вторых, на их устранении (с помощью специальных приемов). Причем сам этап распознавания ошибки должен строиться на понимании семантического противоречия, спровоцированного ошибкой в данном предложении. </w:t>
      </w:r>
      <w:r/>
    </w:p>
    <w:p>
      <w:pPr>
        <w:pStyle w:val="940"/>
        <w:jc w:val="both"/>
        <w:tabs>
          <w:tab w:val="clear" w:pos="708" w:leader="none"/>
          <w:tab w:val="left" w:pos="770" w:leader="none"/>
        </w:tabs>
      </w:pPr>
      <w:r>
        <w:tab/>
        <w:t xml:space="preserve">6. Результаты ЕГЭ по русскому языку убеждают в н</w:t>
      </w:r>
      <w:r>
        <w:t xml:space="preserve">еобходимости использования в работе учителя современных способов проверки знаний, умений и навыков учащихся, освоения критериального подхода к оценке творческих работ учащихся, в необходимости выработки единых требований к подготовке педагогических кадров.</w:t>
      </w:r>
      <w:r/>
    </w:p>
    <w:p>
      <w:pPr>
        <w:pStyle w:val="940"/>
        <w:jc w:val="both"/>
        <w:tabs>
          <w:tab w:val="clear" w:pos="708" w:leader="none"/>
          <w:tab w:val="left" w:pos="770" w:leader="none"/>
        </w:tabs>
      </w:pPr>
      <w:r>
        <w:tab/>
        <w:t xml:space="preserve">В целях дальнейшего сове</w:t>
      </w:r>
      <w:r>
        <w:t xml:space="preserve">ршенствования контрольных измерительных материалов целесообразна разработка новых моделей заданий на проверку различных видов речевой деятельности. При этом необходима работа по конкретизации требований стандартов школьного образования, примерных программ.</w:t>
      </w:r>
      <w:r/>
    </w:p>
    <w:p>
      <w:pPr>
        <w:pStyle w:val="943"/>
        <w:numPr>
          <w:ilvl w:val="0"/>
          <w:numId w:val="0"/>
        </w:numPr>
        <w:ind w:left="0" w:firstLine="0"/>
        <w:jc w:val="both"/>
      </w:pPr>
      <w:r>
        <w:rPr>
          <w:rFonts w:ascii="Times New Roman" w:hAnsi="Times New Roman" w:cs="Times New Roman"/>
          <w:lang w:val="ru-RU"/>
        </w:rPr>
        <w:t xml:space="preserve">4.1 </w:t>
      </w:r>
      <w:r>
        <w:rPr>
          <w:rFonts w:ascii="Times New Roman" w:hAnsi="Times New Roman" w:cs="Times New Roman"/>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3"/>
        <w:numPr>
          <w:ilvl w:val="0"/>
          <w:numId w:val="0"/>
        </w:numPr>
        <w:ind w:left="0" w:firstLine="708"/>
        <w:jc w:val="both"/>
      </w:pPr>
      <w:r>
        <w:rPr>
          <w:rFonts w:ascii="Times New Roman" w:hAnsi="Times New Roman" w:cs="Times New Roman"/>
          <w:bCs w:val="0"/>
          <w:lang w:val="ru-RU"/>
        </w:rPr>
        <w:t xml:space="preserve">4.1.1.</w:t>
      </w:r>
      <w:r>
        <w:rPr>
          <w:rFonts w:ascii="Times New Roman" w:hAnsi="Times New Roman" w:cs="Times New Roman"/>
          <w:b w:val="0"/>
          <w:bCs w:val="0"/>
          <w:lang w:val="ru-RU"/>
        </w:rPr>
        <w:t xml:space="preserve"> </w:t>
      </w:r>
      <w:r>
        <w:rPr>
          <w:rFonts w:ascii="Times New Roman" w:hAnsi="Times New Roman" w:cs="Times New Roman"/>
          <w:b w:val="0"/>
          <w:bCs w:val="0"/>
        </w:rPr>
        <w:t xml:space="preserve">по совершенствованию преподавания учебного предмета всем обучающимся</w:t>
      </w:r>
      <w:r/>
    </w:p>
    <w:p>
      <w:pPr>
        <w:pStyle w:val="1416"/>
        <w:jc w:val="both"/>
        <w:tabs>
          <w:tab w:val="clear" w:pos="708" w:leader="none"/>
          <w:tab w:val="left" w:pos="770" w:leader="none"/>
        </w:tabs>
      </w:pPr>
      <w:r>
        <w:rPr>
          <w:b/>
        </w:rPr>
        <w:tab/>
        <w:t xml:space="preserve">1. Систематизация работы по подготовке к ЕГЭ на раннем этапе обучения. </w:t>
      </w:r>
      <w:r/>
    </w:p>
    <w:p>
      <w:pPr>
        <w:pStyle w:val="940"/>
        <w:jc w:val="both"/>
        <w:tabs>
          <w:tab w:val="clear" w:pos="708" w:leader="none"/>
          <w:tab w:val="left" w:pos="770" w:leader="none"/>
        </w:tabs>
      </w:pPr>
      <w:r>
        <w:tab/>
        <w:t xml:space="preserve">Особое внимание следует уделять формированию орфографических и пунктуационных навыков (5-9 классы).</w:t>
      </w:r>
      <w:r/>
    </w:p>
    <w:p>
      <w:pPr>
        <w:pStyle w:val="940"/>
        <w:jc w:val="both"/>
        <w:tabs>
          <w:tab w:val="clear" w:pos="708" w:leader="none"/>
          <w:tab w:val="left" w:pos="770" w:leader="none"/>
        </w:tabs>
      </w:pPr>
      <w:r>
        <w:tab/>
        <w:t xml:space="preserve">Ежедневная работа на уроках и во внеурочной деятельности приучает детей к качественному выполнению заданий. Поэтому одна из первых задач – уч</w:t>
      </w:r>
      <w:r>
        <w:t xml:space="preserve">ить распознавать части речи, научить видеть орфограммы, знать их «в лицо». Этого необходимо добиваться, приучая детей работать графически даже там, где нет пропуска букв, а орфограмма есть. Эту же работу можно выполнять и при письме контрольных диктантов. </w:t>
      </w:r>
      <w:r/>
    </w:p>
    <w:p>
      <w:pPr>
        <w:pStyle w:val="940"/>
        <w:jc w:val="both"/>
        <w:tabs>
          <w:tab w:val="clear" w:pos="708" w:leader="none"/>
          <w:tab w:val="left" w:pos="770" w:leader="none"/>
        </w:tabs>
      </w:pPr>
      <w:r>
        <w:tab/>
        <w:t xml:space="preserve">При изучении правил орфографии и пунктуации необходимо нацеливать детей, мотивировать их на внимательное и глубокое изучение материала, т.е. сделать акцент на то, что этот материал встретится в КИМ ЕГЭ.</w:t>
      </w:r>
      <w:r/>
    </w:p>
    <w:p>
      <w:pPr>
        <w:pStyle w:val="940"/>
        <w:jc w:val="both"/>
        <w:tabs>
          <w:tab w:val="clear" w:pos="708" w:leader="none"/>
          <w:tab w:val="left" w:pos="770" w:leader="none"/>
        </w:tabs>
      </w:pPr>
      <w:r>
        <w:tab/>
        <w:t xml:space="preserve">Начиная с 5 класса, рекомендуется заводить тетрадь для опорных конспектов, в которую до 11 класса включительно обучающийся собирает с помощью учителя весь теоретический материал, необходимый для сдачи ОГЭ и ЕГЭ в виде схем, таблиц, алгоритмов</w:t>
      </w:r>
      <w:r>
        <w:t xml:space="preserve">, моделей, блоков, правил. На этой стадии подготовки к экзамену используется методика структурирования учебного материала. Она ориентирована на укрупнение дидактической единицы учебной информации, сведения ее к единым логическим и дидактическим основаниям.</w:t>
      </w:r>
      <w:r>
        <w:t xml:space="preserve"> В результате логической обработки материала и установления последовательности его изучения создаются благоприятные условия для формирования у учащихся обобщенных знаний, позволяющих успешно готовиться к выполнению первой части в системе подготовки к ЕГЭ. </w:t>
      </w:r>
      <w:r/>
    </w:p>
    <w:p>
      <w:pPr>
        <w:pStyle w:val="940"/>
        <w:jc w:val="both"/>
        <w:tabs>
          <w:tab w:val="clear" w:pos="708" w:leader="none"/>
          <w:tab w:val="left" w:pos="770" w:leader="none"/>
        </w:tabs>
      </w:pPr>
      <w:r>
        <w:tab/>
        <w:t xml:space="preserve">Материал в схеме может отражать и те моменты, которые либо вовсе не изучаются по школьной программе, либо изучаются в старших классах. Сильный ребенок обязательно обратит на это внимание, использует полученные знания при решении олимпиадных заданий. </w:t>
      </w:r>
      <w:r/>
    </w:p>
    <w:p>
      <w:pPr>
        <w:pStyle w:val="1416"/>
        <w:numPr>
          <w:ilvl w:val="0"/>
          <w:numId w:val="36"/>
        </w:numPr>
        <w:jc w:val="both"/>
        <w:tabs>
          <w:tab w:val="clear" w:pos="708" w:leader="none"/>
          <w:tab w:val="left" w:pos="770" w:leader="none"/>
        </w:tabs>
      </w:pPr>
      <w:r>
        <w:rPr>
          <w:b/>
        </w:rPr>
        <w:t xml:space="preserve">Организация систематического повторения пройденного.</w:t>
      </w:r>
      <w:r/>
    </w:p>
    <w:p>
      <w:pPr>
        <w:pStyle w:val="1416"/>
        <w:jc w:val="both"/>
        <w:tabs>
          <w:tab w:val="clear" w:pos="708" w:leader="none"/>
          <w:tab w:val="left" w:pos="770" w:leader="none"/>
        </w:tabs>
      </w:pPr>
      <w:r>
        <w:tab/>
        <w:t xml:space="preserve">При проектировании уроков русского языка важна преемственность, основывающаяся на комплексном изучении языка, которое предполагает системное повторение материала на каждом уроке, т.е., кроме изучения нового материала, попутно </w:t>
      </w:r>
      <w:r>
        <w:t xml:space="preserve">повторяются другие темы. Опыт работы показывает, что такое повторение должно быть основано на анализе ошибок, допущенных во входящем диагностическом тесте или диктанте и далее в последующих контрольных работах, текущих работах, выполненных самостоятельно. </w:t>
      </w:r>
      <w:r/>
    </w:p>
    <w:p>
      <w:pPr>
        <w:pStyle w:val="1416"/>
        <w:jc w:val="both"/>
        <w:tabs>
          <w:tab w:val="clear" w:pos="708" w:leader="none"/>
          <w:tab w:val="left" w:pos="770" w:leader="none"/>
        </w:tabs>
      </w:pPr>
      <w:r>
        <w:tab/>
        <w:t xml:space="preserve">Каждый урок (по возможнос</w:t>
      </w:r>
      <w:r>
        <w:t xml:space="preserve">ти) необходимо вести работу по орфоэпии, лексике. В кабинетах русского языка каждый год должны обновляться стенды, освещающие трудные вопросы ЕГЭ. Работе по лексике также способствует частое обращение к словарям, имеющимся в классе и в школьной библиотеке.</w:t>
      </w:r>
      <w:r/>
    </w:p>
    <w:p>
      <w:pPr>
        <w:pStyle w:val="1416"/>
        <w:jc w:val="both"/>
        <w:tabs>
          <w:tab w:val="clear" w:pos="708" w:leader="none"/>
          <w:tab w:val="left" w:pos="770" w:leader="none"/>
        </w:tabs>
      </w:pPr>
      <w:r>
        <w:tab/>
        <w:t xml:space="preserve">Для отработки навыков выполнения заданий первой части КИМ очень полезно уже в основном звене при проверке усвоения материала включать тестовые задания, в которых формулировка вопроса приближена к ЕГЭ.</w:t>
      </w:r>
      <w:r/>
    </w:p>
    <w:p>
      <w:pPr>
        <w:pStyle w:val="1416"/>
        <w:jc w:val="both"/>
        <w:tabs>
          <w:tab w:val="clear" w:pos="708" w:leader="none"/>
          <w:tab w:val="left" w:pos="770" w:leader="none"/>
        </w:tabs>
      </w:pPr>
      <w:r>
        <w:tab/>
        <w:t xml:space="preserve">Тестовые формы контроля следует </w:t>
      </w:r>
      <w:r>
        <w:t xml:space="preserve">начинать применять с 5-го класса, учитывая при этом, что не все дети к этому моменту владеют навыками решения тестов, поэтому нужно помочь им овладеть этой техникой, постепенно готовя к формату ЕГЭ. Регулярно проводимое тематическое тестирование позволяет </w:t>
      </w:r>
      <w:r>
        <w:t xml:space="preserve">быстро установить обратную связь, определить пробелы в подготовке учащихся по каждой теме курса и оперативно реагировать на них. Как итоговый и промежуточный контроль тестирование обеспечивает такие качества результатов проверки, как надежность и объективн</w:t>
      </w:r>
      <w:r>
        <w:t xml:space="preserve">ость. Использование материалов, аналогичных материалам ЕГЭ, составленных в соответствии с Программой общеобразовательных учреждений по русскому языку и учитывающих возрастные особенности учащихся, позволяет начать системную подготовку к ЕГЭ уже с 5 класса.</w:t>
      </w:r>
      <w:r/>
    </w:p>
    <w:p>
      <w:pPr>
        <w:pStyle w:val="1416"/>
        <w:jc w:val="both"/>
        <w:tabs>
          <w:tab w:val="clear" w:pos="708" w:leader="none"/>
          <w:tab w:val="left" w:pos="770" w:leader="none"/>
        </w:tabs>
      </w:pPr>
      <w:r>
        <w:tab/>
        <w:t xml:space="preserve">В схему уроков русского языка необходимо вводить комплексный анализ текста, который помогает построить урок в формате ЕГЭ. Комплексный анализ</w:t>
      </w:r>
      <w:r>
        <w:t xml:space="preserve"> текста помогает исследовать текст с разных сторон. От класса к классу объемы исследования текста увеличиваются, формируются навыки анализа текста, повторяются темы всех разделов лингвистики, оттачиваются умения в создании письменных высказываний учащихся.</w:t>
      </w:r>
      <w:r/>
    </w:p>
    <w:p>
      <w:pPr>
        <w:pStyle w:val="1416"/>
        <w:jc w:val="both"/>
        <w:tabs>
          <w:tab w:val="clear" w:pos="708" w:leader="none"/>
          <w:tab w:val="left" w:pos="770" w:leader="none"/>
        </w:tabs>
      </w:pPr>
      <w:r>
        <w:tab/>
        <w:t xml:space="preserve">На помощь приходят уроки литературы, где художественные тексты, а также их фраг</w:t>
      </w:r>
      <w:r>
        <w:t xml:space="preserve">менты становятся предметом размышлений для учащихся: письменный ответ на вопрос, размышление, пересказ небольшого фрагмента, сочинение. Школьники постепенно привыкают к такому режиму работы. Умение интерпретации, анализа текста необходимо как на ЕГЭ по рус</w:t>
      </w:r>
      <w:r>
        <w:t xml:space="preserve">скому языку и литературе, так и при выполнении олимпиадных заданий. В этом случае сочинения по литературе учащиеся не списывают с «просторов Интернета» или сборника «Тысяча лучших сочинений», они заинтересованы в том, чтобы научиться писать самостоятельно.</w:t>
      </w:r>
      <w:r/>
    </w:p>
    <w:p>
      <w:pPr>
        <w:pStyle w:val="1416"/>
        <w:jc w:val="both"/>
        <w:tabs>
          <w:tab w:val="clear" w:pos="708" w:leader="none"/>
          <w:tab w:val="left" w:pos="770" w:leader="none"/>
        </w:tabs>
      </w:pPr>
      <w:r>
        <w:tab/>
        <w:t xml:space="preserve">При подготовке к написанию сочинения (задание 27 КИМ) также необходима системность в работе:</w:t>
      </w:r>
      <w:r/>
    </w:p>
    <w:p>
      <w:pPr>
        <w:pStyle w:val="1416"/>
        <w:jc w:val="both"/>
        <w:tabs>
          <w:tab w:val="clear" w:pos="708" w:leader="none"/>
          <w:tab w:val="left" w:pos="770" w:leader="none"/>
        </w:tabs>
      </w:pPr>
      <w:r>
        <w:tab/>
        <w:t xml:space="preserve">- с 5-6 класса необходимо учить детей определять проблему каждого изучаемого произведения, авторскую позицию;</w:t>
      </w:r>
      <w:r/>
    </w:p>
    <w:p>
      <w:pPr>
        <w:pStyle w:val="1416"/>
        <w:jc w:val="both"/>
        <w:tabs>
          <w:tab w:val="clear" w:pos="708" w:leader="none"/>
          <w:tab w:val="left" w:pos="770" w:leader="none"/>
        </w:tabs>
      </w:pPr>
      <w:r>
        <w:tab/>
        <w:t xml:space="preserve">- учить составлять свой банк аргументов (определение проблем, поднятых автором в тексте изучаемых произведений, записывается в отдельную тетрадь);</w:t>
      </w:r>
      <w:r/>
    </w:p>
    <w:p>
      <w:pPr>
        <w:pStyle w:val="1416"/>
        <w:jc w:val="both"/>
        <w:tabs>
          <w:tab w:val="clear" w:pos="708" w:leader="none"/>
          <w:tab w:val="left" w:pos="770" w:leader="none"/>
        </w:tabs>
      </w:pPr>
      <w:r>
        <w:tab/>
        <w:t xml:space="preserve">- учить вести читательский дневник (начин</w:t>
      </w:r>
      <w:r>
        <w:t xml:space="preserve">ать вести читательский дневник следует уже с пятого класса, записывая туда всё прочитанное как по курсу школьной программы, так и сверх неё). Это способствует формированию читательского опыта учащихся, является подспорьем при выборе аргументов в сочинении;</w:t>
      </w:r>
      <w:r/>
    </w:p>
    <w:p>
      <w:pPr>
        <w:pStyle w:val="1416"/>
        <w:jc w:val="both"/>
        <w:tabs>
          <w:tab w:val="clear" w:pos="708" w:leader="none"/>
          <w:tab w:val="left" w:pos="770" w:leader="none"/>
        </w:tabs>
      </w:pPr>
      <w:r>
        <w:tab/>
        <w:t xml:space="preserve">- вести поэтапную работу при подготовке к написанию сочинения-рассуждения.</w:t>
      </w:r>
      <w:r/>
    </w:p>
    <w:p>
      <w:pPr>
        <w:pStyle w:val="1416"/>
        <w:jc w:val="both"/>
        <w:tabs>
          <w:tab w:val="clear" w:pos="708" w:leader="none"/>
          <w:tab w:val="left" w:pos="770" w:leader="none"/>
        </w:tabs>
      </w:pPr>
      <w:r>
        <w:tab/>
        <w:t xml:space="preserve">- проектировать уроки с учетом принципов дифференциации и индивидуализации обучения.</w:t>
      </w:r>
      <w:r/>
    </w:p>
    <w:p>
      <w:pPr>
        <w:pStyle w:val="1416"/>
        <w:jc w:val="both"/>
        <w:tabs>
          <w:tab w:val="clear" w:pos="708" w:leader="none"/>
          <w:tab w:val="left" w:pos="770" w:leader="none"/>
        </w:tabs>
      </w:pPr>
      <w:r>
        <w:tab/>
        <w:t xml:space="preserve">В каждом классе есть несколько групп детей с разной мотивацией к обучению. Конечно, этот фактор также необходимо учитывать при проектировании урока. Мотивированные на учение дети, как правило, работают самостоятельно (самостояте</w:t>
      </w:r>
      <w:r>
        <w:t xml:space="preserve">льное изучение темы, карточки по теме, сообщение, работа со словарем и др.) или выступают в роли консультантов, помощников. Олимпиадное задание в русле определенной темы – обязательное домашнее задание для сильных учащихся, для всех остальных – по желанию.</w:t>
      </w:r>
      <w:r/>
    </w:p>
    <w:p>
      <w:pPr>
        <w:pStyle w:val="1416"/>
        <w:numPr>
          <w:ilvl w:val="0"/>
          <w:numId w:val="36"/>
        </w:numPr>
        <w:jc w:val="both"/>
        <w:tabs>
          <w:tab w:val="clear" w:pos="708" w:leader="none"/>
          <w:tab w:val="left" w:pos="770" w:leader="none"/>
        </w:tabs>
      </w:pPr>
      <w:r>
        <w:rPr>
          <w:b/>
        </w:rPr>
        <w:t xml:space="preserve">Организация контроля (со стороны учителя), самоконтроля (со стороны учащегося).</w:t>
      </w:r>
      <w:r/>
    </w:p>
    <w:p>
      <w:pPr>
        <w:pStyle w:val="1416"/>
        <w:jc w:val="both"/>
        <w:tabs>
          <w:tab w:val="clear" w:pos="708" w:leader="none"/>
          <w:tab w:val="left" w:pos="770" w:leader="none"/>
        </w:tabs>
      </w:pPr>
      <w:r>
        <w:tab/>
        <w:t xml:space="preserve">Грамотная организация контроля приучает школьников к дис</w:t>
      </w:r>
      <w:r>
        <w:t xml:space="preserve">циплине, к тому, что нужно учить, к требованиям по предмету. Кроме этого, ученик видит результаты своего труда, оценивает уровень своих знаний. Учитель обязан систематически проверять рабочие тетради, выполненные учеником карточки, творческие работы и т.д.</w:t>
      </w:r>
      <w:r/>
    </w:p>
    <w:p>
      <w:pPr>
        <w:pStyle w:val="1416"/>
        <w:jc w:val="both"/>
        <w:tabs>
          <w:tab w:val="clear" w:pos="708" w:leader="none"/>
          <w:tab w:val="left" w:pos="770" w:leader="none"/>
        </w:tabs>
      </w:pPr>
      <w:r>
        <w:tab/>
        <w:t xml:space="preserve">Таким образом, к де</w:t>
      </w:r>
      <w:r>
        <w:t xml:space="preserve">сятому классу учащиеся подходят уже со знанием структуры ЕГЭ, содержания заданий, умеют выполнять задания первой части КИМ. В 10-11 классе остается текущее повторение, практическая отработка полученных умений и навыков и тщательная подготовка к сочинению. </w:t>
      </w:r>
      <w:r/>
    </w:p>
    <w:p>
      <w:pPr>
        <w:pStyle w:val="1416"/>
        <w:jc w:val="both"/>
        <w:tabs>
          <w:tab w:val="clear" w:pos="708" w:leader="none"/>
          <w:tab w:val="left" w:pos="770" w:leader="none"/>
        </w:tabs>
      </w:pPr>
      <w:r>
        <w:tab/>
        <w:t xml:space="preserve">Рекомендую коллегам-предметникам обратить своё внимание на мультимедийные уроки.</w:t>
      </w:r>
      <w:r/>
    </w:p>
    <w:p>
      <w:pPr>
        <w:pStyle w:val="1416"/>
        <w:jc w:val="both"/>
        <w:tabs>
          <w:tab w:val="clear" w:pos="708" w:leader="none"/>
          <w:tab w:val="left" w:pos="770" w:leader="none"/>
        </w:tabs>
      </w:pPr>
      <w:r>
        <w:tab/>
        <w:t xml:space="preserve">Мультимедийные уроки по подготовке к ЕГЭ по русскому языку, спроектированны</w:t>
      </w:r>
      <w:r>
        <w:t xml:space="preserve">е на основе авторских компьютерных презентаций в форме лекций, семинаров, докладов учащихся, позволяют интегрировать аудиовизуальную информацию, представленную в различной форме (видеофильм, текст, графика, анимация, слайды, музыка), стимулируют внимание. </w:t>
      </w:r>
      <w:r/>
    </w:p>
    <w:p>
      <w:pPr>
        <w:pStyle w:val="1416"/>
        <w:jc w:val="both"/>
        <w:tabs>
          <w:tab w:val="clear" w:pos="708" w:leader="none"/>
          <w:tab w:val="left" w:pos="770" w:leader="none"/>
        </w:tabs>
      </w:pPr>
      <w:r>
        <w:tab/>
        <w:t xml:space="preserve">Практика использования ИКТ при подготовке к ЕГЭ позволяет сделать следующий вывод - использование ИКТ имеет следующие преимущества по сравнению с традиционным обучением: </w:t>
      </w:r>
      <w:r/>
    </w:p>
    <w:p>
      <w:pPr>
        <w:pStyle w:val="1416"/>
        <w:jc w:val="both"/>
        <w:tabs>
          <w:tab w:val="clear" w:pos="708" w:leader="none"/>
          <w:tab w:val="left" w:pos="770" w:leader="none"/>
        </w:tabs>
      </w:pPr>
      <w:r>
        <w:tab/>
        <w:t xml:space="preserve">1. Современность и актуальность учебного материала.</w:t>
      </w:r>
      <w:r/>
    </w:p>
    <w:p>
      <w:pPr>
        <w:pStyle w:val="1416"/>
        <w:jc w:val="both"/>
        <w:tabs>
          <w:tab w:val="clear" w:pos="708" w:leader="none"/>
          <w:tab w:val="left" w:pos="770" w:leader="none"/>
        </w:tabs>
      </w:pPr>
      <w:r>
        <w:tab/>
        <w:t xml:space="preserve">2. Наличие дополнительного и сопутствующего материала.</w:t>
      </w:r>
      <w:r/>
    </w:p>
    <w:p>
      <w:pPr>
        <w:pStyle w:val="1416"/>
        <w:jc w:val="both"/>
        <w:tabs>
          <w:tab w:val="clear" w:pos="708" w:leader="none"/>
          <w:tab w:val="left" w:pos="770" w:leader="none"/>
        </w:tabs>
      </w:pPr>
      <w:r>
        <w:tab/>
        <w:t xml:space="preserve">3. Эстетичность и наглядность.</w:t>
      </w:r>
      <w:r/>
    </w:p>
    <w:p>
      <w:pPr>
        <w:pStyle w:val="1416"/>
        <w:jc w:val="both"/>
        <w:tabs>
          <w:tab w:val="clear" w:pos="708" w:leader="none"/>
          <w:tab w:val="left" w:pos="770" w:leader="none"/>
        </w:tabs>
      </w:pPr>
      <w:r>
        <w:tab/>
        <w:t xml:space="preserve">4. Возможность распечатки материала для последующей индивидуальной работы.</w:t>
      </w:r>
      <w:r/>
    </w:p>
    <w:p>
      <w:pPr>
        <w:pStyle w:val="1416"/>
        <w:jc w:val="both"/>
        <w:tabs>
          <w:tab w:val="clear" w:pos="708" w:leader="none"/>
          <w:tab w:val="left" w:pos="770" w:leader="none"/>
        </w:tabs>
      </w:pPr>
      <w:r>
        <w:tab/>
        <w:t xml:space="preserve">5. Возможность блочного обозрения темы, опережения знаний.</w:t>
      </w:r>
      <w:r/>
    </w:p>
    <w:p>
      <w:pPr>
        <w:pStyle w:val="1416"/>
        <w:jc w:val="both"/>
        <w:tabs>
          <w:tab w:val="clear" w:pos="708" w:leader="none"/>
          <w:tab w:val="left" w:pos="770" w:leader="none"/>
        </w:tabs>
      </w:pPr>
      <w:r>
        <w:tab/>
        <w:t xml:space="preserve">6. Обучение через игровую или практическую деятельность.</w:t>
      </w:r>
      <w:r/>
    </w:p>
    <w:p>
      <w:pPr>
        <w:pStyle w:val="1416"/>
        <w:jc w:val="both"/>
        <w:tabs>
          <w:tab w:val="clear" w:pos="708" w:leader="none"/>
          <w:tab w:val="left" w:pos="770" w:leader="none"/>
        </w:tabs>
      </w:pPr>
      <w:r>
        <w:tab/>
        <w:t xml:space="preserve">7. Повышение интереса учащихся к учёбе.</w:t>
      </w:r>
      <w:r/>
    </w:p>
    <w:p>
      <w:pPr>
        <w:pStyle w:val="1416"/>
        <w:jc w:val="both"/>
        <w:tabs>
          <w:tab w:val="clear" w:pos="708" w:leader="none"/>
          <w:tab w:val="left" w:pos="770" w:leader="none"/>
        </w:tabs>
      </w:pPr>
      <w:r>
        <w:tab/>
        <w:t xml:space="preserve">8. Более чёткая организация деятельности учителя, облегчение его труда.</w:t>
      </w:r>
      <w:r/>
    </w:p>
    <w:p>
      <w:pPr>
        <w:pStyle w:val="1416"/>
        <w:jc w:val="both"/>
        <w:tabs>
          <w:tab w:val="clear" w:pos="708" w:leader="none"/>
          <w:tab w:val="left" w:pos="770" w:leader="none"/>
        </w:tabs>
      </w:pPr>
      <w:r>
        <w:tab/>
        <w:t xml:space="preserve">От учителя требуется создание целой системы уроков по подготовке к ЕГЭ. Разработать такую систему позволяют задания КИМ. Рекоме</w:t>
      </w:r>
      <w:r>
        <w:t xml:space="preserve">ндую использовать простую методику, в основе которой алгоритмы рассуждения. Вспоминаем и восстанавливаем, систематизируем необходимые теоретические знания с помощью лекций, презентаций, семинаров. Считаю целесообразным, чтобы старшеклассники самостоятельно</w:t>
      </w:r>
      <w:r>
        <w:t xml:space="preserve"> находили и повторяли материал по определенной теме или блоку. Подобная работа более эффективна, чем, скажем, лекция учителя. Поэтому при повторении той или иной темы можно давать учащимся только опорные сведения о том, где можно найти нужный материал.    </w:t>
      </w:r>
      <w:r/>
    </w:p>
    <w:p>
      <w:pPr>
        <w:pStyle w:val="1416"/>
        <w:jc w:val="both"/>
        <w:tabs>
          <w:tab w:val="clear" w:pos="708" w:leader="none"/>
          <w:tab w:val="left" w:pos="770" w:leader="none"/>
        </w:tabs>
      </w:pPr>
      <w:r>
        <w:tab/>
        <w:t xml:space="preserve">Тесты к заданиям позволяют детально проработать каждую тему. Но не следует ожидать быстрого успеха, некоторым ученикам необходимо решить то или иное задание по алгоритму 30-40 раз, только тогда появится уверенность и четкость в его выполнении. </w:t>
      </w:r>
      <w:r/>
    </w:p>
    <w:p>
      <w:pPr>
        <w:pStyle w:val="1416"/>
        <w:jc w:val="both"/>
        <w:tabs>
          <w:tab w:val="clear" w:pos="708" w:leader="none"/>
          <w:tab w:val="left" w:pos="770" w:leader="none"/>
        </w:tabs>
      </w:pPr>
      <w:r>
        <w:tab/>
        <w:t xml:space="preserve">Каждый тематическ</w:t>
      </w:r>
      <w:r>
        <w:t xml:space="preserve">ий блок традиционно нужно завершать проверочной работой, результаты анализировать, чтобы затем каждый ученик мог работать над заданиями, которые стали проблемными именно для него. Это помогает целенаправленно организовать индивидуальную работу с учащимися.</w:t>
      </w:r>
      <w:r/>
    </w:p>
    <w:p>
      <w:pPr>
        <w:pStyle w:val="1416"/>
        <w:jc w:val="both"/>
        <w:tabs>
          <w:tab w:val="clear" w:pos="708" w:leader="none"/>
          <w:tab w:val="left" w:pos="770" w:leader="none"/>
        </w:tabs>
      </w:pPr>
      <w:r>
        <w:tab/>
        <w:t xml:space="preserve">Чере</w:t>
      </w:r>
      <w:r>
        <w:t xml:space="preserve">з некоторое время необходимо вновь провести промежуточный тест, проверить его результаты и по итогам вновь организовать работу над ошибками. Система внешнего мониторинга показывает реальную картину качества знаний учащихся, помогает скорректировать работу.</w:t>
      </w:r>
      <w:r/>
    </w:p>
    <w:p>
      <w:pPr>
        <w:pStyle w:val="1416"/>
        <w:jc w:val="both"/>
        <w:tabs>
          <w:tab w:val="clear" w:pos="708" w:leader="none"/>
          <w:tab w:val="left" w:pos="770" w:leader="none"/>
        </w:tabs>
      </w:pPr>
      <w:r>
        <w:tab/>
        <w:t xml:space="preserve">Таким образом, система подготовки к ЕГЭ, включающая современные методы обучения и традиционную</w:t>
      </w:r>
      <w:r>
        <w:t xml:space="preserve"> подготовку, позволяет индивидуализировать и усилить процесс подготовки, систематизировать и обобщать предметные компетенции учащихся, мотивировать выпускников на успешное освоение учебного материала и подготовить их к успешной сдаче ЕГЭ по русскому языку.</w:t>
      </w:r>
      <w:r/>
    </w:p>
    <w:p>
      <w:pPr>
        <w:pStyle w:val="1416"/>
        <w:jc w:val="both"/>
        <w:tabs>
          <w:tab w:val="clear" w:pos="708" w:leader="none"/>
          <w:tab w:val="left" w:pos="770" w:leader="none"/>
        </w:tabs>
      </w:pPr>
      <w:r>
        <w:tab/>
        <w:t xml:space="preserve">Методическую помощь учителям и обучающимся при подготовке к ЕГЭ могут оказать материалы с сайта ФИПИ (www.fipi.ru):</w:t>
      </w:r>
      <w:r/>
    </w:p>
    <w:p>
      <w:pPr>
        <w:pStyle w:val="1416"/>
        <w:jc w:val="both"/>
        <w:tabs>
          <w:tab w:val="clear" w:pos="708" w:leader="none"/>
          <w:tab w:val="left" w:pos="770" w:leader="none"/>
        </w:tabs>
      </w:pPr>
      <w:r>
        <w:tab/>
        <w:t xml:space="preserve">−</w:t>
      </w:r>
      <w:r>
        <w:rPr>
          <w:rFonts w:eastAsia="Times New Roman"/>
        </w:rPr>
        <w:t xml:space="preserve"> </w:t>
      </w:r>
      <w:r>
        <w:t xml:space="preserve">документы, определяющие структуру и содержание КИМ ЕГЭ 2022 г.;</w:t>
      </w:r>
      <w:r/>
    </w:p>
    <w:p>
      <w:pPr>
        <w:pStyle w:val="1416"/>
        <w:jc w:val="both"/>
        <w:tabs>
          <w:tab w:val="clear" w:pos="708" w:leader="none"/>
          <w:tab w:val="left" w:pos="770" w:leader="none"/>
        </w:tabs>
      </w:pPr>
      <w:r>
        <w:tab/>
        <w:t xml:space="preserve">−</w:t>
      </w:r>
      <w:r>
        <w:rPr>
          <w:rFonts w:eastAsia="Times New Roman"/>
        </w:rPr>
        <w:t xml:space="preserve"> </w:t>
      </w:r>
      <w:r>
        <w:t xml:space="preserve">Открытый банк заданий ЕГЭ;</w:t>
      </w:r>
      <w:r/>
    </w:p>
    <w:p>
      <w:pPr>
        <w:pStyle w:val="1416"/>
        <w:jc w:val="both"/>
        <w:tabs>
          <w:tab w:val="clear" w:pos="708" w:leader="none"/>
          <w:tab w:val="left" w:pos="770" w:leader="none"/>
        </w:tabs>
      </w:pPr>
      <w:r>
        <w:tab/>
        <w:t xml:space="preserve">−</w:t>
      </w:r>
      <w:r>
        <w:rPr>
          <w:rFonts w:eastAsia="Times New Roman"/>
        </w:rPr>
        <w:t xml:space="preserve"> </w:t>
      </w:r>
      <w:r>
        <w:t xml:space="preserve">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w:t>
      </w:r>
      <w:r/>
    </w:p>
    <w:p>
      <w:pPr>
        <w:pStyle w:val="1416"/>
        <w:jc w:val="both"/>
        <w:tabs>
          <w:tab w:val="clear" w:pos="708" w:leader="none"/>
          <w:tab w:val="left" w:pos="770" w:leader="none"/>
        </w:tabs>
      </w:pPr>
      <w:r>
        <w:tab/>
        <w:t xml:space="preserve">−</w:t>
      </w:r>
      <w:r>
        <w:rPr>
          <w:rFonts w:eastAsia="Times New Roman"/>
        </w:rPr>
        <w:t xml:space="preserve"> </w:t>
      </w:r>
      <w:r>
        <w:t xml:space="preserve">Методические рекомендации прошлых лет.</w:t>
      </w:r>
      <w:r/>
    </w:p>
    <w:p>
      <w:pPr>
        <w:pStyle w:val="943"/>
        <w:numPr>
          <w:ilvl w:val="0"/>
          <w:numId w:val="0"/>
        </w:numPr>
        <w:ind w:left="0" w:firstLine="708"/>
        <w:jc w:val="both"/>
      </w:pPr>
      <w:r>
        <w:rPr>
          <w:rFonts w:ascii="Times New Roman" w:hAnsi="Times New Roman" w:cs="Times New Roman"/>
          <w:bCs w:val="0"/>
          <w:lang w:val="ru-RU"/>
        </w:rPr>
        <w:t xml:space="preserve">4.1.2.</w:t>
      </w:r>
      <w:r>
        <w:rPr>
          <w:rFonts w:ascii="Times New Roman" w:hAnsi="Times New Roman" w:cs="Times New Roman"/>
          <w:b w:val="0"/>
          <w:bCs w:val="0"/>
          <w:lang w:val="ru-RU"/>
        </w:rPr>
        <w:t xml:space="preserve"> </w:t>
      </w:r>
      <w:r>
        <w:rPr>
          <w:rFonts w:ascii="Times New Roman" w:hAnsi="Times New Roman" w:cs="Times New Roman"/>
          <w:b w:val="0"/>
          <w:bCs w:val="0"/>
        </w:rPr>
        <w:t xml:space="preserve">по организации дифференцированного обучения школьников с разным</w:t>
      </w:r>
      <w:r>
        <w:rPr>
          <w:rFonts w:ascii="Times New Roman" w:hAnsi="Times New Roman" w:cs="Times New Roman"/>
          <w:b w:val="0"/>
          <w:bCs w:val="0"/>
          <w:lang w:val="ru-RU"/>
        </w:rPr>
        <w:t xml:space="preserve">и</w:t>
      </w:r>
      <w:r>
        <w:rPr>
          <w:rFonts w:ascii="Times New Roman" w:hAnsi="Times New Roman" w:cs="Times New Roman"/>
          <w:b w:val="0"/>
          <w:bCs w:val="0"/>
        </w:rPr>
        <w:t xml:space="preserve"> уровн</w:t>
      </w:r>
      <w:r>
        <w:rPr>
          <w:rFonts w:ascii="Times New Roman" w:hAnsi="Times New Roman" w:cs="Times New Roman"/>
          <w:b w:val="0"/>
          <w:bCs w:val="0"/>
          <w:lang w:val="ru-RU"/>
        </w:rPr>
        <w:t xml:space="preserve">я</w:t>
      </w:r>
      <w:r>
        <w:rPr>
          <w:rFonts w:ascii="Times New Roman" w:hAnsi="Times New Roman" w:cs="Times New Roman"/>
          <w:b w:val="0"/>
          <w:bCs w:val="0"/>
        </w:rPr>
        <w:t xml:space="preserve">м</w:t>
      </w:r>
      <w:r>
        <w:rPr>
          <w:rFonts w:ascii="Times New Roman" w:hAnsi="Times New Roman" w:cs="Times New Roman"/>
          <w:b w:val="0"/>
          <w:bCs w:val="0"/>
          <w:lang w:val="ru-RU"/>
        </w:rPr>
        <w:t xml:space="preserve">и</w:t>
      </w:r>
      <w:r>
        <w:rPr>
          <w:rFonts w:ascii="Times New Roman" w:hAnsi="Times New Roman" w:cs="Times New Roman"/>
          <w:b w:val="0"/>
          <w:bCs w:val="0"/>
        </w:rPr>
        <w:t xml:space="preserve"> предметной подготовки</w:t>
      </w:r>
      <w:r/>
    </w:p>
    <w:p>
      <w:pPr>
        <w:pStyle w:val="940"/>
        <w:ind w:firstLine="708"/>
        <w:jc w:val="both"/>
        <w:shd w:val="clear" w:color="auto" w:fill="ffffff"/>
      </w:pPr>
      <w:r>
        <w:rPr>
          <w:rFonts w:eastAsia="Times New Roman"/>
          <w:color w:val="000000"/>
        </w:rPr>
        <w:t xml:space="preserve">Необходимым условием успешной подготовки к ЕГЭ является </w:t>
      </w:r>
      <w:r>
        <w:rPr>
          <w:rFonts w:eastAsia="Times New Roman"/>
          <w:b/>
          <w:bCs/>
          <w:color w:val="000000"/>
        </w:rPr>
        <w:t xml:space="preserve">дифференциация материалов учебника</w:t>
      </w:r>
      <w:r>
        <w:rPr>
          <w:rFonts w:eastAsia="Times New Roman"/>
          <w:color w:val="000000"/>
        </w:rPr>
        <w:t xml:space="preserve">, в котором содержится информация различной степени сложности:</w:t>
      </w:r>
      <w:r/>
    </w:p>
    <w:p>
      <w:pPr>
        <w:pStyle w:val="940"/>
        <w:ind w:firstLine="708"/>
        <w:jc w:val="both"/>
        <w:shd w:val="clear" w:color="auto" w:fill="ffffff"/>
      </w:pPr>
      <w:r>
        <w:rPr>
          <w:rFonts w:eastAsia="Times New Roman"/>
          <w:color w:val="000000"/>
        </w:rPr>
        <w:t xml:space="preserve">- для самостоятельных наблюдений;</w:t>
      </w:r>
      <w:r/>
    </w:p>
    <w:p>
      <w:pPr>
        <w:pStyle w:val="940"/>
        <w:ind w:firstLine="708"/>
        <w:jc w:val="both"/>
        <w:shd w:val="clear" w:color="auto" w:fill="ffffff"/>
      </w:pPr>
      <w:r>
        <w:rPr>
          <w:rFonts w:eastAsia="Times New Roman"/>
          <w:color w:val="000000"/>
        </w:rPr>
        <w:t xml:space="preserve">- для ознакомления с определённой информацией в рамках данной темы;</w:t>
      </w:r>
      <w:r/>
    </w:p>
    <w:p>
      <w:pPr>
        <w:pStyle w:val="940"/>
        <w:ind w:firstLine="708"/>
        <w:jc w:val="both"/>
        <w:shd w:val="clear" w:color="auto" w:fill="ffffff"/>
      </w:pPr>
      <w:r>
        <w:rPr>
          <w:rFonts w:eastAsia="Times New Roman"/>
          <w:color w:val="000000"/>
        </w:rPr>
        <w:t xml:space="preserve">- теоретические сведения, требующие осмысления, а не запоминания;</w:t>
      </w:r>
      <w:r/>
    </w:p>
    <w:p>
      <w:pPr>
        <w:pStyle w:val="940"/>
        <w:ind w:firstLine="708"/>
        <w:jc w:val="both"/>
        <w:shd w:val="clear" w:color="auto" w:fill="ffffff"/>
      </w:pPr>
      <w:r>
        <w:rPr>
          <w:rFonts w:eastAsia="Times New Roman"/>
          <w:color w:val="000000"/>
        </w:rPr>
        <w:t xml:space="preserve">- материал для обязательного заучивания;</w:t>
      </w:r>
      <w:r/>
    </w:p>
    <w:p>
      <w:pPr>
        <w:pStyle w:val="940"/>
        <w:ind w:firstLine="708"/>
        <w:jc w:val="both"/>
        <w:shd w:val="clear" w:color="auto" w:fill="ffffff"/>
      </w:pPr>
      <w:r>
        <w:rPr>
          <w:rFonts w:eastAsia="Times New Roman"/>
          <w:color w:val="000000"/>
        </w:rPr>
        <w:t xml:space="preserve">- сведения, имеющие сугубо практическое значение.</w:t>
      </w:r>
      <w:r/>
    </w:p>
    <w:p>
      <w:pPr>
        <w:pStyle w:val="940"/>
        <w:ind w:firstLine="708"/>
        <w:jc w:val="both"/>
        <w:shd w:val="clear" w:color="auto" w:fill="ffffff"/>
      </w:pPr>
      <w:r>
        <w:rPr>
          <w:rFonts w:eastAsia="Times New Roman"/>
          <w:color w:val="000000"/>
        </w:rPr>
        <w:t xml:space="preserve">В связи с этим следует по-разному использовать теоретические сведения в работе с учениками, учитывая их интересы и способности. </w:t>
      </w:r>
      <w:r>
        <w:rPr>
          <w:rFonts w:eastAsia="Times New Roman"/>
          <w:b/>
          <w:bCs/>
          <w:color w:val="000000"/>
        </w:rPr>
        <w:t xml:space="preserve">Сильным учащимся</w:t>
      </w:r>
      <w:r>
        <w:rPr>
          <w:rFonts w:eastAsia="Times New Roman"/>
          <w:color w:val="000000"/>
        </w:rPr>
        <w:t xml:space="preserve"> предлагаются </w:t>
      </w:r>
      <w:r>
        <w:rPr>
          <w:rFonts w:eastAsia="Times New Roman"/>
          <w:b/>
          <w:bCs/>
          <w:color w:val="000000"/>
        </w:rPr>
        <w:t xml:space="preserve">вопросы и</w:t>
      </w:r>
      <w:r>
        <w:rPr>
          <w:rFonts w:eastAsia="Times New Roman"/>
          <w:color w:val="000000"/>
        </w:rPr>
        <w:t xml:space="preserve"> </w:t>
      </w:r>
      <w:r>
        <w:rPr>
          <w:rFonts w:eastAsia="Times New Roman"/>
          <w:b/>
          <w:bCs/>
          <w:color w:val="000000"/>
        </w:rPr>
        <w:t xml:space="preserve">задания</w:t>
      </w:r>
      <w:r>
        <w:rPr>
          <w:rFonts w:eastAsia="Times New Roman"/>
          <w:color w:val="000000"/>
        </w:rPr>
        <w:t xml:space="preserve"> в ходе </w:t>
      </w:r>
      <w:r>
        <w:rPr>
          <w:rFonts w:eastAsia="Times New Roman"/>
          <w:b/>
          <w:bCs/>
          <w:color w:val="000000"/>
        </w:rPr>
        <w:t xml:space="preserve">самостоятельных наблюдений</w:t>
      </w:r>
      <w:r>
        <w:rPr>
          <w:rFonts w:eastAsia="Times New Roman"/>
          <w:color w:val="000000"/>
        </w:rPr>
        <w:t xml:space="preserve">. При освоении теоретических сведений, которые необходимо только осознать без обязательного запоминания, нужно при</w:t>
      </w:r>
      <w:r>
        <w:rPr>
          <w:rFonts w:eastAsia="Times New Roman"/>
          <w:color w:val="000000"/>
        </w:rPr>
        <w:t xml:space="preserve">влечь к работе средних учащихся, так как они могут не придать им должного значения, не сориентироваться в материале, что приведёт к нежелательным результатам при формировании умений. На основе упражнений, содержащих сведения об истории языка, у школьников </w:t>
      </w:r>
      <w:r>
        <w:rPr>
          <w:rFonts w:eastAsia="Times New Roman"/>
          <w:color w:val="000000"/>
        </w:rPr>
        <w:t xml:space="preserve">воспитывается интерес к предмету, расширяется кругозор. После знакомства с материалом можно предложить ученикам дополнительные поиски информации. Слабоуспевающему ученику увеличить срок подготовки, но обязательно проконтролировать исполнение и дать оценку.</w:t>
      </w:r>
      <w:r/>
    </w:p>
    <w:p>
      <w:pPr>
        <w:pStyle w:val="940"/>
        <w:ind w:firstLine="708"/>
        <w:jc w:val="both"/>
        <w:shd w:val="clear" w:color="auto" w:fill="ffffff"/>
      </w:pPr>
      <w:r>
        <w:rPr>
          <w:rFonts w:eastAsia="Times New Roman"/>
          <w:color w:val="000000"/>
        </w:rPr>
        <w:t xml:space="preserve">На этапе закрепления, применения и обобщения знаний и умений основой дифференцированного подхода является организация </w:t>
      </w:r>
      <w:r>
        <w:rPr>
          <w:rFonts w:eastAsia="Times New Roman"/>
          <w:b/>
          <w:bCs/>
          <w:color w:val="000000"/>
        </w:rPr>
        <w:t xml:space="preserve">самостоятельной работы</w:t>
      </w:r>
      <w:r>
        <w:rPr>
          <w:rFonts w:eastAsia="Times New Roman"/>
          <w:color w:val="000000"/>
        </w:rPr>
        <w:t xml:space="preserve">. Здесь наиболее важен учёт работоспособности и индивидуальных особенностей обучающихся.</w:t>
      </w:r>
      <w:r/>
    </w:p>
    <w:p>
      <w:pPr>
        <w:pStyle w:val="940"/>
        <w:ind w:firstLine="708"/>
        <w:jc w:val="both"/>
        <w:shd w:val="clear" w:color="auto" w:fill="ffffff"/>
        <w:rPr>
          <w:rFonts w:eastAsia="Times New Roman"/>
          <w:color w:val="000000"/>
        </w:rPr>
      </w:pPr>
      <w:r>
        <w:rPr>
          <w:rFonts w:eastAsia="Times New Roman"/>
          <w:color w:val="000000"/>
        </w:rPr>
        <w:t xml:space="preserve">Итак, для осуществления дифференцированного подхода необходимы следующие условия:</w:t>
      </w:r>
      <w:r/>
    </w:p>
    <w:p>
      <w:pPr>
        <w:pStyle w:val="940"/>
        <w:ind w:firstLine="708"/>
        <w:jc w:val="both"/>
        <w:shd w:val="clear" w:color="auto" w:fill="ffffff"/>
        <w:rPr>
          <w:rFonts w:eastAsia="Times New Roman"/>
          <w:color w:val="000000"/>
        </w:rPr>
      </w:pPr>
      <w:r>
        <w:rPr>
          <w:rFonts w:eastAsia="Times New Roman"/>
          <w:color w:val="000000"/>
        </w:rPr>
        <w:t xml:space="preserve">а) знание индивидуальных и психологических особенностей отдельных учащихся;</w:t>
      </w:r>
      <w:r/>
    </w:p>
    <w:p>
      <w:pPr>
        <w:pStyle w:val="940"/>
        <w:ind w:firstLine="708"/>
        <w:jc w:val="both"/>
        <w:shd w:val="clear" w:color="auto" w:fill="ffffff"/>
        <w:rPr>
          <w:rFonts w:eastAsia="Times New Roman"/>
          <w:color w:val="000000"/>
        </w:rPr>
      </w:pPr>
      <w:r>
        <w:rPr>
          <w:rFonts w:eastAsia="Times New Roman"/>
          <w:color w:val="000000"/>
        </w:rPr>
        <w:t xml:space="preserve">б) умение анализировать учебный материал, выявить возможные трудности, с которыми встретятся разные группы учащихся;</w:t>
      </w:r>
      <w:r/>
    </w:p>
    <w:p>
      <w:pPr>
        <w:pStyle w:val="940"/>
        <w:ind w:firstLine="708"/>
        <w:jc w:val="both"/>
        <w:shd w:val="clear" w:color="auto" w:fill="ffffff"/>
        <w:rPr>
          <w:rFonts w:eastAsia="Times New Roman"/>
          <w:color w:val="000000"/>
        </w:rPr>
      </w:pPr>
      <w:r>
        <w:rPr>
          <w:rFonts w:eastAsia="Times New Roman"/>
          <w:color w:val="000000"/>
        </w:rPr>
        <w:t xml:space="preserve">в) составление развёрнутого плана урока, включая вопросы разным группам и отдельным учащимся;</w:t>
      </w:r>
      <w:r/>
    </w:p>
    <w:p>
      <w:pPr>
        <w:pStyle w:val="940"/>
        <w:ind w:firstLine="708"/>
        <w:jc w:val="both"/>
        <w:shd w:val="clear" w:color="auto" w:fill="ffffff"/>
        <w:rPr>
          <w:rFonts w:eastAsia="Times New Roman"/>
          <w:color w:val="000000"/>
        </w:rPr>
      </w:pPr>
      <w:r>
        <w:rPr>
          <w:rFonts w:eastAsia="Times New Roman"/>
          <w:color w:val="000000"/>
        </w:rPr>
        <w:t xml:space="preserve">г) умение «спрограммировать» обучение разных групп учащихся;</w:t>
      </w:r>
      <w:r/>
    </w:p>
    <w:p>
      <w:pPr>
        <w:pStyle w:val="940"/>
        <w:ind w:firstLine="708"/>
        <w:jc w:val="both"/>
        <w:shd w:val="clear" w:color="auto" w:fill="ffffff"/>
        <w:rPr>
          <w:rFonts w:eastAsia="Times New Roman"/>
          <w:color w:val="000000"/>
        </w:rPr>
      </w:pPr>
      <w:r>
        <w:rPr>
          <w:rFonts w:eastAsia="Times New Roman"/>
          <w:color w:val="000000"/>
        </w:rPr>
        <w:t xml:space="preserve">д) осуществление оперативной обратной связи;</w:t>
      </w:r>
      <w:r/>
    </w:p>
    <w:p>
      <w:pPr>
        <w:pStyle w:val="940"/>
        <w:ind w:firstLine="708"/>
        <w:jc w:val="both"/>
        <w:shd w:val="clear" w:color="auto" w:fill="ffffff"/>
        <w:rPr>
          <w:rFonts w:eastAsia="Times New Roman"/>
          <w:color w:val="000000"/>
        </w:rPr>
      </w:pPr>
      <w:r>
        <w:rPr>
          <w:rFonts w:eastAsia="Times New Roman"/>
          <w:color w:val="000000"/>
        </w:rPr>
        <w:t xml:space="preserve">е) соблюдение педагогического такта.</w:t>
      </w:r>
      <w:r/>
    </w:p>
    <w:p>
      <w:pPr>
        <w:pStyle w:val="940"/>
        <w:ind w:firstLine="708"/>
        <w:jc w:val="both"/>
        <w:shd w:val="clear" w:color="auto" w:fill="ffffff"/>
        <w:rPr>
          <w:rFonts w:eastAsia="Times New Roman"/>
          <w:b/>
          <w:bCs/>
          <w:color w:val="000000"/>
        </w:rPr>
      </w:pPr>
      <w:r>
        <w:rPr>
          <w:rFonts w:eastAsia="Times New Roman"/>
          <w:b/>
          <w:bCs/>
          <w:color w:val="000000"/>
        </w:rPr>
        <w:t xml:space="preserve">В педагогике разработана система методов и приемов работы, направленных на предупреждение неуспеваемости школьников.</w:t>
      </w:r>
      <w:r/>
    </w:p>
    <w:p>
      <w:pPr>
        <w:pStyle w:val="940"/>
        <w:ind w:firstLine="708"/>
        <w:jc w:val="both"/>
        <w:shd w:val="clear" w:color="auto" w:fill="ffffff"/>
        <w:rPr>
          <w:rFonts w:eastAsia="Times New Roman"/>
          <w:b/>
          <w:bCs/>
          <w:color w:val="000000"/>
          <w:u w:val="single"/>
        </w:rPr>
      </w:pPr>
      <w:r>
        <w:rPr>
          <w:rFonts w:eastAsia="Times New Roman"/>
          <w:b/>
          <w:bCs/>
          <w:color w:val="000000"/>
          <w:u w:val="single"/>
        </w:rPr>
        <w:t xml:space="preserve">Виды дифференцированной помощи:</w:t>
      </w:r>
      <w:r/>
    </w:p>
    <w:p>
      <w:pPr>
        <w:pStyle w:val="940"/>
        <w:ind w:firstLine="708"/>
        <w:jc w:val="both"/>
        <w:shd w:val="clear" w:color="auto" w:fill="ffffff"/>
        <w:rPr>
          <w:rFonts w:eastAsia="Times New Roman"/>
          <w:color w:val="000000"/>
        </w:rPr>
      </w:pPr>
      <w:r>
        <w:rPr>
          <w:rFonts w:eastAsia="Times New Roman"/>
          <w:color w:val="000000"/>
        </w:rPr>
        <w:t xml:space="preserve">- Постоянная работа над ошибками на уроке и включение ее в домашние задания, предупреждение о наиболее типичных ошибках.</w:t>
      </w:r>
      <w:r/>
    </w:p>
    <w:p>
      <w:pPr>
        <w:pStyle w:val="940"/>
        <w:ind w:firstLine="708"/>
        <w:jc w:val="both"/>
        <w:shd w:val="clear" w:color="auto" w:fill="ffffff"/>
        <w:rPr>
          <w:rFonts w:eastAsia="Times New Roman"/>
          <w:color w:val="000000"/>
        </w:rPr>
      </w:pPr>
      <w:r>
        <w:rPr>
          <w:rFonts w:eastAsia="Times New Roman"/>
          <w:color w:val="000000"/>
        </w:rPr>
        <w:t xml:space="preserve">- Индивидуализация домашнего задания слабоуспевающим учащимся.</w:t>
      </w:r>
      <w:r/>
    </w:p>
    <w:p>
      <w:pPr>
        <w:pStyle w:val="940"/>
        <w:ind w:firstLine="708"/>
        <w:jc w:val="both"/>
        <w:shd w:val="clear" w:color="auto" w:fill="ffffff"/>
        <w:rPr>
          <w:rFonts w:eastAsia="Times New Roman"/>
          <w:color w:val="000000"/>
        </w:rPr>
      </w:pPr>
      <w:r>
        <w:rPr>
          <w:rFonts w:eastAsia="Times New Roman"/>
          <w:color w:val="000000"/>
        </w:rPr>
        <w:t xml:space="preserve">- Повторение дома материала, необходимого для изучения новой темы.</w:t>
      </w:r>
      <w:r/>
    </w:p>
    <w:p>
      <w:pPr>
        <w:pStyle w:val="940"/>
        <w:ind w:firstLine="708"/>
        <w:jc w:val="both"/>
        <w:shd w:val="clear" w:color="auto" w:fill="ffffff"/>
        <w:rPr>
          <w:rFonts w:eastAsia="Times New Roman"/>
          <w:color w:val="000000"/>
        </w:rPr>
      </w:pPr>
      <w:r>
        <w:rPr>
          <w:rFonts w:eastAsia="Times New Roman"/>
          <w:color w:val="000000"/>
        </w:rPr>
        <w:t xml:space="preserve">- Использование слабыми учащимися при ответе составленного дома плана изложения материала или выполненной самим памяткой для ответа.</w:t>
      </w:r>
      <w:r/>
    </w:p>
    <w:p>
      <w:pPr>
        <w:pStyle w:val="940"/>
        <w:ind w:firstLine="708"/>
        <w:jc w:val="both"/>
        <w:shd w:val="clear" w:color="auto" w:fill="ffffff"/>
        <w:rPr>
          <w:rFonts w:eastAsia="Times New Roman"/>
          <w:color w:val="000000"/>
        </w:rPr>
      </w:pPr>
      <w:r>
        <w:rPr>
          <w:rFonts w:eastAsia="Times New Roman"/>
          <w:color w:val="000000"/>
        </w:rPr>
        <w:t xml:space="preserve">- Координация объема домашних заданий, доступность его выполнения в установленное время.</w:t>
      </w:r>
      <w:r/>
    </w:p>
    <w:p>
      <w:pPr>
        <w:pStyle w:val="940"/>
        <w:ind w:firstLine="708"/>
        <w:jc w:val="both"/>
        <w:shd w:val="clear" w:color="auto" w:fill="ffffff"/>
        <w:rPr>
          <w:rFonts w:eastAsia="Times New Roman"/>
          <w:color w:val="000000"/>
        </w:rPr>
      </w:pPr>
      <w:r>
        <w:rPr>
          <w:rFonts w:eastAsia="Times New Roman"/>
          <w:color w:val="000000"/>
        </w:rPr>
        <w:t xml:space="preserve">- Привлечение школьников к осуществлению самоконтроля при выполнении упражнений.</w:t>
      </w:r>
      <w:r/>
    </w:p>
    <w:p>
      <w:pPr>
        <w:pStyle w:val="940"/>
        <w:ind w:firstLine="708"/>
        <w:jc w:val="both"/>
        <w:shd w:val="clear" w:color="auto" w:fill="ffffff"/>
        <w:rPr>
          <w:rFonts w:eastAsia="Times New Roman"/>
          <w:color w:val="000000"/>
        </w:rPr>
      </w:pPr>
      <w:r>
        <w:rPr>
          <w:rFonts w:eastAsia="Times New Roman"/>
          <w:color w:val="000000"/>
        </w:rPr>
        <w:t xml:space="preserve">- Оказание должной помощи слабоуспевающим в ходе самостоятельной работы на уроке.</w:t>
      </w:r>
      <w:r/>
    </w:p>
    <w:p>
      <w:pPr>
        <w:pStyle w:val="940"/>
        <w:ind w:firstLine="708"/>
        <w:jc w:val="both"/>
        <w:shd w:val="clear" w:color="auto" w:fill="ffffff"/>
        <w:rPr>
          <w:rFonts w:eastAsia="Times New Roman"/>
          <w:color w:val="000000"/>
        </w:rPr>
      </w:pPr>
      <w:r>
        <w:rPr>
          <w:rFonts w:eastAsia="Times New Roman"/>
          <w:color w:val="000000"/>
        </w:rPr>
        <w:t xml:space="preserve">-Указание правила, на которое опирается задание.</w:t>
      </w:r>
      <w:r/>
    </w:p>
    <w:p>
      <w:pPr>
        <w:pStyle w:val="940"/>
        <w:ind w:firstLine="708"/>
        <w:jc w:val="both"/>
        <w:shd w:val="clear" w:color="auto" w:fill="ffffff"/>
        <w:rPr>
          <w:rFonts w:eastAsia="Times New Roman"/>
          <w:color w:val="000000"/>
        </w:rPr>
      </w:pPr>
      <w:r>
        <w:rPr>
          <w:rFonts w:eastAsia="Times New Roman"/>
          <w:color w:val="000000"/>
        </w:rPr>
        <w:t xml:space="preserve">- Указание алгоритма выполнения задания.</w:t>
      </w:r>
      <w:r/>
    </w:p>
    <w:p>
      <w:pPr>
        <w:pStyle w:val="940"/>
        <w:ind w:firstLine="708"/>
        <w:jc w:val="both"/>
        <w:shd w:val="clear" w:color="auto" w:fill="ffffff"/>
        <w:rPr>
          <w:rFonts w:eastAsia="Times New Roman"/>
          <w:color w:val="000000"/>
        </w:rPr>
      </w:pPr>
      <w:r>
        <w:rPr>
          <w:rFonts w:eastAsia="Times New Roman"/>
          <w:color w:val="000000"/>
        </w:rPr>
        <w:t xml:space="preserve">- Указание аналогичного задания, выполненного раньше.</w:t>
      </w:r>
      <w:r/>
    </w:p>
    <w:p>
      <w:pPr>
        <w:pStyle w:val="940"/>
        <w:ind w:firstLine="708"/>
        <w:jc w:val="both"/>
        <w:shd w:val="clear" w:color="auto" w:fill="ffffff"/>
        <w:rPr>
          <w:rFonts w:eastAsia="Times New Roman"/>
          <w:color w:val="000000"/>
        </w:rPr>
      </w:pPr>
      <w:r>
        <w:rPr>
          <w:rFonts w:eastAsia="Times New Roman"/>
          <w:color w:val="000000"/>
        </w:rPr>
        <w:t xml:space="preserve">- Объяснение хода выполнения подобного задания.</w:t>
      </w:r>
      <w:r/>
    </w:p>
    <w:p>
      <w:pPr>
        <w:pStyle w:val="940"/>
        <w:ind w:firstLine="708"/>
        <w:jc w:val="both"/>
        <w:shd w:val="clear" w:color="auto" w:fill="ffffff"/>
        <w:rPr>
          <w:rFonts w:eastAsia="Times New Roman"/>
          <w:color w:val="000000"/>
        </w:rPr>
      </w:pPr>
      <w:r>
        <w:rPr>
          <w:rFonts w:eastAsia="Times New Roman"/>
          <w:color w:val="000000"/>
        </w:rPr>
        <w:t xml:space="preserve">- Указание причинно-следственных связей, необходимых для выполнения задания.</w:t>
      </w:r>
      <w:r/>
    </w:p>
    <w:p>
      <w:pPr>
        <w:pStyle w:val="940"/>
        <w:ind w:firstLine="708"/>
        <w:jc w:val="both"/>
        <w:shd w:val="clear" w:color="auto" w:fill="ffffff"/>
        <w:rPr>
          <w:rFonts w:eastAsia="Times New Roman"/>
          <w:color w:val="000000"/>
        </w:rPr>
      </w:pPr>
      <w:r>
        <w:rPr>
          <w:rFonts w:eastAsia="Times New Roman"/>
          <w:color w:val="000000"/>
        </w:rPr>
        <w:t xml:space="preserve">- Расчленение сложного задания на элементарные составные части.</w:t>
      </w:r>
      <w:r/>
    </w:p>
    <w:p>
      <w:pPr>
        <w:pStyle w:val="940"/>
        <w:ind w:firstLine="708"/>
        <w:jc w:val="both"/>
        <w:shd w:val="clear" w:color="auto" w:fill="ffffff"/>
        <w:rPr>
          <w:rFonts w:eastAsia="Times New Roman"/>
          <w:color w:val="000000"/>
        </w:rPr>
      </w:pPr>
      <w:r>
        <w:rPr>
          <w:rFonts w:eastAsia="Times New Roman"/>
          <w:color w:val="000000"/>
        </w:rPr>
        <w:t xml:space="preserve">- Постановка наводящих вопросов.</w:t>
      </w:r>
      <w:r/>
    </w:p>
    <w:p>
      <w:pPr>
        <w:pStyle w:val="940"/>
        <w:ind w:firstLine="708"/>
        <w:jc w:val="both"/>
        <w:shd w:val="clear" w:color="auto" w:fill="ffffff"/>
        <w:rPr>
          <w:rFonts w:eastAsia="Times New Roman"/>
          <w:color w:val="000000"/>
        </w:rPr>
      </w:pPr>
      <w:r>
        <w:rPr>
          <w:rFonts w:eastAsia="Times New Roman"/>
          <w:color w:val="000000"/>
        </w:rPr>
        <w:t xml:space="preserve">Удачное сочетание методов и приемов, работа с сильными и слабыми учащимися дает положительный результат.</w:t>
      </w:r>
      <w:r/>
    </w:p>
    <w:p>
      <w:pPr>
        <w:pStyle w:val="940"/>
        <w:ind w:firstLine="708"/>
        <w:jc w:val="both"/>
        <w:shd w:val="clear" w:color="auto" w:fill="ffffff"/>
        <w:rPr>
          <w:rFonts w:eastAsia="Times New Roman"/>
          <w:b/>
          <w:bCs/>
          <w:color w:val="000000"/>
          <w:u w:val="single"/>
        </w:rPr>
      </w:pPr>
      <w:r>
        <w:rPr>
          <w:rFonts w:eastAsia="Times New Roman"/>
          <w:b/>
          <w:bCs/>
          <w:color w:val="000000"/>
          <w:u w:val="single"/>
        </w:rPr>
        <w:t xml:space="preserve">Особенности дифференцированной работы на уроках.</w:t>
      </w:r>
      <w:r/>
    </w:p>
    <w:p>
      <w:pPr>
        <w:pStyle w:val="940"/>
        <w:ind w:firstLine="708"/>
        <w:jc w:val="both"/>
        <w:shd w:val="clear" w:color="auto" w:fill="ffffff"/>
        <w:rPr>
          <w:rFonts w:eastAsia="Times New Roman"/>
          <w:color w:val="000000"/>
        </w:rPr>
      </w:pPr>
      <w:r>
        <w:rPr>
          <w:rFonts w:eastAsia="Times New Roman"/>
          <w:color w:val="000000"/>
        </w:rPr>
        <w:t xml:space="preserve">- Объяснение нового материала должно строиться для всех одинаково, то есть всем предоставлять возможность учиться в одинаковых условиях.</w:t>
      </w:r>
      <w:r/>
    </w:p>
    <w:p>
      <w:pPr>
        <w:pStyle w:val="940"/>
        <w:ind w:firstLine="708"/>
        <w:jc w:val="both"/>
        <w:shd w:val="clear" w:color="auto" w:fill="ffffff"/>
        <w:rPr>
          <w:rFonts w:eastAsia="Times New Roman"/>
          <w:color w:val="000000"/>
        </w:rPr>
      </w:pPr>
      <w:r>
        <w:rPr>
          <w:rFonts w:eastAsia="Times New Roman"/>
          <w:color w:val="000000"/>
        </w:rPr>
        <w:t xml:space="preserve">- Закончить объяснение нового материала образцовым ответом с использованием опорных схем, таблиц, графического изображения.</w:t>
      </w:r>
      <w:r/>
    </w:p>
    <w:p>
      <w:pPr>
        <w:pStyle w:val="940"/>
        <w:ind w:firstLine="708"/>
        <w:jc w:val="both"/>
        <w:shd w:val="clear" w:color="auto" w:fill="ffffff"/>
        <w:rPr>
          <w:rFonts w:eastAsia="Times New Roman"/>
          <w:color w:val="000000"/>
        </w:rPr>
      </w:pPr>
      <w:r>
        <w:rPr>
          <w:rFonts w:eastAsia="Times New Roman"/>
          <w:color w:val="000000"/>
        </w:rPr>
        <w:t xml:space="preserve">- Использовать наглядные, дидактические материалы в большом количестве.</w:t>
      </w:r>
      <w:r/>
    </w:p>
    <w:p>
      <w:pPr>
        <w:pStyle w:val="940"/>
        <w:ind w:firstLine="708"/>
        <w:jc w:val="both"/>
        <w:shd w:val="clear" w:color="auto" w:fill="ffffff"/>
        <w:rPr>
          <w:rFonts w:eastAsia="Times New Roman"/>
          <w:color w:val="000000"/>
        </w:rPr>
      </w:pPr>
      <w:r>
        <w:rPr>
          <w:rFonts w:eastAsia="Times New Roman"/>
          <w:color w:val="000000"/>
        </w:rPr>
        <w:t xml:space="preserve">- Общая познавательная цель единая, задачи общие по теме, но каждый решает их на своем уровне.</w:t>
      </w:r>
      <w:r/>
    </w:p>
    <w:p>
      <w:pPr>
        <w:pStyle w:val="940"/>
        <w:ind w:firstLine="708"/>
        <w:jc w:val="both"/>
        <w:shd w:val="clear" w:color="auto" w:fill="ffffff"/>
        <w:rPr>
          <w:rFonts w:eastAsia="Times New Roman"/>
          <w:color w:val="000000"/>
        </w:rPr>
      </w:pPr>
      <w:r>
        <w:rPr>
          <w:rFonts w:eastAsia="Times New Roman"/>
          <w:color w:val="000000"/>
        </w:rPr>
        <w:t xml:space="preserve">Дифференциация может осуществляться: по объему и содержанию работы, по приемам и степени самостоятельности. Она может присутствовать на разных этапах урока (при закреплении, повторении, объяснении нового материала).</w:t>
      </w:r>
      <w:r/>
    </w:p>
    <w:p>
      <w:pPr>
        <w:pStyle w:val="940"/>
        <w:ind w:firstLine="708"/>
        <w:jc w:val="both"/>
        <w:shd w:val="clear" w:color="auto" w:fill="ffffff"/>
        <w:rPr>
          <w:rFonts w:eastAsia="Times New Roman"/>
          <w:color w:val="000000"/>
        </w:rPr>
      </w:pPr>
      <w:r>
        <w:rPr>
          <w:rFonts w:eastAsia="Times New Roman"/>
          <w:color w:val="000000"/>
        </w:rPr>
        <w:t xml:space="preserve">Лучше составить 2-3 варианта заданий (работа с текстом, анализ предложений, словосочетаний, разные ви</w:t>
      </w:r>
      <w:r>
        <w:rPr>
          <w:rFonts w:eastAsia="Times New Roman"/>
          <w:color w:val="000000"/>
        </w:rPr>
        <w:t xml:space="preserve">ды разбора- фонетический, морфемный, морфологический, синтаксический; творческие задания; тесты и др.). Учащиеся сами выбирают вариант или заранее предназначаю задание определённой группе учеников. Возможные затруднения при выполнении работы отдельным учен</w:t>
      </w:r>
      <w:r>
        <w:rPr>
          <w:rFonts w:eastAsia="Times New Roman"/>
          <w:color w:val="000000"/>
        </w:rPr>
        <w:t xml:space="preserve">икам нужно разъяснять. Наиболее удобны задания в форме индивидуальных карточек, которые подобраны в соответствии со школьной программой и различны по трудности и характеру. Слабым учащимся для самостоятельной работы можно дать облегчённые карточки-задания.</w:t>
      </w:r>
      <w:r/>
    </w:p>
    <w:p>
      <w:pPr>
        <w:pStyle w:val="940"/>
        <w:ind w:firstLine="708"/>
        <w:jc w:val="both"/>
        <w:shd w:val="clear" w:color="auto" w:fill="ffffff"/>
      </w:pPr>
      <w:r>
        <w:rPr>
          <w:rFonts w:eastAsia="Times New Roman"/>
          <w:b/>
          <w:bCs/>
          <w:color w:val="000000"/>
        </w:rPr>
        <w:t xml:space="preserve">Дифференцированный подход при подборе домашних заданий</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Он позволяет развить слабого ученика, помочь ему в овладении общеучебными умениями и навыками. Сильного ученика дифференцированное задание поднимает на более высокую ступень развития.</w:t>
      </w:r>
      <w:r/>
    </w:p>
    <w:p>
      <w:pPr>
        <w:pStyle w:val="940"/>
        <w:ind w:firstLine="708"/>
        <w:jc w:val="both"/>
        <w:shd w:val="clear" w:color="auto" w:fill="ffffff"/>
        <w:rPr>
          <w:rFonts w:eastAsia="Times New Roman"/>
          <w:color w:val="000000"/>
        </w:rPr>
      </w:pPr>
      <w:r>
        <w:rPr>
          <w:rFonts w:eastAsia="Times New Roman"/>
          <w:color w:val="000000"/>
        </w:rPr>
        <w:t xml:space="preserve">Домашние задания распределяются по группам (по степени сложности). Для группы сильных учащихся часто даются опережающие задания поискового характера (подобрать материал по теме, составить схему-опору, найти в словарях и т.д.)</w:t>
      </w:r>
      <w:r/>
    </w:p>
    <w:p>
      <w:pPr>
        <w:pStyle w:val="940"/>
        <w:ind w:firstLine="708"/>
        <w:jc w:val="both"/>
        <w:shd w:val="clear" w:color="auto" w:fill="ffffff"/>
        <w:rPr>
          <w:rFonts w:eastAsia="Times New Roman"/>
          <w:color w:val="000000"/>
        </w:rPr>
      </w:pPr>
      <w:r>
        <w:rPr>
          <w:rFonts w:eastAsia="Times New Roman"/>
          <w:color w:val="000000"/>
        </w:rPr>
        <w:t xml:space="preserve">Очень важно рационально организовать проверку домашнего задания. Она</w:t>
      </w:r>
      <w:r>
        <w:rPr>
          <w:rFonts w:eastAsia="Times New Roman"/>
          <w:color w:val="000000"/>
        </w:rPr>
        <w:t xml:space="preserve"> не должна занимать много времени, поэтому следует использовать разные способы проверки: самопроверку, взаимопроверку, слабых учеников целесообразнее учителю чаще проверять самому. Например, после изучения приставок ПРИ-, ПРЕ- проверить усвоение материала </w:t>
      </w:r>
      <w:r>
        <w:rPr>
          <w:rFonts w:eastAsia="Times New Roman"/>
          <w:color w:val="000000"/>
        </w:rPr>
        <w:t xml:space="preserve">следующим образом: о значении приставки ПРИ- предложить рассказать слабому ученику, о значении приставки ПРЕ- задать вопрос ученику, посредственно занимающемуся, об особых случаях написания слов с приставками ПРИ-, ПРЕ- вызвать рассказать сильного ученика.</w:t>
      </w:r>
      <w:r/>
    </w:p>
    <w:p>
      <w:pPr>
        <w:pStyle w:val="940"/>
        <w:ind w:firstLine="708"/>
        <w:jc w:val="both"/>
        <w:shd w:val="clear" w:color="auto" w:fill="ffffff"/>
        <w:rPr>
          <w:rFonts w:eastAsia="Times New Roman"/>
          <w:b/>
          <w:bCs/>
          <w:color w:val="000000"/>
        </w:rPr>
      </w:pPr>
      <w:r>
        <w:rPr>
          <w:rFonts w:eastAsia="Times New Roman"/>
          <w:b/>
          <w:bCs/>
          <w:color w:val="000000"/>
        </w:rPr>
        <w:t xml:space="preserve">Дифференцированный подход для успешного усвоения нового материала.</w:t>
      </w:r>
      <w:r/>
    </w:p>
    <w:p>
      <w:pPr>
        <w:pStyle w:val="940"/>
        <w:ind w:firstLine="708"/>
        <w:jc w:val="both"/>
        <w:shd w:val="clear" w:color="auto" w:fill="ffffff"/>
        <w:rPr>
          <w:rFonts w:eastAsia="Times New Roman"/>
          <w:color w:val="000000"/>
        </w:rPr>
      </w:pPr>
      <w:r>
        <w:rPr>
          <w:rFonts w:eastAsia="Times New Roman"/>
          <w:color w:val="000000"/>
        </w:rPr>
        <w:t xml:space="preserve">Здесь важны подготовительные упражнения. Это диктанты, игры, самостоятельная работа. Важно при их выполнении и проверке повторить то правило, которое будет необходимо при объяснении новой темы.</w:t>
      </w:r>
      <w:r/>
    </w:p>
    <w:p>
      <w:pPr>
        <w:pStyle w:val="940"/>
        <w:ind w:firstLine="708"/>
        <w:jc w:val="both"/>
        <w:shd w:val="clear" w:color="auto" w:fill="ffffff"/>
        <w:rPr>
          <w:rFonts w:eastAsia="Times New Roman"/>
          <w:color w:val="000000"/>
        </w:rPr>
      </w:pPr>
      <w:r>
        <w:rPr>
          <w:rFonts w:eastAsia="Times New Roman"/>
          <w:color w:val="000000"/>
        </w:rPr>
        <w:t xml:space="preserve">Объяснение нового чаще всего проводится для всех одинаково. Чем больше используетс</w:t>
      </w:r>
      <w:r>
        <w:rPr>
          <w:rFonts w:eastAsia="Times New Roman"/>
          <w:color w:val="000000"/>
        </w:rPr>
        <w:t xml:space="preserve">я наглядности, тем лучше усваивается материал. Одним учащимся выводы ясны после первого объяснения, другим необходимо еще раз повторить. Первоначально к доске вызываются 2-3 сильных ученика, которые выполняют задания по новой теме, проговаривают правило. З</w:t>
      </w:r>
      <w:r>
        <w:rPr>
          <w:rFonts w:eastAsia="Times New Roman"/>
          <w:color w:val="000000"/>
        </w:rPr>
        <w:t xml:space="preserve">атем эти дети продолжают работать самостоятельно над дополнительными и обязательными заданиями, а к работе у доски подключаются более слабые. При подведении итога урока просим сильного ученика сформулировать правило, после чего слабые должны его повторить.</w:t>
      </w:r>
      <w:r/>
    </w:p>
    <w:p>
      <w:pPr>
        <w:pStyle w:val="940"/>
        <w:ind w:firstLine="708"/>
        <w:jc w:val="both"/>
        <w:shd w:val="clear" w:color="auto" w:fill="ffffff"/>
        <w:rPr>
          <w:rFonts w:eastAsia="Times New Roman"/>
          <w:color w:val="000000"/>
        </w:rPr>
      </w:pPr>
      <w:r>
        <w:rPr>
          <w:rFonts w:eastAsia="Times New Roman"/>
          <w:color w:val="000000"/>
        </w:rPr>
        <w:t xml:space="preserve">Новый теоретический материал не даётся в готовом виде. Наличие теоретических задач делает обучение проблемным.</w:t>
      </w:r>
      <w:r/>
    </w:p>
    <w:p>
      <w:pPr>
        <w:pStyle w:val="940"/>
        <w:ind w:firstLine="708"/>
        <w:jc w:val="both"/>
        <w:shd w:val="clear" w:color="auto" w:fill="ffffff"/>
        <w:rPr>
          <w:rFonts w:eastAsia="Times New Roman"/>
          <w:b/>
          <w:bCs/>
          <w:color w:val="000000"/>
        </w:rPr>
      </w:pPr>
      <w:r>
        <w:rPr>
          <w:rFonts w:eastAsia="Times New Roman"/>
          <w:b/>
          <w:bCs/>
          <w:color w:val="000000"/>
        </w:rPr>
        <w:t xml:space="preserve">Дифференцированный подход при закреплении изученного.</w:t>
      </w:r>
      <w:r/>
    </w:p>
    <w:p>
      <w:pPr>
        <w:pStyle w:val="940"/>
        <w:ind w:firstLine="708"/>
        <w:jc w:val="both"/>
        <w:shd w:val="clear" w:color="auto" w:fill="ffffff"/>
        <w:rPr>
          <w:rFonts w:eastAsia="Times New Roman"/>
          <w:color w:val="000000"/>
        </w:rPr>
      </w:pPr>
      <w:r>
        <w:rPr>
          <w:rFonts w:eastAsia="Times New Roman"/>
          <w:color w:val="000000"/>
        </w:rPr>
        <w:t xml:space="preserve">Тщательно продумываем задания и их проверку. В этом помогают схемы, тестовые задания и другие.</w:t>
      </w:r>
      <w:r/>
    </w:p>
    <w:p>
      <w:pPr>
        <w:pStyle w:val="940"/>
        <w:ind w:firstLine="708"/>
        <w:jc w:val="both"/>
        <w:shd w:val="clear" w:color="auto" w:fill="ffffff"/>
        <w:rPr>
          <w:rFonts w:eastAsia="Times New Roman"/>
          <w:color w:val="000000"/>
        </w:rPr>
      </w:pPr>
      <w:r>
        <w:rPr>
          <w:rFonts w:eastAsia="Times New Roman"/>
          <w:color w:val="000000"/>
        </w:rPr>
        <w:t xml:space="preserve">Для закрепления теоретического материала следует подготовить задания для самостоятельной работы, </w:t>
      </w:r>
      <w:r>
        <w:rPr>
          <w:rFonts w:eastAsia="Times New Roman"/>
          <w:color w:val="000000"/>
        </w:rPr>
        <w:t xml:space="preserve">подбирать дидактический материал в соответствии с уровнем развития учащихся. Часто учащиеся выполняют задания парами: одни выполняют эти задания, а сидящие с ними рядом учащиеся контролируют выполнение практических заданий и оценивают правильность выполнен</w:t>
      </w:r>
      <w:r>
        <w:rPr>
          <w:rFonts w:eastAsia="Times New Roman"/>
          <w:color w:val="000000"/>
        </w:rPr>
        <w:t xml:space="preserve">ия, указывают при необходимости на ошибки. Затем учащиеся меняются ролями. Например, при закреплении темы «Причастие» в 7 классе предлагается ответить на простые вопросы из раздела «Контрольные вопросы» слабым учащимся, те, кто посильнее, подготовят ответы</w:t>
      </w:r>
      <w:r>
        <w:rPr>
          <w:rFonts w:eastAsia="Times New Roman"/>
          <w:color w:val="000000"/>
        </w:rPr>
        <w:t xml:space="preserve"> на вопросы из этого же раздела, но на такие, где надо поразмышлять, сравнить признаки. Сильные учащиеся готовят сообщения об истории изучения данной части речи разными учёными- русистами и пытаются объяснить, с кем из исследователей они согласны и почему.</w:t>
      </w:r>
      <w:r/>
    </w:p>
    <w:p>
      <w:pPr>
        <w:pStyle w:val="940"/>
        <w:ind w:firstLine="708"/>
        <w:jc w:val="both"/>
        <w:shd w:val="clear" w:color="auto" w:fill="ffffff"/>
        <w:rPr>
          <w:rFonts w:eastAsia="Times New Roman"/>
          <w:b/>
          <w:bCs/>
          <w:color w:val="000000"/>
        </w:rPr>
      </w:pPr>
      <w:r>
        <w:rPr>
          <w:rFonts w:eastAsia="Times New Roman"/>
          <w:b/>
          <w:bCs/>
          <w:color w:val="000000"/>
        </w:rPr>
        <w:t xml:space="preserve">Дифференцированные индивидуальные самостоятельные работы.</w:t>
      </w:r>
      <w:r/>
    </w:p>
    <w:p>
      <w:pPr>
        <w:pStyle w:val="940"/>
        <w:ind w:firstLine="708"/>
        <w:jc w:val="both"/>
        <w:shd w:val="clear" w:color="auto" w:fill="ffffff"/>
      </w:pPr>
      <w:r>
        <w:rPr>
          <w:rFonts w:eastAsia="Times New Roman"/>
          <w:color w:val="000000"/>
        </w:rPr>
        <w:t xml:space="preserve">При выполнении этих </w:t>
      </w:r>
      <w:r>
        <w:rPr>
          <w:rFonts w:eastAsia="Times New Roman"/>
          <w:color w:val="000000"/>
        </w:rPr>
        <w:t xml:space="preserve">работ возрастает роль самого ученика в определении содержания работы, в выборе способов ее выполнения, возникает возможность сотрудничества учителя и ученика, особенно при выполнении учениками заданий творческого характера. В работе широко использую компью</w:t>
      </w:r>
      <w:r>
        <w:rPr>
          <w:rFonts w:eastAsia="Times New Roman"/>
          <w:color w:val="000000"/>
        </w:rPr>
        <w:t xml:space="preserve">терные технологии. Ребятам предлагаются разные задания по изучаемой теме, выполнять которые они могут, используя компьютерные программы. Сильным ученикам будет предложено пройти тестирование самостоятельно, слабым - с подсказкой справочной службы программы</w:t>
      </w:r>
      <w:r>
        <w:rPr>
          <w:rFonts w:eastAsia="Times New Roman"/>
          <w:color w:val="000000"/>
          <w:sz w:val="21"/>
          <w:szCs w:val="21"/>
        </w:rPr>
        <w:t xml:space="preserve">.</w:t>
      </w:r>
      <w:r/>
    </w:p>
    <w:p>
      <w:pPr>
        <w:pStyle w:val="940"/>
        <w:ind w:firstLine="708"/>
        <w:jc w:val="both"/>
        <w:shd w:val="clear" w:color="auto" w:fill="ffffff"/>
        <w:rPr>
          <w:rFonts w:eastAsia="Times New Roman"/>
          <w:b/>
          <w:bCs/>
          <w:color w:val="000000"/>
        </w:rPr>
      </w:pPr>
      <w:r>
        <w:rPr>
          <w:rFonts w:eastAsia="Times New Roman"/>
          <w:b/>
          <w:bCs/>
          <w:color w:val="000000"/>
        </w:rPr>
        <w:t xml:space="preserve">Приёмы дифференцированного обучения</w:t>
      </w:r>
      <w:r/>
    </w:p>
    <w:p>
      <w:pPr>
        <w:pStyle w:val="940"/>
        <w:jc w:val="both"/>
        <w:shd w:val="clear" w:color="auto" w:fill="ffffff"/>
        <w:rPr>
          <w:rFonts w:eastAsia="Times New Roman"/>
          <w:color w:val="000000"/>
        </w:rPr>
      </w:pPr>
      <w:r>
        <w:rPr>
          <w:rFonts w:eastAsia="Times New Roman"/>
          <w:color w:val="000000"/>
        </w:rPr>
        <w:t xml:space="preserve">при опросе, подаче домашнего задания и оценивании учащихся</w:t>
      </w:r>
      <w:r/>
    </w:p>
    <w:p>
      <w:pPr>
        <w:pStyle w:val="940"/>
        <w:ind w:firstLine="708"/>
        <w:jc w:val="both"/>
        <w:shd w:val="clear" w:color="auto" w:fill="ffffff"/>
        <w:rPr>
          <w:rFonts w:eastAsia="Times New Roman"/>
          <w:i/>
          <w:iCs/>
          <w:color w:val="000000"/>
        </w:rPr>
      </w:pPr>
      <w:r>
        <w:rPr>
          <w:rFonts w:eastAsia="Times New Roman"/>
          <w:i/>
          <w:iCs/>
          <w:color w:val="000000"/>
        </w:rPr>
        <w:t xml:space="preserve">Приёмы опроса учащихся</w:t>
      </w:r>
      <w:r/>
    </w:p>
    <w:p>
      <w:pPr>
        <w:pStyle w:val="940"/>
        <w:ind w:firstLine="708"/>
        <w:jc w:val="both"/>
        <w:shd w:val="clear" w:color="auto" w:fill="ffffff"/>
        <w:rPr>
          <w:rFonts w:eastAsia="Times New Roman"/>
          <w:color w:val="000000"/>
        </w:rPr>
      </w:pPr>
      <w:r>
        <w:rPr>
          <w:rFonts w:eastAsia="Times New Roman"/>
          <w:color w:val="000000"/>
        </w:rPr>
        <w:t xml:space="preserve">Очень часто на уроках формы опроса направлены на поиск пробелов и недостатков в знаниях учащихся. А ведь это должен быть поиск достоинств, знаний и умений. Главная задача в ходе опроса – поддержать, помочь, научить.</w:t>
      </w:r>
      <w:r/>
    </w:p>
    <w:p>
      <w:pPr>
        <w:pStyle w:val="940"/>
        <w:ind w:firstLine="708"/>
        <w:jc w:val="both"/>
        <w:shd w:val="clear" w:color="auto" w:fill="ffffff"/>
      </w:pPr>
      <w:r>
        <w:rPr>
          <w:rFonts w:eastAsia="Times New Roman"/>
          <w:b/>
          <w:bCs/>
          <w:color w:val="000000"/>
          <w:u w:val="single"/>
        </w:rPr>
        <w:t xml:space="preserve">Прием 1.</w:t>
      </w:r>
      <w:r>
        <w:rPr>
          <w:rFonts w:eastAsia="Times New Roman"/>
          <w:b/>
          <w:bCs/>
          <w:color w:val="000000"/>
        </w:rPr>
        <w:t xml:space="preserve"> Солидарный опрос.</w:t>
      </w:r>
      <w:r/>
    </w:p>
    <w:p>
      <w:pPr>
        <w:pStyle w:val="940"/>
        <w:ind w:firstLine="708"/>
        <w:jc w:val="both"/>
        <w:shd w:val="clear" w:color="auto" w:fill="ffffff"/>
        <w:rPr>
          <w:rFonts w:eastAsia="Times New Roman"/>
          <w:color w:val="000000"/>
        </w:rPr>
      </w:pPr>
      <w:r>
        <w:rPr>
          <w:rFonts w:eastAsia="Times New Roman"/>
          <w:color w:val="000000"/>
        </w:rPr>
        <w:t xml:space="preserve">Ученик, вызванный к доске, не может справиться с заданием. Обращаемся к классу с во</w:t>
      </w:r>
      <w:r>
        <w:rPr>
          <w:rFonts w:eastAsia="Times New Roman"/>
          <w:color w:val="000000"/>
        </w:rPr>
        <w:t xml:space="preserve">просом: «Кто может выполнить это задание?» Затем из числа желающих выбираем наиболее предпочтительного (того, кто находится в хороших отношениях с отвечающим), и предлагаем ему шёпотом помочь товарищу и научить его так, чтобы тот мог сам выполнить задание.</w:t>
      </w:r>
      <w:r/>
    </w:p>
    <w:p>
      <w:pPr>
        <w:pStyle w:val="940"/>
        <w:ind w:firstLine="708"/>
        <w:jc w:val="both"/>
        <w:shd w:val="clear" w:color="auto" w:fill="ffffff"/>
        <w:rPr>
          <w:rFonts w:eastAsia="Times New Roman"/>
          <w:color w:val="000000"/>
        </w:rPr>
      </w:pPr>
      <w:r>
        <w:rPr>
          <w:rFonts w:eastAsia="Times New Roman"/>
          <w:color w:val="000000"/>
        </w:rPr>
        <w:t xml:space="preserve">Почти тот же самый вариант, но немного изменённый: ученика вызываем к доске, предлагаем ему тему, проблему или задание; затем он выбирает из класса того, в чьей помощи он нуждается</w:t>
      </w:r>
      <w:r>
        <w:rPr>
          <w:rFonts w:eastAsia="Times New Roman"/>
          <w:color w:val="000000"/>
        </w:rPr>
        <w:t xml:space="preserve"> (1-2 чел.), затем они берут все необходимые пособия, тетради, учебники и удаляются на последнюю парту, где в течение 15 минут идёт подготовка, после чего ученик сдаёт учителю в присутствии своих тренеров изученный материал. Если ученик справился с задание</w:t>
      </w:r>
      <w:r>
        <w:rPr>
          <w:rFonts w:eastAsia="Times New Roman"/>
          <w:color w:val="000000"/>
        </w:rPr>
        <w:t xml:space="preserve">м, он получает качественную оценку в баллах и поощрение на словах, оцениваем также труд тренеров, если опыт не получился, неудовлетворительная оценка не выставляется, а учитель думает над другими способами и заданиями, позволяющими ученику добиться успеха.</w:t>
      </w:r>
      <w:r/>
    </w:p>
    <w:p>
      <w:pPr>
        <w:pStyle w:val="940"/>
        <w:ind w:firstLine="708"/>
        <w:jc w:val="both"/>
        <w:shd w:val="clear" w:color="auto" w:fill="ffffff"/>
      </w:pPr>
      <w:r>
        <w:rPr>
          <w:rFonts w:eastAsia="Times New Roman"/>
          <w:b/>
          <w:bCs/>
          <w:color w:val="000000"/>
          <w:u w:val="single"/>
        </w:rPr>
        <w:t xml:space="preserve">Прием 2.</w:t>
      </w:r>
      <w:r>
        <w:rPr>
          <w:rFonts w:eastAsia="Times New Roman"/>
          <w:b/>
          <w:bCs/>
          <w:color w:val="000000"/>
        </w:rPr>
        <w:t xml:space="preserve"> Взаимоопрос</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Три ученика, подготовленные провести опрос тех, </w:t>
      </w:r>
      <w:r>
        <w:rPr>
          <w:rFonts w:eastAsia="Times New Roman"/>
          <w:color w:val="000000"/>
        </w:rPr>
        <w:t xml:space="preserve">кто хотел бы ответить на "5”, на "4” и на "3”, садятся каждый на своём ряду и приглашают желающих. Если ученик записался в группу, где он быстро ответил на вопросы и получил "3”, он может мигрировать в группу более высокого качества и попытать счастья там.</w:t>
      </w:r>
      <w:r/>
    </w:p>
    <w:p>
      <w:pPr>
        <w:pStyle w:val="940"/>
        <w:ind w:firstLine="708"/>
        <w:jc w:val="both"/>
        <w:shd w:val="clear" w:color="auto" w:fill="ffffff"/>
      </w:pPr>
      <w:r>
        <w:rPr>
          <w:rFonts w:eastAsia="Times New Roman"/>
          <w:b/>
          <w:bCs/>
          <w:color w:val="000000"/>
          <w:u w:val="single"/>
        </w:rPr>
        <w:t xml:space="preserve">Прием 3.</w:t>
      </w:r>
      <w:r>
        <w:rPr>
          <w:rFonts w:eastAsia="Times New Roman"/>
          <w:b/>
          <w:bCs/>
          <w:color w:val="000000"/>
        </w:rPr>
        <w:t xml:space="preserve"> Тихий опрос</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Беседа с одним или несколькими учениками происходит полушёпотом, в то время как класс занят другим делом, которое предложил учитель.</w:t>
      </w:r>
      <w:r/>
    </w:p>
    <w:p>
      <w:pPr>
        <w:pStyle w:val="940"/>
        <w:ind w:firstLine="708"/>
        <w:jc w:val="both"/>
        <w:shd w:val="clear" w:color="auto" w:fill="ffffff"/>
      </w:pPr>
      <w:r>
        <w:rPr>
          <w:rFonts w:eastAsia="Times New Roman"/>
          <w:b/>
          <w:bCs/>
          <w:color w:val="000000"/>
          <w:u w:val="single"/>
        </w:rPr>
        <w:t xml:space="preserve">Прием 4.</w:t>
      </w:r>
      <w:r>
        <w:rPr>
          <w:rFonts w:eastAsia="Times New Roman"/>
          <w:b/>
          <w:bCs/>
          <w:color w:val="000000"/>
        </w:rPr>
        <w:t xml:space="preserve"> Защитный лист</w:t>
      </w:r>
      <w:r>
        <w:rPr>
          <w:rFonts w:eastAsia="Times New Roman"/>
          <w:color w:val="000000"/>
        </w:rPr>
        <w:t xml:space="preserve">.</w:t>
      </w:r>
      <w:r/>
    </w:p>
    <w:p>
      <w:pPr>
        <w:pStyle w:val="940"/>
        <w:ind w:firstLine="708"/>
        <w:jc w:val="both"/>
        <w:shd w:val="clear" w:color="auto" w:fill="ffffff"/>
      </w:pPr>
      <w:r>
        <w:rPr>
          <w:rFonts w:eastAsia="Times New Roman"/>
          <w:color w:val="000000"/>
        </w:rPr>
        <w:t xml:space="preserve">Ученик нередко приходит на урок неподготовленным.</w:t>
      </w:r>
      <w:r>
        <w:t xml:space="preserve"> </w:t>
      </w:r>
      <w:r>
        <w:rPr>
          <w:rFonts w:eastAsia="Times New Roman"/>
          <w:color w:val="000000"/>
        </w:rPr>
        <w:t xml:space="preserve">В таких случаях обычны два сценария.</w:t>
      </w:r>
      <w:r/>
    </w:p>
    <w:p>
      <w:pPr>
        <w:pStyle w:val="940"/>
        <w:ind w:firstLine="708"/>
        <w:jc w:val="both"/>
        <w:shd w:val="clear" w:color="auto" w:fill="ffffff"/>
      </w:pPr>
      <w:r>
        <w:rPr>
          <w:rFonts w:eastAsia="Times New Roman"/>
          <w:color w:val="000000"/>
          <w:u w:val="single"/>
        </w:rPr>
        <w:t xml:space="preserve">Первый:</w:t>
      </w:r>
      <w:r>
        <w:rPr>
          <w:rFonts w:eastAsia="Times New Roman"/>
          <w:color w:val="000000"/>
        </w:rPr>
        <w:t xml:space="preserve"> строгий учитель перед каждым уроком проверяет знания. Попался – наказан, не попался – повезло... Такая игра в "кошки-мышки” порождает недоверие и много других отрицательных эффектов.</w:t>
      </w:r>
      <w:r/>
    </w:p>
    <w:p>
      <w:pPr>
        <w:pStyle w:val="940"/>
        <w:ind w:firstLine="708"/>
        <w:jc w:val="both"/>
        <w:shd w:val="clear" w:color="auto" w:fill="ffffff"/>
      </w:pPr>
      <w:r>
        <w:rPr>
          <w:rFonts w:eastAsia="Times New Roman"/>
          <w:color w:val="000000"/>
          <w:u w:val="single"/>
        </w:rPr>
        <w:t xml:space="preserve">Второй:</w:t>
      </w:r>
      <w:r>
        <w:rPr>
          <w:rFonts w:eastAsia="Times New Roman"/>
          <w:color w:val="000000"/>
        </w:rPr>
        <w:t xml:space="preserve"> Доброму учителю выгодно признаться до урока, для убеди</w:t>
      </w:r>
      <w:r>
        <w:rPr>
          <w:rFonts w:eastAsia="Times New Roman"/>
          <w:color w:val="000000"/>
        </w:rPr>
        <w:t xml:space="preserve">тельности что-нибудь приврав. Добрый пожурит, пообещает проверить знания потом, но, заваленный многочисленными школьными делами, скорее всего, забудет. Такая ситуация тоже отрицательно действует на ученика и психологически проигрышна для учителя. Как быть?</w:t>
      </w:r>
      <w:r/>
    </w:p>
    <w:p>
      <w:pPr>
        <w:pStyle w:val="940"/>
        <w:ind w:firstLine="708"/>
        <w:jc w:val="both"/>
        <w:shd w:val="clear" w:color="auto" w:fill="ffffff"/>
        <w:rPr>
          <w:rFonts w:eastAsia="Times New Roman"/>
          <w:color w:val="000000"/>
        </w:rPr>
      </w:pPr>
      <w:r>
        <w:rPr>
          <w:rFonts w:eastAsia="Times New Roman"/>
          <w:color w:val="000000"/>
        </w:rPr>
        <w:t xml:space="preserve">Перед каждым уроком, всегда в одном и том же месте, лежит "Лист защиты”, куда каждый ученик без объяснения причин может вписать свою фамилию и быть уверенным, что его сегодня не спросят. Зато учитель, подшивая эти листы, держит ситуацию под контролем.</w:t>
      </w:r>
      <w:r/>
    </w:p>
    <w:p>
      <w:pPr>
        <w:pStyle w:val="940"/>
        <w:ind w:firstLine="708"/>
        <w:jc w:val="both"/>
        <w:shd w:val="clear" w:color="auto" w:fill="ffffff"/>
      </w:pPr>
      <w:r>
        <w:rPr>
          <w:rFonts w:eastAsia="Times New Roman"/>
          <w:b/>
          <w:bCs/>
          <w:color w:val="000000"/>
          <w:u w:val="single"/>
        </w:rPr>
        <w:t xml:space="preserve">Прием 5;</w:t>
      </w:r>
      <w:r>
        <w:rPr>
          <w:rFonts w:eastAsia="Times New Roman"/>
          <w:b/>
          <w:bCs/>
          <w:color w:val="000000"/>
        </w:rPr>
        <w:t xml:space="preserve"> Идеальный опрос.</w:t>
      </w:r>
      <w:r/>
    </w:p>
    <w:p>
      <w:pPr>
        <w:pStyle w:val="940"/>
        <w:ind w:firstLine="708"/>
        <w:jc w:val="both"/>
        <w:shd w:val="clear" w:color="auto" w:fill="ffffff"/>
        <w:rPr>
          <w:rFonts w:eastAsia="Times New Roman"/>
          <w:color w:val="000000"/>
        </w:rPr>
      </w:pPr>
      <w:r>
        <w:rPr>
          <w:rFonts w:eastAsia="Times New Roman"/>
          <w:color w:val="000000"/>
        </w:rPr>
        <w:t xml:space="preserve">Идеальный опрос – когда опроса нет, а функции его выполняются. Ученики сами оценивают степень своей подготовки и сообщают об этом учителю.</w:t>
      </w:r>
      <w:r/>
    </w:p>
    <w:p>
      <w:pPr>
        <w:pStyle w:val="940"/>
        <w:ind w:firstLine="708"/>
        <w:jc w:val="both"/>
        <w:shd w:val="clear" w:color="auto" w:fill="ffffff"/>
        <w:rPr>
          <w:rFonts w:eastAsia="Times New Roman"/>
          <w:b/>
          <w:bCs/>
          <w:i/>
          <w:iCs/>
          <w:color w:val="000000"/>
        </w:rPr>
      </w:pPr>
      <w:r>
        <w:rPr>
          <w:rFonts w:eastAsia="Times New Roman"/>
          <w:b/>
          <w:bCs/>
          <w:i/>
          <w:iCs/>
          <w:color w:val="000000"/>
        </w:rPr>
        <w:t xml:space="preserve">Приемы подачи домашнего задания</w:t>
      </w:r>
      <w:r/>
    </w:p>
    <w:p>
      <w:pPr>
        <w:pStyle w:val="940"/>
        <w:ind w:firstLine="708"/>
        <w:jc w:val="both"/>
        <w:shd w:val="clear" w:color="auto" w:fill="ffffff"/>
        <w:rPr>
          <w:rFonts w:eastAsia="Times New Roman"/>
          <w:color w:val="000000"/>
        </w:rPr>
      </w:pPr>
      <w:r>
        <w:rPr>
          <w:rFonts w:eastAsia="Times New Roman"/>
          <w:color w:val="000000"/>
        </w:rPr>
        <w:t xml:space="preserve">Вредный и достаточно распространенный прием – наказание домашним заданием повышенного объема или сложности. Но если уж задавать, то задавать с максимальной пользой.</w:t>
      </w:r>
      <w:r/>
    </w:p>
    <w:p>
      <w:pPr>
        <w:pStyle w:val="940"/>
        <w:ind w:firstLine="708"/>
        <w:jc w:val="both"/>
        <w:shd w:val="clear" w:color="auto" w:fill="ffffff"/>
      </w:pPr>
      <w:r>
        <w:rPr>
          <w:rFonts w:eastAsia="Times New Roman"/>
          <w:b/>
          <w:bCs/>
          <w:color w:val="000000"/>
          <w:u w:val="single"/>
        </w:rPr>
        <w:t xml:space="preserve">Прием 1.</w:t>
      </w:r>
      <w:r>
        <w:rPr>
          <w:rFonts w:eastAsia="Times New Roman"/>
          <w:b/>
          <w:bCs/>
          <w:color w:val="000000"/>
        </w:rPr>
        <w:t xml:space="preserve"> Три уровня домашнего задания.</w:t>
      </w:r>
      <w:r/>
    </w:p>
    <w:p>
      <w:pPr>
        <w:pStyle w:val="940"/>
        <w:ind w:firstLine="708"/>
        <w:jc w:val="both"/>
        <w:shd w:val="clear" w:color="auto" w:fill="ffffff"/>
        <w:rPr>
          <w:rFonts w:eastAsia="Times New Roman"/>
          <w:color w:val="000000"/>
        </w:rPr>
      </w:pPr>
      <w:r>
        <w:rPr>
          <w:rFonts w:eastAsia="Times New Roman"/>
          <w:color w:val="000000"/>
        </w:rPr>
        <w:t xml:space="preserve">Учитель одновременно задает домашнее задание трех уровней.</w:t>
      </w:r>
      <w:r/>
    </w:p>
    <w:p>
      <w:pPr>
        <w:pStyle w:val="940"/>
        <w:ind w:firstLine="708"/>
        <w:jc w:val="both"/>
        <w:shd w:val="clear" w:color="auto" w:fill="ffffff"/>
      </w:pPr>
      <w:r>
        <w:rPr>
          <w:rFonts w:eastAsia="Times New Roman"/>
          <w:color w:val="000000"/>
          <w:u w:val="single"/>
        </w:rPr>
        <w:t xml:space="preserve">Первый уровень</w:t>
      </w:r>
      <w:r>
        <w:rPr>
          <w:rFonts w:eastAsia="Times New Roman"/>
          <w:color w:val="000000"/>
        </w:rPr>
        <w:t xml:space="preserve"> – обязательный минимум. Главное свойство этого задания: оно должно быть абсолютно понятно и посильно любому ученику.</w:t>
      </w:r>
      <w:r/>
    </w:p>
    <w:p>
      <w:pPr>
        <w:pStyle w:val="940"/>
        <w:ind w:firstLine="708"/>
        <w:jc w:val="both"/>
        <w:shd w:val="clear" w:color="auto" w:fill="ffffff"/>
      </w:pPr>
      <w:r>
        <w:rPr>
          <w:rFonts w:eastAsia="Times New Roman"/>
          <w:color w:val="000000"/>
          <w:u w:val="single"/>
        </w:rPr>
        <w:t xml:space="preserve">Второй уровень</w:t>
      </w:r>
      <w:r>
        <w:rPr>
          <w:rFonts w:eastAsia="Times New Roman"/>
          <w:color w:val="000000"/>
        </w:rPr>
        <w:t xml:space="preserve"> – тренировочный. Его выполняют ученики, которые желают хорошо знать предмет и без особой трудности осваивают программу. Эти ученики могут освобождаться от задания первого вида.</w:t>
      </w:r>
      <w:r/>
    </w:p>
    <w:p>
      <w:pPr>
        <w:pStyle w:val="940"/>
        <w:ind w:firstLine="708"/>
        <w:jc w:val="both"/>
        <w:shd w:val="clear" w:color="auto" w:fill="ffffff"/>
      </w:pPr>
      <w:r>
        <w:rPr>
          <w:rFonts w:eastAsia="Times New Roman"/>
          <w:color w:val="000000"/>
          <w:u w:val="single"/>
        </w:rPr>
        <w:t xml:space="preserve">Третий уровень</w:t>
      </w:r>
      <w:r>
        <w:rPr>
          <w:rFonts w:eastAsia="Times New Roman"/>
          <w:color w:val="000000"/>
        </w:rPr>
        <w:t xml:space="preserve"> используется или нет учителем в зависимости от темы урока, подготовленности класса. Это – творческое задание. Обычно оно выполняется на добровольных началах и стимулируется учителем высокой оценкой и похвалой. Диапазон творческих заданий широк:</w:t>
      </w:r>
      <w:r/>
    </w:p>
    <w:p>
      <w:pPr>
        <w:pStyle w:val="940"/>
        <w:ind w:firstLine="708"/>
        <w:jc w:val="both"/>
        <w:shd w:val="clear" w:color="auto" w:fill="ffffff"/>
      </w:pPr>
      <w:r>
        <w:rPr>
          <w:rFonts w:eastAsia="Symbol"/>
          <w:color w:val="000000"/>
        </w:rPr>
        <w:t xml:space="preserve">- </w:t>
      </w:r>
      <w:r>
        <w:rPr>
          <w:rFonts w:eastAsia="Times New Roman"/>
          <w:color w:val="000000"/>
        </w:rPr>
        <w:t xml:space="preserve">частушки, басни, сказки, фантастические рассказы по учебным темам и т.п.;</w:t>
      </w:r>
      <w:r/>
    </w:p>
    <w:p>
      <w:pPr>
        <w:pStyle w:val="940"/>
        <w:ind w:firstLine="708"/>
        <w:jc w:val="both"/>
        <w:shd w:val="clear" w:color="auto" w:fill="ffffff"/>
      </w:pPr>
      <w:r>
        <w:rPr>
          <w:rFonts w:eastAsia="Symbol"/>
          <w:color w:val="000000"/>
        </w:rPr>
        <w:t xml:space="preserve">- </w:t>
      </w:r>
      <w:r>
        <w:rPr>
          <w:rFonts w:eastAsia="Times New Roman"/>
          <w:color w:val="000000"/>
        </w:rPr>
        <w:t xml:space="preserve">чайнворды, сканворды, кроссворды и т.п.;</w:t>
      </w:r>
      <w:r/>
    </w:p>
    <w:p>
      <w:pPr>
        <w:pStyle w:val="940"/>
        <w:ind w:firstLine="708"/>
        <w:jc w:val="both"/>
        <w:shd w:val="clear" w:color="auto" w:fill="ffffff"/>
      </w:pPr>
      <w:r>
        <w:rPr>
          <w:rFonts w:eastAsia="Symbol"/>
          <w:color w:val="000000"/>
        </w:rPr>
        <w:t xml:space="preserve">- </w:t>
      </w:r>
      <w:r>
        <w:rPr>
          <w:rFonts w:eastAsia="Times New Roman"/>
          <w:color w:val="000000"/>
        </w:rPr>
        <w:t xml:space="preserve">учебные комиксы;</w:t>
      </w:r>
      <w:r/>
    </w:p>
    <w:p>
      <w:pPr>
        <w:pStyle w:val="940"/>
        <w:ind w:firstLine="708"/>
        <w:jc w:val="both"/>
        <w:shd w:val="clear" w:color="auto" w:fill="ffffff"/>
      </w:pPr>
      <w:r>
        <w:rPr>
          <w:rFonts w:eastAsia="Symbol"/>
          <w:color w:val="000000"/>
        </w:rPr>
        <w:t xml:space="preserve">- </w:t>
      </w:r>
      <w:r>
        <w:rPr>
          <w:rFonts w:eastAsia="Times New Roman"/>
          <w:color w:val="000000"/>
        </w:rPr>
        <w:t xml:space="preserve">плакаты – опорные сигналы;</w:t>
      </w:r>
      <w:r/>
    </w:p>
    <w:p>
      <w:pPr>
        <w:pStyle w:val="940"/>
        <w:ind w:firstLine="708"/>
        <w:jc w:val="both"/>
        <w:shd w:val="clear" w:color="auto" w:fill="ffffff"/>
      </w:pPr>
      <w:r>
        <w:rPr>
          <w:rFonts w:eastAsia="Symbol"/>
          <w:color w:val="000000"/>
        </w:rPr>
        <w:t xml:space="preserve">- </w:t>
      </w:r>
      <w:r>
        <w:rPr>
          <w:rFonts w:eastAsia="Times New Roman"/>
          <w:color w:val="000000"/>
        </w:rPr>
        <w:t xml:space="preserve">мнемонические формулы, стихи и др.</w:t>
      </w:r>
      <w:r/>
    </w:p>
    <w:p>
      <w:pPr>
        <w:pStyle w:val="940"/>
        <w:ind w:firstLine="708"/>
        <w:jc w:val="both"/>
        <w:shd w:val="clear" w:color="auto" w:fill="ffffff"/>
      </w:pPr>
      <w:r>
        <w:rPr>
          <w:rFonts w:eastAsia="Times New Roman"/>
          <w:b/>
          <w:bCs/>
          <w:color w:val="000000"/>
          <w:u w:val="single"/>
        </w:rPr>
        <w:t xml:space="preserve">Прием 2. </w:t>
      </w:r>
      <w:r>
        <w:rPr>
          <w:rFonts w:eastAsia="Times New Roman"/>
          <w:b/>
          <w:bCs/>
          <w:color w:val="000000"/>
        </w:rPr>
        <w:t xml:space="preserve">Задание массивом</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Задается большой массив заданий сразу на достаточно бо</w:t>
      </w:r>
      <w:r>
        <w:rPr>
          <w:rFonts w:eastAsia="Times New Roman"/>
          <w:color w:val="000000"/>
        </w:rPr>
        <w:t xml:space="preserve">льшой промежуток времени. Например, из 50 заданий ученик должен выполнить 20. Важный психологический эффект: самостоятельный выбор задания дает возможность самореализации для ученика, происходит самосогласование ребенка и уровня заданий, которые он решает.</w:t>
      </w:r>
      <w:r/>
    </w:p>
    <w:p>
      <w:pPr>
        <w:pStyle w:val="940"/>
        <w:ind w:firstLine="708"/>
        <w:jc w:val="both"/>
        <w:shd w:val="clear" w:color="auto" w:fill="ffffff"/>
      </w:pPr>
      <w:r>
        <w:rPr>
          <w:rFonts w:eastAsia="Times New Roman"/>
          <w:b/>
          <w:bCs/>
          <w:color w:val="000000"/>
          <w:u w:val="single"/>
        </w:rPr>
        <w:t xml:space="preserve">Прием 3. </w:t>
      </w:r>
      <w:r>
        <w:rPr>
          <w:rFonts w:eastAsia="Times New Roman"/>
          <w:b/>
          <w:bCs/>
          <w:color w:val="000000"/>
        </w:rPr>
        <w:t xml:space="preserve">Сам себе учитель.</w:t>
      </w:r>
      <w:r/>
    </w:p>
    <w:p>
      <w:pPr>
        <w:pStyle w:val="940"/>
        <w:ind w:firstLine="708"/>
        <w:jc w:val="both"/>
        <w:shd w:val="clear" w:color="auto" w:fill="ffffff"/>
        <w:rPr>
          <w:rFonts w:eastAsia="Times New Roman"/>
          <w:color w:val="000000"/>
        </w:rPr>
      </w:pPr>
      <w:r>
        <w:rPr>
          <w:rFonts w:eastAsia="Times New Roman"/>
          <w:color w:val="000000"/>
        </w:rPr>
        <w:t xml:space="preserve">В течение последни</w:t>
      </w:r>
      <w:r>
        <w:rPr>
          <w:rFonts w:eastAsia="Times New Roman"/>
          <w:color w:val="000000"/>
        </w:rPr>
        <w:t xml:space="preserve">х 10 минут урока предлагаем учащимся придумать наиболее интересную форму и содержание домашнего задания. Кто какое домашнее задание для себя придумал, тот и будет его выполнять. Кто не сумел или не захотел придумать, тому домашнее задание формулируем сами.</w:t>
      </w:r>
      <w:r/>
    </w:p>
    <w:p>
      <w:pPr>
        <w:pStyle w:val="940"/>
        <w:ind w:firstLine="708"/>
        <w:jc w:val="both"/>
        <w:shd w:val="clear" w:color="auto" w:fill="ffffff"/>
      </w:pPr>
      <w:r>
        <w:rPr>
          <w:rFonts w:eastAsia="Times New Roman"/>
          <w:b/>
          <w:bCs/>
          <w:color w:val="000000"/>
          <w:u w:val="single"/>
        </w:rPr>
        <w:t xml:space="preserve">Прием 4. </w:t>
      </w:r>
      <w:r>
        <w:rPr>
          <w:rFonts w:eastAsia="Times New Roman"/>
          <w:b/>
          <w:bCs/>
          <w:color w:val="000000"/>
        </w:rPr>
        <w:t xml:space="preserve">Идеальное задание.</w:t>
      </w:r>
      <w:r/>
    </w:p>
    <w:p>
      <w:pPr>
        <w:pStyle w:val="940"/>
        <w:ind w:firstLine="708"/>
        <w:jc w:val="both"/>
        <w:shd w:val="clear" w:color="auto" w:fill="ffffff"/>
        <w:rPr>
          <w:rFonts w:eastAsia="Times New Roman"/>
          <w:color w:val="000000"/>
        </w:rPr>
      </w:pPr>
      <w:r>
        <w:rPr>
          <w:rFonts w:eastAsia="Times New Roman"/>
          <w:color w:val="000000"/>
        </w:rPr>
        <w:t xml:space="preserve">Достаточно схож с приемом 3. Учитель не дает никакого определенного задания, но функция домашней работы выполняется, то есть учитель предлагает школьникам выполнить дома работу по их собственному выбору и пониманию.</w:t>
      </w:r>
      <w:r/>
    </w:p>
    <w:p>
      <w:pPr>
        <w:pStyle w:val="940"/>
        <w:ind w:firstLine="708"/>
        <w:jc w:val="both"/>
        <w:shd w:val="clear" w:color="auto" w:fill="ffffff"/>
        <w:rPr>
          <w:rFonts w:eastAsia="Times New Roman"/>
          <w:b/>
          <w:bCs/>
          <w:i/>
          <w:iCs/>
          <w:color w:val="000000"/>
        </w:rPr>
      </w:pPr>
      <w:r>
        <w:rPr>
          <w:rFonts w:eastAsia="Times New Roman"/>
          <w:b/>
          <w:bCs/>
          <w:i/>
          <w:iCs/>
          <w:color w:val="000000"/>
        </w:rPr>
        <w:t xml:space="preserve">Приемы оценивания</w:t>
      </w:r>
      <w:r/>
    </w:p>
    <w:p>
      <w:pPr>
        <w:pStyle w:val="940"/>
        <w:ind w:firstLine="708"/>
        <w:jc w:val="both"/>
        <w:shd w:val="clear" w:color="auto" w:fill="ffffff"/>
        <w:rPr>
          <w:rFonts w:eastAsia="Times New Roman"/>
          <w:color w:val="000000"/>
        </w:rPr>
      </w:pPr>
      <w:r>
        <w:rPr>
          <w:rFonts w:eastAsia="Times New Roman"/>
          <w:color w:val="000000"/>
        </w:rPr>
        <w:t xml:space="preserve">От педагога в момент оценки результатов требуется эмоциональная уравновешенность, необходимая</w:t>
      </w:r>
      <w:r>
        <w:rPr>
          <w:rFonts w:eastAsia="Times New Roman"/>
          <w:color w:val="000000"/>
        </w:rPr>
        <w:t xml:space="preserve"> для объективной оценки, доброжелательность – в момент оглашения оценок любого уровня, умение учитывать возможности и реальные достижения каждого учащегося. Главное, чтобы оценка на уроке стала стимулом для дальнейшего приложения сил. Человеку нужен успех.</w:t>
      </w:r>
      <w:r/>
    </w:p>
    <w:p>
      <w:pPr>
        <w:pStyle w:val="940"/>
        <w:ind w:firstLine="708"/>
        <w:jc w:val="both"/>
        <w:shd w:val="clear" w:color="auto" w:fill="ffffff"/>
      </w:pPr>
      <w:r>
        <w:rPr>
          <w:rFonts w:eastAsia="Times New Roman"/>
          <w:b/>
          <w:bCs/>
          <w:color w:val="000000"/>
          <w:u w:val="single"/>
        </w:rPr>
        <w:t xml:space="preserve">Прием 1.</w:t>
      </w:r>
      <w:r>
        <w:rPr>
          <w:rFonts w:eastAsia="Times New Roman"/>
          <w:b/>
          <w:bCs/>
          <w:color w:val="000000"/>
        </w:rPr>
        <w:t xml:space="preserve"> Оценка – не отметка</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Оцениваем не только цифрой. Оцениваем словами, интонацией, жестом, мимикой...</w:t>
      </w:r>
      <w:r/>
    </w:p>
    <w:p>
      <w:pPr>
        <w:pStyle w:val="940"/>
        <w:ind w:firstLine="708"/>
        <w:jc w:val="both"/>
        <w:shd w:val="clear" w:color="auto" w:fill="ffffff"/>
      </w:pPr>
      <w:r>
        <w:rPr>
          <w:rFonts w:eastAsia="Times New Roman"/>
          <w:color w:val="000000"/>
          <w:u w:val="single"/>
        </w:rPr>
        <w:t xml:space="preserve">Вариант:</w:t>
      </w:r>
      <w:r>
        <w:rPr>
          <w:rFonts w:eastAsia="Times New Roman"/>
          <w:color w:val="000000"/>
        </w:rPr>
        <w:t xml:space="preserve"> учитель, потирая ладони, с хитрым видом выдает группам на листочке задание каверзное, но посильное... Через 10 минут ученики справляются. Учитель: "Ну что с вами делать! Вы же мой золотой фонд невыполненных заданий погубите! Вот уж в следующий раз...”</w:t>
      </w:r>
      <w:r/>
    </w:p>
    <w:p>
      <w:pPr>
        <w:pStyle w:val="940"/>
        <w:ind w:firstLine="708"/>
        <w:jc w:val="both"/>
        <w:shd w:val="clear" w:color="auto" w:fill="ffffff"/>
      </w:pPr>
      <w:r>
        <w:rPr>
          <w:rFonts w:eastAsia="Times New Roman"/>
          <w:b/>
          <w:bCs/>
          <w:color w:val="000000"/>
          <w:u w:val="single"/>
        </w:rPr>
        <w:t xml:space="preserve">Прием 2. </w:t>
      </w:r>
      <w:r>
        <w:rPr>
          <w:rFonts w:eastAsia="Times New Roman"/>
          <w:b/>
          <w:bCs/>
          <w:color w:val="000000"/>
        </w:rPr>
        <w:t xml:space="preserve">Рейтинг</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Завершив работу, ученик сам ставить себе отметку. За ту же работу отметку ставит и учитель. Записываем дробь. Например, 4/5. Задача учителя – приучить ученика к регулярному оцениванию своего труда.</w:t>
      </w:r>
      <w:r/>
    </w:p>
    <w:p>
      <w:pPr>
        <w:pStyle w:val="940"/>
        <w:ind w:firstLine="708"/>
        <w:jc w:val="both"/>
        <w:shd w:val="clear" w:color="auto" w:fill="ffffff"/>
        <w:rPr>
          <w:rFonts w:eastAsia="Times New Roman"/>
          <w:color w:val="000000"/>
        </w:rPr>
      </w:pPr>
      <w:r>
        <w:rPr>
          <w:rFonts w:eastAsia="Times New Roman"/>
          <w:color w:val="000000"/>
        </w:rPr>
        <w:t xml:space="preserve">Прием вводится на период согласования критериев отметки, а через некоторое время числитель и знаменатель все чаще совпадают.</w:t>
      </w:r>
      <w:r/>
    </w:p>
    <w:p>
      <w:pPr>
        <w:pStyle w:val="940"/>
        <w:ind w:firstLine="708"/>
        <w:jc w:val="both"/>
        <w:shd w:val="clear" w:color="auto" w:fill="ffffff"/>
      </w:pPr>
      <w:r>
        <w:rPr>
          <w:rFonts w:eastAsia="Times New Roman"/>
          <w:b/>
          <w:bCs/>
          <w:color w:val="000000"/>
          <w:u w:val="single"/>
        </w:rPr>
        <w:t xml:space="preserve">Прием 3. </w:t>
      </w:r>
      <w:r>
        <w:rPr>
          <w:rFonts w:eastAsia="Times New Roman"/>
          <w:b/>
          <w:bCs/>
          <w:color w:val="000000"/>
        </w:rPr>
        <w:t xml:space="preserve">Кредит доверия.</w:t>
      </w:r>
      <w:r/>
    </w:p>
    <w:p>
      <w:pPr>
        <w:pStyle w:val="940"/>
        <w:ind w:firstLine="708"/>
        <w:jc w:val="both"/>
        <w:shd w:val="clear" w:color="auto" w:fill="ffffff"/>
        <w:rPr>
          <w:rFonts w:eastAsia="Times New Roman"/>
          <w:color w:val="000000"/>
        </w:rPr>
      </w:pPr>
      <w:r>
        <w:rPr>
          <w:rFonts w:eastAsia="Times New Roman"/>
          <w:color w:val="000000"/>
        </w:rPr>
        <w:t xml:space="preserve">В некоторых случаях ставим отметку в "кредит”. Спорная четвертная. Предмет волнений и </w:t>
      </w:r>
      <w:r>
        <w:rPr>
          <w:rFonts w:eastAsia="Times New Roman"/>
          <w:color w:val="000000"/>
        </w:rPr>
        <w:t xml:space="preserve">надежд. Учитель: "По отметкам ты на "4” ("5”) чуть-чуть не доработал. Но у меня создалось впечатление, что ты можешь и хочешь. Это так? Если да, то давай попробуем поставить тебе высокую оценку, а в следующей четверти станет ясно, насколько мы были правы”.</w:t>
      </w:r>
      <w:r/>
    </w:p>
    <w:p>
      <w:pPr>
        <w:pStyle w:val="940"/>
        <w:ind w:firstLine="708"/>
        <w:jc w:val="both"/>
        <w:shd w:val="clear" w:color="auto" w:fill="ffffff"/>
      </w:pPr>
      <w:r>
        <w:rPr>
          <w:rFonts w:eastAsia="Times New Roman"/>
          <w:b/>
          <w:bCs/>
          <w:color w:val="000000"/>
          <w:u w:val="single"/>
        </w:rPr>
        <w:t xml:space="preserve">Прием 4. </w:t>
      </w:r>
      <w:r>
        <w:rPr>
          <w:rFonts w:eastAsia="Times New Roman"/>
          <w:b/>
          <w:bCs/>
          <w:color w:val="000000"/>
        </w:rPr>
        <w:t xml:space="preserve">Система стимулов</w:t>
      </w:r>
      <w:r>
        <w:rPr>
          <w:rFonts w:eastAsia="Times New Roman"/>
          <w:color w:val="000000"/>
        </w:rPr>
        <w:t xml:space="preserve">.</w:t>
      </w:r>
      <w:r/>
    </w:p>
    <w:p>
      <w:pPr>
        <w:pStyle w:val="940"/>
        <w:ind w:firstLine="708"/>
        <w:jc w:val="both"/>
        <w:shd w:val="clear" w:color="auto" w:fill="ffffff"/>
      </w:pPr>
      <w:r>
        <w:rPr>
          <w:rFonts w:eastAsia="Times New Roman"/>
          <w:color w:val="000000"/>
          <w:u w:val="single"/>
        </w:rPr>
        <w:t xml:space="preserve">Вариант 1. </w:t>
      </w:r>
      <w:r>
        <w:rPr>
          <w:rFonts w:eastAsia="Times New Roman"/>
          <w:color w:val="000000"/>
        </w:rPr>
        <w:t xml:space="preserve">Листочек с отложенной оценкой.</w:t>
      </w:r>
      <w:r/>
    </w:p>
    <w:p>
      <w:pPr>
        <w:pStyle w:val="940"/>
        <w:ind w:firstLine="708"/>
        <w:jc w:val="both"/>
        <w:shd w:val="clear" w:color="auto" w:fill="ffffff"/>
        <w:rPr>
          <w:rFonts w:eastAsia="Times New Roman"/>
          <w:color w:val="000000"/>
        </w:rPr>
      </w:pPr>
      <w:r>
        <w:rPr>
          <w:rFonts w:eastAsia="Times New Roman"/>
          <w:color w:val="000000"/>
        </w:rPr>
        <w:t xml:space="preserve">Не желая выставлять низкую </w:t>
      </w:r>
      <w:r>
        <w:rPr>
          <w:rFonts w:eastAsia="Times New Roman"/>
          <w:color w:val="000000"/>
        </w:rPr>
        <w:t xml:space="preserve">оценку, выдаем учащемуся листочек, в который он записывает тему, заданный вопрос или задание, с которым не справился, дату и возвращает учителю. При следующем опросе предлагаем ученику ответить или выполнить задание, которое содержится в отложенном листке.</w:t>
      </w:r>
      <w:r/>
    </w:p>
    <w:p>
      <w:pPr>
        <w:pStyle w:val="940"/>
        <w:ind w:firstLine="708"/>
        <w:jc w:val="both"/>
        <w:shd w:val="clear" w:color="auto" w:fill="ffffff"/>
      </w:pPr>
      <w:r>
        <w:rPr>
          <w:rFonts w:eastAsia="Times New Roman"/>
          <w:b/>
          <w:bCs/>
          <w:color w:val="000000"/>
          <w:u w:val="single"/>
        </w:rPr>
        <w:t xml:space="preserve">Вариант 2.</w:t>
      </w:r>
      <w:r>
        <w:rPr>
          <w:rFonts w:eastAsia="Times New Roman"/>
          <w:b/>
          <w:bCs/>
          <w:color w:val="000000"/>
        </w:rPr>
        <w:t xml:space="preserve"> Развернутая оценка</w:t>
      </w:r>
      <w:r>
        <w:rPr>
          <w:rFonts w:eastAsia="Times New Roman"/>
          <w:color w:val="000000"/>
        </w:rPr>
        <w:t xml:space="preserve">.</w:t>
      </w:r>
      <w:r/>
    </w:p>
    <w:p>
      <w:pPr>
        <w:pStyle w:val="940"/>
        <w:ind w:firstLine="708"/>
        <w:jc w:val="both"/>
        <w:shd w:val="clear" w:color="auto" w:fill="ffffff"/>
        <w:rPr>
          <w:rFonts w:eastAsia="Times New Roman"/>
          <w:color w:val="000000"/>
        </w:rPr>
      </w:pPr>
      <w:r>
        <w:rPr>
          <w:rFonts w:eastAsia="Times New Roman"/>
          <w:color w:val="000000"/>
        </w:rPr>
        <w:t xml:space="preserve">Наряду с цифровой оценкой делаем запись, раскрывающую наше отношение к ученику и его достижениям.</w:t>
      </w:r>
      <w:r/>
    </w:p>
    <w:p>
      <w:pPr>
        <w:pStyle w:val="940"/>
        <w:ind w:firstLine="708"/>
        <w:jc w:val="both"/>
        <w:shd w:val="clear" w:color="auto" w:fill="ffffff"/>
        <w:rPr>
          <w:rFonts w:eastAsia="Times New Roman"/>
          <w:b/>
          <w:bCs/>
          <w:color w:val="000000"/>
          <w:u w:val="single"/>
        </w:rPr>
      </w:pPr>
      <w:r>
        <w:rPr>
          <w:rFonts w:eastAsia="Times New Roman"/>
          <w:b/>
          <w:bCs/>
          <w:color w:val="000000"/>
          <w:u w:val="single"/>
        </w:rPr>
        <w:t xml:space="preserve">Вариант 3.</w:t>
      </w:r>
      <w:r/>
    </w:p>
    <w:p>
      <w:pPr>
        <w:pStyle w:val="940"/>
        <w:ind w:firstLine="708"/>
        <w:jc w:val="both"/>
        <w:shd w:val="clear" w:color="auto" w:fill="ffffff"/>
        <w:rPr>
          <w:rFonts w:eastAsia="Times New Roman"/>
          <w:color w:val="000000"/>
        </w:rPr>
      </w:pPr>
      <w:r>
        <w:rPr>
          <w:rFonts w:eastAsia="Times New Roman"/>
          <w:color w:val="000000"/>
        </w:rPr>
        <w:t xml:space="preserve">Достаточно хорошей оценкой могут быть:</w:t>
      </w:r>
      <w:r/>
    </w:p>
    <w:p>
      <w:pPr>
        <w:pStyle w:val="940"/>
        <w:ind w:firstLine="708"/>
        <w:jc w:val="both"/>
        <w:shd w:val="clear" w:color="auto" w:fill="ffffff"/>
      </w:pPr>
      <w:r>
        <w:rPr>
          <w:rFonts w:eastAsia="Times New Roman"/>
          <w:color w:val="000000"/>
        </w:rPr>
        <w:t xml:space="preserve">- маленькая грамота;</w:t>
      </w:r>
      <w:r/>
    </w:p>
    <w:p>
      <w:pPr>
        <w:pStyle w:val="940"/>
        <w:ind w:firstLine="708"/>
        <w:jc w:val="both"/>
        <w:shd w:val="clear" w:color="auto" w:fill="ffffff"/>
      </w:pPr>
      <w:r>
        <w:rPr>
          <w:rFonts w:eastAsia="Symbol"/>
          <w:color w:val="000000"/>
        </w:rPr>
        <w:t xml:space="preserve">- </w:t>
      </w:r>
      <w:r>
        <w:rPr>
          <w:rFonts w:eastAsia="Times New Roman"/>
          <w:color w:val="000000"/>
        </w:rPr>
        <w:t xml:space="preserve">благодарственное письмо или диплом "За победу на уроке”, "За маленькое открытие”, "За помощь другу”;</w:t>
      </w:r>
      <w:r/>
    </w:p>
    <w:p>
      <w:pPr>
        <w:pStyle w:val="940"/>
        <w:ind w:firstLine="708"/>
        <w:jc w:val="both"/>
        <w:shd w:val="clear" w:color="auto" w:fill="ffffff"/>
      </w:pPr>
      <w:r>
        <w:rPr>
          <w:rFonts w:eastAsia="Symbol"/>
          <w:color w:val="000000"/>
        </w:rPr>
        <w:t xml:space="preserve">- </w:t>
      </w:r>
      <w:r>
        <w:rPr>
          <w:rFonts w:eastAsia="Times New Roman"/>
          <w:color w:val="000000"/>
        </w:rPr>
        <w:t xml:space="preserve">благодарственная запись в дневнике;</w:t>
      </w:r>
      <w:r/>
    </w:p>
    <w:p>
      <w:pPr>
        <w:pStyle w:val="940"/>
        <w:ind w:firstLine="708"/>
        <w:jc w:val="both"/>
        <w:shd w:val="clear" w:color="auto" w:fill="ffffff"/>
      </w:pPr>
      <w:r>
        <w:rPr>
          <w:rFonts w:eastAsia="Symbol"/>
          <w:color w:val="000000"/>
        </w:rPr>
        <w:t xml:space="preserve">- </w:t>
      </w:r>
      <w:r>
        <w:rPr>
          <w:rFonts w:eastAsia="Times New Roman"/>
          <w:color w:val="000000"/>
        </w:rPr>
        <w:t xml:space="preserve">книга, открытка с дарственной надписью, стихотворение, посвященное ученику.</w:t>
      </w:r>
      <w:r/>
    </w:p>
    <w:p>
      <w:pPr>
        <w:pStyle w:val="940"/>
        <w:jc w:val="both"/>
        <w:shd w:val="clear" w:color="auto" w:fill="ffffff"/>
      </w:pPr>
      <w:r>
        <w:rPr>
          <w:rFonts w:eastAsia="Times New Roman"/>
          <w:color w:val="000000"/>
        </w:rPr>
        <w:t xml:space="preserve">      </w:t>
      </w:r>
      <w:r>
        <w:rPr>
          <w:rFonts w:eastAsia="Times New Roman"/>
          <w:color w:val="000000"/>
        </w:rPr>
        <w:tab/>
        <w:t xml:space="preserve">Среди приведенных приемов нет такого, который можно назвать сам</w:t>
      </w:r>
      <w:r>
        <w:rPr>
          <w:rFonts w:eastAsia="Times New Roman"/>
          <w:color w:val="000000"/>
        </w:rPr>
        <w:t xml:space="preserve">ым главным. Радуга из одного цвета – не радуга. Только поддерживая друг друга, приемы дают "радужный” эффект. Многоцветную картину не нарисовать одним махом. Терпение и постепенность! Лучший способ загубить педагогическую технику – схватиться за все сразу.</w:t>
      </w:r>
      <w:r/>
    </w:p>
    <w:p>
      <w:pPr>
        <w:pStyle w:val="940"/>
        <w:ind w:firstLine="708"/>
        <w:jc w:val="both"/>
        <w:shd w:val="clear" w:color="auto" w:fill="ffffff"/>
        <w:rPr>
          <w:rFonts w:eastAsia="Times New Roman"/>
          <w:color w:val="000000"/>
        </w:rPr>
      </w:pPr>
      <w:r>
        <w:rPr>
          <w:rFonts w:eastAsia="Times New Roman"/>
          <w:color w:val="000000"/>
        </w:rPr>
        <w:t xml:space="preserve">Иногда бездумный перенос приемов, созданных в определенных условиях, в наши, совсе</w:t>
      </w:r>
      <w:r>
        <w:rPr>
          <w:rFonts w:eastAsia="Times New Roman"/>
          <w:color w:val="000000"/>
        </w:rPr>
        <w:t xml:space="preserve">м иные (в зависимости от класса, личности ученика), может привести к тому, что для этих прекрасных приемов "дети окажутся неподходящими”. Будем помнить, что в нашей профессиональной деятельности учителя главное не в том, чтобы учить, а в том, чтобы думать.</w:t>
      </w:r>
      <w:r/>
    </w:p>
    <w:p>
      <w:pPr>
        <w:pStyle w:val="943"/>
        <w:numPr>
          <w:ilvl w:val="0"/>
          <w:numId w:val="0"/>
        </w:numPr>
        <w:ind w:left="0" w:firstLine="0"/>
        <w:jc w:val="both"/>
      </w:pPr>
      <w:r>
        <w:rPr>
          <w:rFonts w:ascii="Times New Roman" w:hAnsi="Times New Roman" w:cs="Times New Roman"/>
          <w:lang w:val="ru-RU"/>
        </w:rPr>
        <w:t xml:space="preserve">4.2. </w:t>
      </w:r>
      <w:r>
        <w:rPr>
          <w:rFonts w:ascii="Times New Roman" w:hAnsi="Times New Roman" w:cs="Times New Roman"/>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ind w:firstLine="708"/>
        <w:jc w:val="both"/>
        <w:shd w:val="clear" w:color="auto" w:fill="ffffff"/>
        <w:rPr>
          <w:rFonts w:eastAsia="Times New Roman"/>
          <w:color w:val="000000"/>
        </w:rPr>
      </w:pPr>
      <w:r>
        <w:rPr>
          <w:rFonts w:eastAsia="Times New Roman"/>
          <w:color w:val="000000"/>
        </w:rPr>
        <w:t xml:space="preserve">В рекомендациях для учителей необходимо обратить внимание на следующие вопросы:</w:t>
      </w:r>
      <w:r/>
    </w:p>
    <w:p>
      <w:pPr>
        <w:pStyle w:val="940"/>
        <w:ind w:firstLine="708"/>
        <w:jc w:val="both"/>
        <w:shd w:val="clear" w:color="auto" w:fill="ffffff"/>
        <w:rPr>
          <w:rFonts w:eastAsia="Times New Roman"/>
          <w:color w:val="000000"/>
        </w:rPr>
      </w:pPr>
      <w:r>
        <w:rPr>
          <w:rFonts w:eastAsia="Times New Roman"/>
          <w:color w:val="000000"/>
        </w:rPr>
        <w:t xml:space="preserve">1. Функция комментария – связать проблему и позицию, показать, каким путем, автор</w:t>
      </w:r>
      <w:r/>
    </w:p>
    <w:p>
      <w:pPr>
        <w:pStyle w:val="940"/>
        <w:jc w:val="both"/>
        <w:shd w:val="clear" w:color="auto" w:fill="ffffff"/>
        <w:rPr>
          <w:rFonts w:eastAsia="Times New Roman"/>
          <w:color w:val="000000"/>
        </w:rPr>
      </w:pPr>
      <w:r>
        <w:rPr>
          <w:rFonts w:eastAsia="Times New Roman"/>
          <w:color w:val="000000"/>
        </w:rPr>
        <w:t xml:space="preserve">текста переходит от постановки вопроса к его решению.</w:t>
      </w:r>
      <w:r/>
    </w:p>
    <w:p>
      <w:pPr>
        <w:pStyle w:val="940"/>
        <w:ind w:firstLine="708"/>
        <w:jc w:val="both"/>
        <w:shd w:val="clear" w:color="auto" w:fill="ffffff"/>
      </w:pPr>
      <w:r>
        <w:rPr>
          <w:rFonts w:eastAsia="Times New Roman"/>
          <w:color w:val="000000"/>
        </w:rPr>
        <w:t xml:space="preserve">2. Структура комментария следует из его функции: комментарий должен быть связан </w:t>
      </w:r>
      <w:r>
        <w:rPr>
          <w:rFonts w:eastAsia="Times New Roman"/>
          <w:color w:val="000000"/>
        </w:rPr>
        <w:t xml:space="preserve">с предшествующей и последующей частями изложения. В конце комментария должна «прочитываться» (реально или виртуально) фраза Таким образом, автор приводит нас к ответу на поставленный вопрос. Если эта фраза неуместна, значит, комментарий построен нелогично.</w:t>
      </w:r>
      <w:r/>
    </w:p>
    <w:p>
      <w:pPr>
        <w:pStyle w:val="940"/>
        <w:ind w:firstLine="708"/>
        <w:jc w:val="both"/>
        <w:shd w:val="clear" w:color="auto" w:fill="ffffff"/>
        <w:rPr>
          <w:rFonts w:eastAsia="Times New Roman"/>
          <w:color w:val="000000"/>
        </w:rPr>
      </w:pPr>
      <w:r>
        <w:rPr>
          <w:rFonts w:eastAsia="Times New Roman"/>
          <w:color w:val="000000"/>
        </w:rPr>
        <w:t xml:space="preserve">3. О</w:t>
      </w:r>
      <w:r>
        <w:rPr>
          <w:rFonts w:eastAsia="Times New Roman"/>
          <w:color w:val="000000"/>
        </w:rPr>
        <w:t xml:space="preserve">бучая построению комментария, учитель должен особо заботиться о том, чтобы те «два примера-иллюстрации из прочитанного текста», о которых говорится в К2, действительно были важными звеньями при переходе от проблемы к позиции, а не случайными предложениями.</w:t>
      </w:r>
      <w:r/>
    </w:p>
    <w:p>
      <w:pPr>
        <w:pStyle w:val="940"/>
        <w:ind w:firstLine="708"/>
        <w:jc w:val="both"/>
        <w:shd w:val="clear" w:color="auto" w:fill="ffffff"/>
        <w:rPr>
          <w:rFonts w:eastAsia="Times New Roman"/>
          <w:color w:val="000000"/>
        </w:rPr>
      </w:pPr>
      <w:r>
        <w:rPr>
          <w:rFonts w:eastAsia="Times New Roman"/>
          <w:color w:val="000000"/>
        </w:rPr>
        <w:t xml:space="preserve">4. Обучая построению комментария, учитель должен добиваться того, чтобы существенные для понимания проблемы «два примера-иллюстрации» не прос</w:t>
      </w:r>
      <w:r>
        <w:rPr>
          <w:rFonts w:eastAsia="Times New Roman"/>
          <w:color w:val="000000"/>
        </w:rPr>
        <w:t xml:space="preserve">то пересказывались, а комментировались, или, как совершенно справедливо пишет А.Г. Нарушевич, фактуальная информация должна обрамляться концептуальной (См.: Нарушевич А.Г. Комментарий к проблеме в сочинении на ЕГЭ по русскому языку// РЯШ-2017-№ 4 С. 8-11).</w:t>
      </w:r>
      <w:r/>
    </w:p>
    <w:p>
      <w:pPr>
        <w:pStyle w:val="940"/>
        <w:ind w:firstLine="708"/>
        <w:jc w:val="both"/>
        <w:shd w:val="clear" w:color="auto" w:fill="ffffff"/>
        <w:rPr>
          <w:rFonts w:eastAsia="Times New Roman"/>
          <w:color w:val="000000"/>
        </w:rPr>
      </w:pPr>
      <w:r>
        <w:rPr>
          <w:rFonts w:eastAsia="Times New Roman"/>
          <w:color w:val="000000"/>
        </w:rPr>
        <w:t xml:space="preserve">5. Предусмотренная критерием 2 связь между примерами-иллюстрациями не должна сводиться к клише, очевидно позаи</w:t>
      </w:r>
      <w:r>
        <w:rPr>
          <w:rFonts w:eastAsia="Times New Roman"/>
          <w:color w:val="000000"/>
        </w:rPr>
        <w:t xml:space="preserve">мствованному из пособий по подготовки к ЕГЭ «Эти два примера, дополняя друг друга, позволяют понять позицию автора». К сожалению, очень часто примеры не только не дополняют друг друга, но противоречат один другому, в лучшем случае оказываются несвязанными.</w:t>
      </w:r>
      <w:r/>
    </w:p>
    <w:p>
      <w:pPr>
        <w:pStyle w:val="940"/>
        <w:ind w:firstLine="708"/>
        <w:jc w:val="both"/>
        <w:shd w:val="clear" w:color="auto" w:fill="ffffff"/>
        <w:rPr>
          <w:rFonts w:eastAsia="Times New Roman"/>
          <w:color w:val="000000"/>
        </w:rPr>
      </w:pPr>
      <w:r>
        <w:rPr>
          <w:rFonts w:eastAsia="Times New Roman"/>
          <w:color w:val="000000"/>
        </w:rPr>
        <w:t xml:space="preserve">Если выходить за пределы комментария, то отсутствие логичности наблюдается в том, что часто в работах учащихся</w:t>
      </w:r>
      <w:r/>
    </w:p>
    <w:p>
      <w:pPr>
        <w:pStyle w:val="940"/>
        <w:ind w:firstLine="708"/>
        <w:jc w:val="both"/>
        <w:shd w:val="clear" w:color="auto" w:fill="ffffff"/>
        <w:rPr>
          <w:rFonts w:eastAsia="Times New Roman"/>
          <w:color w:val="000000"/>
        </w:rPr>
      </w:pPr>
      <w:r>
        <w:rPr>
          <w:rFonts w:eastAsia="Times New Roman"/>
          <w:color w:val="000000"/>
        </w:rPr>
        <w:t xml:space="preserve">а) позиция автора не является ответом на поставленный вопрос-проблему;</w:t>
      </w:r>
      <w:r/>
    </w:p>
    <w:p>
      <w:pPr>
        <w:pStyle w:val="940"/>
        <w:ind w:firstLine="708"/>
        <w:jc w:val="both"/>
        <w:shd w:val="clear" w:color="auto" w:fill="ffffff"/>
        <w:rPr>
          <w:rFonts w:eastAsia="Times New Roman"/>
          <w:color w:val="000000"/>
        </w:rPr>
      </w:pPr>
      <w:r>
        <w:rPr>
          <w:rFonts w:eastAsia="Times New Roman"/>
          <w:color w:val="000000"/>
        </w:rPr>
        <w:t xml:space="preserve">б) так называемое обоснование, пришедшее на смену аргументам, освоено учащимися далеко не полностью. </w:t>
      </w:r>
      <w:r/>
    </w:p>
    <w:p>
      <w:pPr>
        <w:pStyle w:val="940"/>
        <w:ind w:firstLine="708"/>
        <w:jc w:val="both"/>
        <w:shd w:val="clear" w:color="auto" w:fill="ffffff"/>
        <w:rPr>
          <w:rFonts w:eastAsia="Times New Roman"/>
          <w:color w:val="000000"/>
        </w:rPr>
      </w:pPr>
      <w:r>
        <w:rPr>
          <w:rFonts w:eastAsia="Times New Roman"/>
          <w:color w:val="000000"/>
        </w:rPr>
        <w:t xml:space="preserve">Авторы значительной части работ по-прежнему пересказывают фрагменты художественных произведений, не связывая этот пересказ с собственным мнением причинно-следственной связью.</w:t>
      </w:r>
      <w:r/>
    </w:p>
    <w:p>
      <w:pPr>
        <w:pStyle w:val="940"/>
        <w:ind w:firstLine="708"/>
        <w:jc w:val="both"/>
        <w:shd w:val="clear" w:color="auto" w:fill="ffffff"/>
        <w:rPr>
          <w:rFonts w:eastAsia="Times New Roman"/>
          <w:color w:val="000000"/>
        </w:rPr>
      </w:pPr>
      <w:r>
        <w:rPr>
          <w:rFonts w:eastAsia="Times New Roman"/>
          <w:color w:val="000000"/>
        </w:rPr>
        <w:t xml:space="preserve">Учителю необходимо вести работу над формированием умения устанавливать логические связи между проблемой и позицией, «собственным мнением» и обоснованием.</w:t>
      </w:r>
      <w:r/>
    </w:p>
    <w:p>
      <w:pPr>
        <w:pStyle w:val="940"/>
        <w:ind w:firstLine="708"/>
        <w:jc w:val="both"/>
        <w:shd w:val="clear" w:color="auto" w:fill="ffffff"/>
        <w:rPr>
          <w:rFonts w:eastAsia="Times New Roman"/>
          <w:color w:val="000000"/>
        </w:rPr>
      </w:pPr>
      <w:r>
        <w:rPr>
          <w:rFonts w:eastAsia="Times New Roman"/>
          <w:color w:val="000000"/>
        </w:rPr>
        <w:t xml:space="preserve">Для сохранения устойчивой положительной динамики результатов итоговой</w:t>
      </w:r>
      <w:r/>
    </w:p>
    <w:p>
      <w:pPr>
        <w:pStyle w:val="940"/>
        <w:jc w:val="both"/>
        <w:shd w:val="clear" w:color="auto" w:fill="ffffff"/>
        <w:rPr>
          <w:rFonts w:eastAsia="Times New Roman"/>
          <w:color w:val="000000"/>
        </w:rPr>
      </w:pPr>
      <w:r>
        <w:rPr>
          <w:rFonts w:eastAsia="Times New Roman"/>
          <w:color w:val="000000"/>
        </w:rPr>
        <w:t xml:space="preserve">аттестации обучающихся по русскому языку также необходимо:</w:t>
      </w:r>
      <w:r/>
    </w:p>
    <w:p>
      <w:pPr>
        <w:pStyle w:val="940"/>
        <w:ind w:firstLine="708"/>
        <w:jc w:val="both"/>
        <w:shd w:val="clear" w:color="auto" w:fill="ffffff"/>
        <w:rPr>
          <w:rFonts w:eastAsia="Times New Roman"/>
          <w:color w:val="000000"/>
        </w:rPr>
      </w:pPr>
      <w:r>
        <w:rPr>
          <w:rFonts w:eastAsia="Times New Roman"/>
          <w:color w:val="000000"/>
        </w:rPr>
        <w:t xml:space="preserve">1) реализовать текстоцентрический принцип в преподавании русского языка как учебного предмета;</w:t>
      </w:r>
      <w:r/>
    </w:p>
    <w:p>
      <w:pPr>
        <w:pStyle w:val="940"/>
        <w:ind w:firstLine="708"/>
        <w:jc w:val="both"/>
        <w:shd w:val="clear" w:color="auto" w:fill="ffffff"/>
        <w:rPr>
          <w:rFonts w:eastAsia="Times New Roman"/>
          <w:color w:val="000000"/>
        </w:rPr>
      </w:pPr>
      <w:r>
        <w:rPr>
          <w:rFonts w:eastAsia="Times New Roman"/>
          <w:color w:val="000000"/>
        </w:rPr>
        <w:t xml:space="preserve">2) повышать уровень коммуникативной культуры школьников на основе аудирования,</w:t>
      </w:r>
      <w:r/>
    </w:p>
    <w:p>
      <w:pPr>
        <w:pStyle w:val="940"/>
        <w:jc w:val="both"/>
        <w:shd w:val="clear" w:color="auto" w:fill="ffffff"/>
        <w:rPr>
          <w:rFonts w:eastAsia="Times New Roman"/>
          <w:color w:val="000000"/>
        </w:rPr>
      </w:pPr>
      <w:r>
        <w:rPr>
          <w:rFonts w:eastAsia="Times New Roman"/>
          <w:color w:val="000000"/>
        </w:rPr>
        <w:t xml:space="preserve">чтения и письма как видов речевой деятельности;</w:t>
      </w:r>
      <w:r/>
    </w:p>
    <w:p>
      <w:pPr>
        <w:pStyle w:val="940"/>
        <w:ind w:firstLine="708"/>
        <w:jc w:val="both"/>
        <w:shd w:val="clear" w:color="auto" w:fill="ffffff"/>
        <w:rPr>
          <w:rFonts w:eastAsia="Times New Roman"/>
          <w:color w:val="000000"/>
        </w:rPr>
      </w:pPr>
      <w:r>
        <w:rPr>
          <w:rFonts w:eastAsia="Times New Roman"/>
          <w:color w:val="000000"/>
        </w:rPr>
        <w:t xml:space="preserve">3) как можно чаще практиковать написание сжатого изложения на основе аудиозаписи для отработки соответствующих навыков;</w:t>
      </w:r>
      <w:r/>
    </w:p>
    <w:p>
      <w:pPr>
        <w:pStyle w:val="940"/>
        <w:ind w:firstLine="708"/>
        <w:jc w:val="both"/>
        <w:shd w:val="clear" w:color="auto" w:fill="ffffff"/>
        <w:rPr>
          <w:rFonts w:eastAsia="Times New Roman"/>
          <w:color w:val="000000"/>
        </w:rPr>
      </w:pPr>
      <w:r>
        <w:rPr>
          <w:rFonts w:eastAsia="Times New Roman"/>
          <w:color w:val="000000"/>
        </w:rPr>
        <w:t xml:space="preserve">4) углублять и расширять знания, обучающихся по ранее изученным темам и разделам школьного курса русского языка, проверяемым с помощью заданий тестовых частей ГИА;</w:t>
      </w:r>
      <w:r/>
    </w:p>
    <w:p>
      <w:pPr>
        <w:pStyle w:val="940"/>
        <w:ind w:firstLine="708"/>
        <w:jc w:val="both"/>
        <w:shd w:val="clear" w:color="auto" w:fill="ffffff"/>
        <w:rPr>
          <w:rFonts w:eastAsia="Times New Roman"/>
          <w:color w:val="000000"/>
        </w:rPr>
      </w:pPr>
      <w:r>
        <w:rPr>
          <w:rFonts w:eastAsia="Times New Roman"/>
          <w:color w:val="000000"/>
        </w:rPr>
        <w:t xml:space="preserve">5) систематически отрабатывать комплекс умений, необходимых для написания сочинения-рассуждения по видам, включённым в демоверсии текущего года;</w:t>
      </w:r>
      <w:r/>
    </w:p>
    <w:p>
      <w:pPr>
        <w:pStyle w:val="940"/>
        <w:ind w:firstLine="708"/>
        <w:jc w:val="both"/>
        <w:shd w:val="clear" w:color="auto" w:fill="ffffff"/>
        <w:rPr>
          <w:rFonts w:eastAsia="Times New Roman"/>
          <w:color w:val="000000"/>
        </w:rPr>
      </w:pPr>
      <w:r>
        <w:rPr>
          <w:rFonts w:eastAsia="Times New Roman"/>
          <w:color w:val="000000"/>
        </w:rPr>
        <w:t xml:space="preserve">6) постоянно включать специальные упражнения и задания, направленные на повышение уровня всех видов практической орфографической, пунктуационной, грамматической, речевой) грамотности школьников;</w:t>
      </w:r>
      <w:r/>
    </w:p>
    <w:p>
      <w:pPr>
        <w:pStyle w:val="940"/>
        <w:ind w:firstLine="708"/>
        <w:jc w:val="both"/>
        <w:shd w:val="clear" w:color="auto" w:fill="ffffff"/>
        <w:rPr>
          <w:rFonts w:eastAsia="Times New Roman"/>
          <w:color w:val="000000"/>
        </w:rPr>
      </w:pPr>
      <w:r>
        <w:rPr>
          <w:rFonts w:eastAsia="Times New Roman"/>
          <w:color w:val="000000"/>
        </w:rPr>
        <w:t xml:space="preserve">7) для обучающихся, аттестующихся в форматах ГВЭ-9 и ГВЭ-11, организовать специальную подготовку, используя методические рекомендации;</w:t>
      </w:r>
      <w:r/>
    </w:p>
    <w:p>
      <w:pPr>
        <w:pStyle w:val="940"/>
        <w:ind w:firstLine="708"/>
        <w:jc w:val="both"/>
        <w:shd w:val="clear" w:color="auto" w:fill="ffffff"/>
        <w:rPr>
          <w:rFonts w:eastAsia="Times New Roman"/>
          <w:color w:val="000000"/>
        </w:rPr>
      </w:pPr>
      <w:r>
        <w:rPr>
          <w:rFonts w:eastAsia="Times New Roman"/>
          <w:color w:val="000000"/>
        </w:rPr>
        <w:t xml:space="preserve">8) ориентировать каждого обучающегося выпускного класса требования, предъявляемые к уровню подготовки выпускника основной и старшей школы и отражённые в демоверсиях ОГЭ и ЕГЭ текущего года (с учётом изменений);</w:t>
      </w:r>
      <w:r/>
    </w:p>
    <w:p>
      <w:pPr>
        <w:pStyle w:val="940"/>
        <w:ind w:firstLine="708"/>
        <w:jc w:val="both"/>
        <w:shd w:val="clear" w:color="auto" w:fill="ffffff"/>
      </w:pPr>
      <w:r>
        <w:rPr>
          <w:rFonts w:eastAsia="Times New Roman"/>
          <w:color w:val="000000"/>
        </w:rPr>
        <w:t xml:space="preserve">9) в практике преподавания рекомендуется использовать материалы и пособия, информация о которых содержится на официальных сайтах: </w:t>
      </w:r>
      <w:hyperlink r:id="rId12" w:tooltip="http://www.fipi.ru/" w:history="1">
        <w:r>
          <w:rPr>
            <w:rStyle w:val="1382"/>
            <w:rFonts w:eastAsia="Times New Roman"/>
          </w:rPr>
          <w:t xml:space="preserve">http://www.fipi.ru</w:t>
        </w:r>
      </w:hyperlink>
      <w:r>
        <w:rPr>
          <w:rFonts w:eastAsia="Times New Roman"/>
          <w:color w:val="000000"/>
        </w:rPr>
        <w:t xml:space="preserve">; </w:t>
      </w:r>
      <w:hyperlink r:id="rId13" w:tooltip="http://www.examen.ru/" w:history="1">
        <w:r>
          <w:rPr>
            <w:rStyle w:val="1382"/>
            <w:rFonts w:eastAsia="Times New Roman"/>
          </w:rPr>
          <w:t xml:space="preserve">http://www.examen.ru</w:t>
        </w:r>
      </w:hyperlink>
      <w:r>
        <w:rPr>
          <w:rFonts w:eastAsia="Times New Roman"/>
          <w:color w:val="000000"/>
        </w:rPr>
        <w:t xml:space="preserve">,  для качественной подготовки к ГИА по русскому языку.</w:t>
      </w:r>
      <w:r/>
    </w:p>
    <w:p>
      <w:pPr>
        <w:pStyle w:val="940"/>
        <w:ind w:firstLine="708"/>
        <w:jc w:val="both"/>
        <w:shd w:val="clear" w:color="auto" w:fill="ffffff"/>
        <w:rPr>
          <w:rFonts w:eastAsia="Times New Roman"/>
          <w:color w:val="000000"/>
        </w:rPr>
      </w:pPr>
      <w:r>
        <w:rPr>
          <w:rFonts w:eastAsia="Times New Roman"/>
          <w:color w:val="000000"/>
        </w:rPr>
        <w:t xml:space="preserve">Темы для обсуждения на методических объединениях учителей-предметников для совершенствования выполнения заданий ЕГЭ по русскому языку в 2022 году:</w:t>
      </w:r>
      <w:r/>
    </w:p>
    <w:p>
      <w:pPr>
        <w:pStyle w:val="940"/>
        <w:ind w:firstLine="708"/>
        <w:jc w:val="both"/>
        <w:shd w:val="clear" w:color="auto" w:fill="ffffff"/>
        <w:rPr>
          <w:rFonts w:eastAsia="Times New Roman"/>
          <w:color w:val="000000"/>
        </w:rPr>
      </w:pPr>
      <w:r>
        <w:rPr>
          <w:rFonts w:eastAsia="Times New Roman"/>
          <w:color w:val="000000"/>
        </w:rPr>
        <w:t xml:space="preserve">Написание комментария к проблеме текста как главная сложность в построении творческой работы. Методика отработки навыков постановки знаков препинания в сложных предложениях с разными видами связи (задания 19-20).</w:t>
      </w:r>
      <w:r/>
    </w:p>
    <w:p>
      <w:pPr>
        <w:pStyle w:val="940"/>
        <w:ind w:firstLine="708"/>
        <w:jc w:val="both"/>
        <w:shd w:val="clear" w:color="auto" w:fill="ffffff"/>
        <w:rPr>
          <w:rFonts w:eastAsia="Times New Roman"/>
          <w:color w:val="000000"/>
        </w:rPr>
      </w:pPr>
      <w:r>
        <w:rPr>
          <w:rFonts w:eastAsia="Times New Roman"/>
          <w:color w:val="000000"/>
        </w:rPr>
        <w:t xml:space="preserve">Соблюдение грамматических норм.</w:t>
      </w:r>
      <w:r/>
    </w:p>
    <w:p>
      <w:pPr>
        <w:pStyle w:val="940"/>
        <w:ind w:firstLine="708"/>
        <w:shd w:val="clear" w:color="auto" w:fill="ffffff"/>
        <w:rPr>
          <w:rFonts w:eastAsia="Times New Roman"/>
          <w:color w:val="000000"/>
        </w:rPr>
      </w:pPr>
      <w:r>
        <w:rPr>
          <w:rFonts w:eastAsia="Times New Roman"/>
          <w:color w:val="000000"/>
        </w:rPr>
        <w:t xml:space="preserve">Методика подготовки обучающихся к выполнению заданий высокой степени сложности на ЕГЭ по русскому языку. </w:t>
      </w:r>
      <w:r/>
    </w:p>
    <w:p>
      <w:pPr>
        <w:pStyle w:val="940"/>
        <w:ind w:firstLine="708"/>
        <w:jc w:val="both"/>
        <w:shd w:val="clear" w:color="auto" w:fill="ffffff"/>
      </w:pPr>
      <w:r>
        <w:rPr>
          <w:rFonts w:eastAsia="Times New Roman"/>
          <w:color w:val="000000"/>
        </w:rPr>
        <w:t xml:space="preserve">Наряду с учебниками и учебными пособиями при изучении ру</w:t>
      </w:r>
      <w:r>
        <w:rPr>
          <w:rFonts w:eastAsia="Times New Roman"/>
          <w:color w:val="000000"/>
        </w:rPr>
        <w:t xml:space="preserve">сского языка, необходимо использовать интерактивные программы, направленные на развитие навыков устной и письменной речи, пополнения словарного запаса, перефразирования, редактирования и саморедактирования, и т. п. В целях совершенствования КИМ, необходимо</w:t>
      </w:r>
      <w:r>
        <w:rPr>
          <w:rFonts w:eastAsia="Times New Roman"/>
          <w:color w:val="000000"/>
        </w:rPr>
        <w:t xml:space="preserve"> уточнить формулировку двух критериев, по которым оценивается работа учащегося над частью с развернутым ответом. Во-первых, речь идет о К3. В нем позиция автора и позиция рассказчика отождествляются. В частности, в описании этого критерия говорится, что од</w:t>
      </w:r>
      <w:r>
        <w:rPr>
          <w:rFonts w:eastAsia="Times New Roman"/>
          <w:color w:val="000000"/>
        </w:rPr>
        <w:t xml:space="preserve">ин балл ставится, если «экзаменуемый верно сформулировал позицию автора (рассказчика) исходного текста». Однако бывают хотя и нечасто случаи, когда позиция автора и рассказчика не совпадают. Например, именно такое несовпадение имеет место в тексте         </w:t>
      </w:r>
      <w:r>
        <w:rPr>
          <w:rFonts w:eastAsia="Times New Roman"/>
          <w:color w:val="000000"/>
        </w:rPr>
        <w:t xml:space="preserve">           Е.А. Лаптева, неоднократно предлагавшемся на экзамене («(1) Это случилось 28мая. (2) После уроков мы с Санькой Большаковым пошли на речку. (З) Там, возле громадного валуна, похожего на закаменевшую мумию гигантского ящера, был совершён обряд…»).</w:t>
      </w:r>
      <w:r/>
    </w:p>
    <w:p>
      <w:pPr>
        <w:pStyle w:val="940"/>
        <w:ind w:firstLine="708"/>
        <w:jc w:val="both"/>
        <w:shd w:val="clear" w:color="auto" w:fill="ffffff"/>
        <w:rPr>
          <w:rFonts w:eastAsia="Times New Roman"/>
          <w:color w:val="000000"/>
        </w:rPr>
      </w:pPr>
      <w:r>
        <w:rPr>
          <w:rFonts w:eastAsia="Times New Roman"/>
          <w:color w:val="000000"/>
        </w:rPr>
        <w:t xml:space="preserve">Поэтому в критерии следовало бы четко указать, что определяться должно именно позиция автора, а не рассказчика.</w:t>
      </w:r>
      <w:r/>
    </w:p>
    <w:p>
      <w:pPr>
        <w:pStyle w:val="940"/>
        <w:ind w:firstLine="708"/>
        <w:jc w:val="both"/>
        <w:shd w:val="clear" w:color="auto" w:fill="ffffff"/>
        <w:rPr>
          <w:rFonts w:eastAsia="Times New Roman"/>
          <w:color w:val="000000"/>
        </w:rPr>
      </w:pPr>
      <w:r>
        <w:rPr>
          <w:rFonts w:eastAsia="Times New Roman"/>
          <w:color w:val="000000"/>
        </w:rPr>
        <w:t xml:space="preserve">Во-вторых, уточнить следовало бы критерий 9. Сейчас его формулировка выглядит исключительно абстрактно – «Соблюдение языковых норм», в то время как нацелен этот критерий на проверку вполне конкретных норм - </w:t>
      </w:r>
      <w:r>
        <w:rPr>
          <w:rFonts w:eastAsia="Times New Roman"/>
          <w:color w:val="000000"/>
        </w:rPr>
        <w:t xml:space="preserve">грамматических. Формулировка других «нормативных» критериев, по которым оценивается работа обучающегося над частью 2, имеет более конкретный характер: К7 – соблюдение орфографических норм; К8 – соблюдение пунктуационных норм, К10 – соблюдение речевых норм.</w:t>
      </w:r>
      <w:r/>
    </w:p>
    <w:p>
      <w:pPr>
        <w:pStyle w:val="940"/>
        <w:ind w:firstLine="708"/>
        <w:jc w:val="both"/>
        <w:shd w:val="clear" w:color="auto" w:fill="ffffff"/>
      </w:pPr>
      <w:r>
        <w:t xml:space="preserve">Наряду со всем вышеуказанным   рекомендовать ИРО организовывать курсы или семинары для учителей-предметников, на которых рассматривались бы данные проблемы.</w:t>
      </w:r>
      <w:r/>
    </w:p>
    <w:p>
      <w:pPr>
        <w:pStyle w:val="940"/>
        <w:jc w:val="both"/>
        <w:shd w:val="clear" w:color="auto" w:fill="ffffff"/>
        <w:rPr>
          <w:b/>
          <w:sz w:val="28"/>
          <w:szCs w:val="28"/>
        </w:rPr>
      </w:pPr>
      <w:r>
        <w:rPr>
          <w:b/>
          <w:sz w:val="28"/>
          <w:szCs w:val="28"/>
        </w:rPr>
      </w:r>
      <w:r/>
    </w:p>
    <w:p>
      <w:pPr>
        <w:pStyle w:val="940"/>
        <w:jc w:val="both"/>
        <w:shd w:val="clear" w:color="auto" w:fill="ffffff"/>
        <w:rPr>
          <w:b/>
          <w:sz w:val="28"/>
          <w:szCs w:val="28"/>
        </w:rPr>
      </w:pPr>
      <w:r>
        <w:rPr>
          <w:b/>
          <w:sz w:val="28"/>
          <w:szCs w:val="28"/>
        </w:rPr>
        <w:t xml:space="preserve">4.3. Адрес размещения на информационных интернет-ресурсах ОИВ (подведомственных учреждений) в неизменном </w:t>
      </w:r>
      <w:r>
        <w:rPr>
          <w:b/>
          <w:sz w:val="28"/>
          <w:szCs w:val="28"/>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shd w:val="clear" w:color="auto" w:fill="ffffff"/>
        <w:rPr>
          <w:b/>
          <w:sz w:val="28"/>
          <w:szCs w:val="28"/>
        </w:rPr>
      </w:pPr>
      <w:r>
        <w:rPr>
          <w:b/>
          <w:sz w:val="28"/>
          <w:szCs w:val="28"/>
        </w:rPr>
      </w:r>
      <w:r/>
    </w:p>
    <w:p>
      <w:pPr>
        <w:pStyle w:val="940"/>
        <w:jc w:val="both"/>
        <w:shd w:val="clear" w:color="auto" w:fill="ffffff"/>
      </w:pPr>
      <w:r/>
      <w:hyperlink r:id="rId14" w:tooltip="http://minobr.astrobl.ru/osnovnaya-stranica/informacionnye-materialy" w:history="1">
        <w:r>
          <w:rPr>
            <w:rStyle w:val="1382"/>
            <w:b/>
            <w:sz w:val="28"/>
            <w:szCs w:val="28"/>
          </w:rPr>
          <w:t xml:space="preserve">http://minobr.astrobl.ru/osnovnaya-stranica/informacionnye-materialy</w:t>
        </w:r>
      </w:hyperlink>
      <w:r>
        <w:rPr>
          <w:b/>
          <w:sz w:val="28"/>
          <w:szCs w:val="28"/>
        </w:rPr>
        <w:t xml:space="preserve">    </w:t>
      </w:r>
      <w:r/>
    </w:p>
    <w:p>
      <w:pPr>
        <w:pStyle w:val="943"/>
        <w:numPr>
          <w:ilvl w:val="0"/>
          <w:numId w:val="0"/>
        </w:numPr>
        <w:ind w:left="0" w:firstLine="0"/>
        <w:rPr>
          <w:rFonts w:ascii="Times New Roman" w:hAnsi="Times New Roman" w:cs="Times New Roman" w:eastAsia="Times New Roman"/>
          <w:b w:val="0"/>
          <w:color w:val="000000"/>
          <w:szCs w:val="28"/>
        </w:rPr>
      </w:pPr>
      <w:r>
        <w:rPr>
          <w:rFonts w:ascii="Times New Roman" w:hAnsi="Times New Roman" w:cs="Times New Roman" w:eastAsia="Times New Roman"/>
          <w:b w:val="0"/>
          <w:color w:val="000000"/>
          <w:szCs w:val="28"/>
        </w:rPr>
      </w:r>
      <w:r/>
    </w:p>
    <w:p>
      <w:pPr>
        <w:pStyle w:val="940"/>
        <w:rPr>
          <w:rFonts w:ascii="Times New Roman" w:hAnsi="Times New Roman" w:cs="Times New Roman" w:eastAsia="Times New Roman"/>
          <w:b/>
          <w:color w:val="000000"/>
          <w:szCs w:val="28"/>
          <w:lang w:val="en-US"/>
        </w:rPr>
      </w:pPr>
      <w:r>
        <w:rPr>
          <w:rFonts w:cs="Times New Roman" w:eastAsia="Times New Roman"/>
          <w:b/>
          <w:color w:val="000000"/>
          <w:szCs w:val="28"/>
          <w:lang w:val="en-US"/>
        </w:rPr>
      </w:r>
      <w:r/>
    </w:p>
    <w:p>
      <w:pPr>
        <w:pStyle w:val="940"/>
        <w:rPr>
          <w:szCs w:val="28"/>
          <w:lang w:val="en-US"/>
        </w:rPr>
      </w:pPr>
      <w:r>
        <w:rPr>
          <w:szCs w:val="28"/>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1"/>
        <w:rPr>
          <w:rFonts w:ascii="Times New Roman" w:hAnsi="Times New Roman" w:cs="Times New Roman"/>
        </w:rPr>
      </w:pPr>
      <w:r>
        <w:rPr>
          <w:rFonts w:ascii="Times New Roman" w:hAnsi="Times New Roman" w:cs="Times New Roman"/>
        </w:rPr>
        <w:t xml:space="preserve">Раздел 5. Предложения в ДОРОЖНУЮ КАРТУ по развитию региональной системы образования</w:t>
      </w:r>
      <w:r/>
    </w:p>
    <w:p>
      <w:pPr>
        <w:pStyle w:val="943"/>
        <w:numPr>
          <w:ilvl w:val="0"/>
          <w:numId w:val="0"/>
        </w:numPr>
        <w:ind w:left="0" w:firstLine="0"/>
        <w:jc w:val="both"/>
      </w:pPr>
      <w:r>
        <w:rPr>
          <w:rFonts w:ascii="Times New Roman" w:hAnsi="Times New Roman" w:cs="Times New Roman"/>
          <w:lang w:val="ru-RU"/>
        </w:rPr>
        <w:t xml:space="preserve">5.1. </w:t>
      </w:r>
      <w:r>
        <w:rPr>
          <w:rFonts w:ascii="Times New Roman" w:hAnsi="Times New Roman" w:cs="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r/>
    </w:p>
    <w:p>
      <w:pPr>
        <w:pStyle w:val="1409"/>
        <w:keepNext/>
        <w:rPr>
          <w:lang w:val="en-US"/>
        </w:rPr>
      </w:pPr>
      <w:r>
        <w:rPr>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непре</w:t>
            </w:r>
            <w:r>
              <w:t xml:space="preserve">рывного повышения профессионального мастерства ГАОУ АО ДПО «Институт развития образования» (далее –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участием председателя</w:t>
            </w:r>
            <w:r>
              <w:t xml:space="preserve"> предметной комиссии по русскому языку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(русский язык)</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русского языка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ЕГЭ – 11 в </w:t>
            </w:r>
            <w:r>
              <w:rPr>
                <w:lang w:eastAsia="en-US"/>
              </w:rPr>
              <w:t xml:space="preserve">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русскому языку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русскому языку .</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русскому языку.</w:t>
            </w:r>
            <w:r/>
          </w:p>
          <w:p>
            <w:pPr>
              <w:pStyle w:val="940"/>
            </w:pPr>
            <w:r>
              <w:t xml:space="preserve">Разработаны рекомендации по изменению программы повышения квалификации учителей русского языка</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w:t>
            </w:r>
            <w:r>
              <w:t xml:space="preserve">я вебинаров с участием экспертов и председателя предметной комиссии по русскому языку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"Курс русского языка в 10–11 классах: реализация требований ФГОС СОО и подготовка учащихся к итоговой аттестации средствами УМК С.И. Львовой и В.В. Львова"</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15 человек*2 часа, семинар, учителя русского языка и литературы</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методику подготовки обучающихся к работе с текстом: комплексный анализ текста, изучение лингвистических явлений на текстовом материале, формирование навыков разграничения функционально-смысловых типов речи,</w:t>
            </w:r>
            <w:r>
              <w:rPr>
                <w:sz w:val="22"/>
                <w:szCs w:val="22"/>
                <w:lang w:eastAsia="en-US"/>
              </w:rPr>
              <w:t xml:space="preserve"> </w:t>
            </w:r>
            <w:r>
              <w:rPr>
                <w:lang w:eastAsia="en-US"/>
              </w:rPr>
              <w:t xml:space="preserve">а также </w:t>
            </w:r>
            <w:r>
              <w:t xml:space="preserve">использование в процессе изучения языка формирующего оценивания.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3.3</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(русский язык)</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pPr>
            <w:r>
              <w:rPr>
                <w:lang w:eastAsia="en-US"/>
              </w:rPr>
              <w:t xml:space="preserve">67 человек</w:t>
            </w:r>
            <w:r>
              <w:rPr>
                <w:sz w:val="22"/>
                <w:szCs w:val="22"/>
                <w:lang w:eastAsia="en-US"/>
              </w:rPr>
              <w:t xml:space="preserve"> </w:t>
            </w:r>
            <w:r>
              <w:rPr>
                <w:lang w:eastAsia="en-US"/>
              </w:rPr>
              <w:t xml:space="preserve">семинар, члены предметной комиссии, учителя русского языка</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rPr>
                <w:lang w:eastAsia="en-US"/>
              </w:rPr>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образо</w:t>
            </w:r>
            <w:r>
              <w:rPr>
                <w:lang w:eastAsia="en-US"/>
              </w:rPr>
              <w:t xml:space="preserve">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русскому языку ;</w:t>
            </w:r>
            <w:r/>
          </w:p>
          <w:p>
            <w:pPr>
              <w:pStyle w:val="940"/>
              <w:jc w:val="both"/>
              <w:spacing w:before="0" w:after="160" w:line="254" w:lineRule="auto"/>
              <w:rPr>
                <w:lang w:eastAsia="en-US"/>
              </w:rPr>
            </w:pPr>
            <w:r>
              <w:rPr>
                <w:lang w:eastAsia="en-US"/>
              </w:rPr>
              <w:t xml:space="preserve">•</w:t>
            </w:r>
            <w:r>
              <w:rPr>
                <w:lang w:eastAsia="en-US"/>
              </w:rPr>
              <w:tab/>
              <w:t xml:space="preserve">формированию у них представления о структуре и содержании КИМ по русскому языку;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русского языка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включа</w:t>
            </w:r>
            <w:r>
              <w:t xml:space="preserve">ют вопросы обновления технологий и содержания обучения русскому языку и литературе/ истории/ обществознанию/ географии/ математике/ русскому языку  и астрономии/ химии и др. в соответствии с концепциями преподавания учебных предметов (предметных областей).</w:t>
            </w:r>
            <w:r/>
          </w:p>
        </w:tc>
      </w:tr>
    </w:tbl>
    <w:p>
      <w:pPr>
        <w:pStyle w:val="943"/>
        <w:numPr>
          <w:ilvl w:val="0"/>
          <w:numId w:val="0"/>
        </w:numPr>
        <w:ind w:left="0" w:firstLine="0"/>
      </w:pPr>
      <w:r>
        <w:rPr>
          <w:rFonts w:ascii="Times New Roman" w:hAnsi="Times New Roman" w:cs="Times New Roman"/>
          <w:lang w:val="ru-RU"/>
        </w:rPr>
        <w:t xml:space="preserve">5.2. </w:t>
      </w:r>
      <w:r>
        <w:rPr>
          <w:rFonts w:ascii="Times New Roman" w:hAnsi="Times New Roman" w:cs="Times New Roman"/>
        </w:rPr>
        <w:t xml:space="preserve">Предложения в дорожную карту на 2021-2022 учебный год</w:t>
      </w:r>
      <w:r/>
    </w:p>
    <w:p>
      <w:pPr>
        <w:pStyle w:val="943"/>
        <w:numPr>
          <w:ilvl w:val="0"/>
          <w:numId w:val="0"/>
        </w:numPr>
        <w:ind w:left="0" w:firstLine="708"/>
        <w:jc w:val="both"/>
      </w:pPr>
      <w:r>
        <w:rPr>
          <w:rFonts w:ascii="Times New Roman" w:hAnsi="Times New Roman" w:cs="Times New Roman"/>
          <w:lang w:val="ru-RU"/>
        </w:rPr>
        <w:t xml:space="preserve">5.2.1.</w:t>
      </w:r>
      <w:r>
        <w:rPr>
          <w:rFonts w:ascii="Times New Roman" w:hAnsi="Times New Roman" w:cs="Times New Roman"/>
          <w:b w:val="0"/>
          <w:lang w:val="ru-RU"/>
        </w:rPr>
        <w:t xml:space="preserve"> </w:t>
      </w:r>
      <w:r>
        <w:rPr>
          <w:rFonts w:ascii="Times New Roman" w:hAnsi="Times New Roman" w:cs="Times New Roman"/>
          <w:b w:val="0"/>
        </w:rPr>
        <w:t xml:space="preserve">Повышение квалификации учителей в 2021-2022 уч.</w:t>
      </w:r>
      <w:r>
        <w:rPr>
          <w:rFonts w:ascii="Times New Roman" w:hAnsi="Times New Roman" w:cs="Times New Roman"/>
          <w:b w:val="0"/>
          <w:lang w:val="ru-RU"/>
        </w:rPr>
        <w:t xml:space="preserve"> </w:t>
      </w:r>
      <w:r>
        <w:rPr>
          <w:rFonts w:ascii="Times New Roman" w:hAnsi="Times New Roman" w:cs="Times New Roman"/>
          <w:b w:val="0"/>
        </w:rPr>
        <w:t xml:space="preserve">г., в том числе учителей ОО с аномально низкими результатами ЕГЭ 2021 г.</w:t>
      </w:r>
      <w:r/>
    </w:p>
    <w:p>
      <w:pPr>
        <w:pStyle w:val="1409"/>
        <w:keepNext/>
        <w:rPr>
          <w:lang w:val="en-US"/>
        </w:rPr>
      </w:pPr>
      <w:r>
        <w:rPr>
          <w:lang w:val="en-US"/>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русского языка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русского языка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3"/>
        <w:numPr>
          <w:ilvl w:val="0"/>
          <w:numId w:val="0"/>
        </w:numPr>
        <w:ind w:left="0" w:firstLine="708"/>
        <w:jc w:val="both"/>
      </w:pPr>
      <w:r>
        <w:rPr>
          <w:rFonts w:ascii="Times New Roman" w:hAnsi="Times New Roman" w:cs="Times New Roman"/>
          <w:lang w:val="ru-RU"/>
        </w:rPr>
        <w:t xml:space="preserve">5.2.2.</w:t>
      </w:r>
      <w:r>
        <w:rPr>
          <w:rFonts w:ascii="Times New Roman" w:hAnsi="Times New Roman" w:cs="Times New Roman"/>
          <w:b w:val="0"/>
          <w:lang w:val="ru-RU"/>
        </w:rPr>
        <w:t xml:space="preserve"> </w:t>
      </w:r>
      <w:r>
        <w:rPr>
          <w:rFonts w:ascii="Times New Roman" w:hAnsi="Times New Roman" w:cs="Times New Roman"/>
          <w:b w:val="0"/>
        </w:rPr>
        <w:t xml:space="preserve">Планируемые меры методической поддержки изучения учебных предметов в 2021-2022 уч.</w:t>
      </w:r>
      <w:r>
        <w:rPr>
          <w:rFonts w:ascii="Times New Roman" w:hAnsi="Times New Roman" w:cs="Times New Roman"/>
          <w:b w:val="0"/>
          <w:lang w:val="ru-RU"/>
        </w:rPr>
        <w:t xml:space="preserve"> </w:t>
      </w:r>
      <w:r>
        <w:rPr>
          <w:rFonts w:ascii="Times New Roman" w:hAnsi="Times New Roman" w:cs="Times New Roman"/>
          <w:b w:val="0"/>
        </w:rPr>
        <w:t xml:space="preserve">г. на региональном уровне, в том числе в ОО с аномально низкими результатами ЕГЭ 2021 г.</w:t>
      </w:r>
      <w:r/>
    </w:p>
    <w:p>
      <w:pPr>
        <w:pStyle w:val="1409"/>
        <w:keepNext/>
      </w:pPr>
      <w: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3"/>
        <w:gridCol w:w="799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открытых заседаний предметных секций регионального учебно</w:t>
            </w:r>
            <w:r>
              <w:t xml:space="preserve">-методического объединения с участием председателя предметной комиссии по русскому языку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rHeight w:val="458"/>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Обновление содержания обучения русскому языку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 март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«Новая модель ЕГЭ по русскому языку: новаторство и традиции»</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Организация семинаров</w:t>
            </w:r>
            <w:r>
              <w:t xml:space="preserve">/вебинаров с участием экспертов и председателей предметной комиссии по русскому языку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bl>
    <w:p>
      <w:pPr>
        <w:pStyle w:val="943"/>
        <w:numPr>
          <w:ilvl w:val="0"/>
          <w:numId w:val="0"/>
        </w:numPr>
        <w:ind w:left="0" w:firstLine="708"/>
      </w:pPr>
      <w:r>
        <w:rPr>
          <w:rFonts w:ascii="Times New Roman" w:hAnsi="Times New Roman" w:cs="Times New Roman"/>
          <w:lang w:val="ru-RU"/>
        </w:rPr>
        <w:t xml:space="preserve">5.2.3.</w:t>
      </w:r>
      <w:r>
        <w:rPr>
          <w:rFonts w:ascii="Times New Roman" w:hAnsi="Times New Roman" w:cs="Times New Roman"/>
          <w:b w:val="0"/>
          <w:lang w:val="ru-RU"/>
        </w:rPr>
        <w:t xml:space="preserve"> </w:t>
      </w:r>
      <w:r>
        <w:rPr>
          <w:rFonts w:ascii="Times New Roman" w:hAnsi="Times New Roman" w:cs="Times New Roman"/>
          <w:b w:val="0"/>
        </w:rPr>
        <w:t xml:space="preserve">Планируемые корректирующие диагностические работы с учетом результатов ЕГЭ 2021 г.</w:t>
      </w:r>
      <w:r/>
    </w:p>
    <w:p>
      <w:pPr>
        <w:pStyle w:val="940"/>
        <w:ind w:firstLine="708"/>
        <w:jc w:val="both"/>
        <w:keepLines/>
        <w:keepNext/>
      </w:pPr>
      <w:r>
        <w:rPr>
          <w:rFonts w:eastAsia="SimSun;宋体"/>
          <w:bCs/>
        </w:rPr>
        <w:t xml:space="preserve">Не планируются.</w:t>
      </w:r>
      <w:r/>
    </w:p>
    <w:p>
      <w:pPr>
        <w:pStyle w:val="943"/>
        <w:numPr>
          <w:ilvl w:val="0"/>
          <w:numId w:val="0"/>
        </w:numPr>
        <w:ind w:left="0" w:firstLine="708"/>
      </w:pPr>
      <w:r>
        <w:rPr>
          <w:rFonts w:ascii="Times New Roman" w:hAnsi="Times New Roman" w:cs="Times New Roman"/>
          <w:lang w:val="ru-RU"/>
        </w:rPr>
        <w:t xml:space="preserve">5.2.4.</w:t>
      </w:r>
      <w:r>
        <w:rPr>
          <w:rFonts w:ascii="Times New Roman" w:hAnsi="Times New Roman" w:cs="Times New Roman"/>
          <w:b w:val="0"/>
          <w:lang w:val="ru-RU"/>
        </w:rPr>
        <w:t xml:space="preserve"> </w:t>
      </w:r>
      <w:r>
        <w:rPr>
          <w:rFonts w:ascii="Times New Roman" w:hAnsi="Times New Roman" w:cs="Times New Roman"/>
          <w:b w:val="0"/>
        </w:rPr>
        <w:t xml:space="preserve">Трансляция эффективных педагогических практик ОО с наиболее высокими результатами ЕГЭ 2021 г.</w:t>
      </w:r>
      <w:r/>
    </w:p>
    <w:p>
      <w:pPr>
        <w:pStyle w:val="1409"/>
        <w:keepNext/>
      </w:pPr>
      <w: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13"/>
        <w:gridCol w:w="803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pPr>
            <w:r>
              <w:rPr>
                <w:sz w:val="23"/>
                <w:szCs w:val="23"/>
              </w:rPr>
              <w:t xml:space="preserve">Проведение вебинаров и видеоконференций с участием председателя предметной комиссий ЕГЭ по русскому языку,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Выступления учителей русского языка,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русского языка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w:t>
            </w:r>
            <w:r/>
          </w:p>
          <w:p>
            <w:pPr>
              <w:pStyle w:val="940"/>
              <w:contextualSpacing/>
              <w:spacing w:before="0" w:after="0"/>
              <w:rPr>
                <w:sz w:val="23"/>
                <w:szCs w:val="23"/>
              </w:rPr>
            </w:pPr>
            <w:r>
              <w:rPr>
                <w:sz w:val="23"/>
                <w:szCs w:val="23"/>
              </w:rPr>
              <w:t xml:space="preserve">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«Новый формат итогового сочинения: делимся опытом»</w:t>
            </w:r>
            <w:r/>
          </w:p>
        </w:tc>
      </w:tr>
    </w:tbl>
    <w:p>
      <w:pPr>
        <w:pStyle w:val="943"/>
        <w:numPr>
          <w:ilvl w:val="0"/>
          <w:numId w:val="0"/>
        </w:numPr>
        <w:ind w:left="0" w:firstLine="708"/>
      </w:pPr>
      <w:r>
        <w:rPr>
          <w:rFonts w:ascii="Times New Roman" w:hAnsi="Times New Roman" w:cs="Times New Roman"/>
          <w:lang w:val="ru-RU"/>
        </w:rPr>
        <w:t xml:space="preserve">5.2.5.</w:t>
      </w:r>
      <w:r>
        <w:rPr>
          <w:rFonts w:ascii="Times New Roman" w:hAnsi="Times New Roman" w:cs="Times New Roman"/>
          <w:b w:val="0"/>
          <w:lang w:val="ru-RU"/>
        </w:rPr>
        <w:t xml:space="preserve"> </w:t>
      </w:r>
      <w:r>
        <w:rPr>
          <w:rFonts w:ascii="Times New Roman" w:hAnsi="Times New Roman" w:cs="Times New Roman"/>
          <w:b w:val="0"/>
        </w:rPr>
        <w:t xml:space="preserve">Работа по другим направлениям</w:t>
      </w:r>
      <w:r/>
    </w:p>
    <w:p>
      <w:pPr>
        <w:pStyle w:val="940"/>
        <w:ind w:firstLine="708"/>
        <w:jc w:val="both"/>
        <w:rPr>
          <w:lang w:eastAsia="en-US"/>
        </w:rPr>
      </w:pPr>
      <w:r>
        <w:rPr>
          <w:lang w:eastAsia="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 </w:t>
      </w:r>
      <w:r>
        <w:rPr>
          <w:lang w:eastAsia="en-US"/>
        </w:rPr>
        <w:t xml:space="preserve">№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p>
    <w:p>
      <w:pPr>
        <w:pStyle w:val="941"/>
        <w:rPr>
          <w:rFonts w:ascii="Times New Roman" w:hAnsi="Times New Roman" w:cs="Times New Roman"/>
        </w:rPr>
      </w:pPr>
      <w:r>
        <w:rPr>
          <w:rFonts w:ascii="Times New Roman" w:hAnsi="Times New Roman" w:cs="Times New Roman"/>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rPr>
          <w:sz w:val="28"/>
          <w:szCs w:val="28"/>
        </w:rPr>
      </w:pPr>
      <w:r>
        <w:rPr>
          <w:sz w:val="28"/>
          <w:szCs w:val="28"/>
        </w:rPr>
        <w:t xml:space="preserve">по предмету «Русский язык»</w:t>
      </w:r>
      <w:r/>
    </w:p>
    <w:p>
      <w:pPr>
        <w:pStyle w:val="940"/>
        <w:ind w:right="-1" w:firstLine="708"/>
        <w:jc w:val="both"/>
        <w:spacing w:line="360" w:lineRule="auto"/>
        <w:rPr>
          <w:highlight w:val="yellow"/>
        </w:rPr>
      </w:pPr>
      <w:r>
        <w:rPr>
          <w:sz w:val="28"/>
          <w:szCs w:val="28"/>
          <w:highlight w:val="yellow"/>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tbl>
      <w:tblPr>
        <w:tblW w:w="9963" w:type="dxa"/>
        <w:tblInd w:w="-299" w:type="dxa"/>
        <w:tblLayout w:type="fixed"/>
        <w:tblCellMar>
          <w:left w:w="108" w:type="dxa"/>
          <w:top w:w="0" w:type="dxa"/>
          <w:right w:w="108" w:type="dxa"/>
          <w:bottom w:w="0" w:type="dxa"/>
        </w:tblCellMar>
        <w:tblLook w:val="04A0" w:firstRow="1" w:lastRow="0" w:firstColumn="1" w:lastColumn="0" w:noHBand="0" w:noVBand="1"/>
      </w:tblPr>
      <w:tblGrid>
        <w:gridCol w:w="396"/>
        <w:gridCol w:w="3182"/>
        <w:gridCol w:w="3181"/>
        <w:gridCol w:w="3204"/>
      </w:tblGrid>
      <w:tr>
        <w:trPr>
          <w:trHeight w:val="1107"/>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181"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3181" w:type="dxa"/>
            <w:textDirection w:val="lrTb"/>
            <w:noWrap w:val="false"/>
          </w:tcPr>
          <w:p>
            <w:pPr>
              <w:pStyle w:val="940"/>
            </w:pPr>
            <w:r>
              <w:rPr>
                <w:iCs/>
              </w:rPr>
              <w:t xml:space="preserve">Рябова Ольга Викторовна, МБОУ г. Астрахани «СОШ № 8», учитель русского языка и литературы</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Cs/>
              </w:rPr>
            </w:pPr>
            <w:r>
              <w:rPr>
                <w:iCs/>
              </w:rPr>
              <w:t xml:space="preserve">Учебный предмет «Русский </w:t>
            </w:r>
            <w:r/>
          </w:p>
          <w:p>
            <w:pPr>
              <w:pStyle w:val="940"/>
              <w:jc w:val="both"/>
              <w:rPr>
                <w:iCs/>
              </w:rPr>
            </w:pPr>
            <w:r>
              <w:rPr>
                <w:iCs/>
              </w:rPr>
              <w:t xml:space="preserve">язык»</w:t>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
                <w:iCs/>
              </w:rPr>
            </w:pPr>
            <w:r>
              <w:rPr>
                <w:i/>
                <w:iCs/>
              </w:rPr>
              <w:t xml:space="preserve">Специалисты, привлекаемые к анализу результатов ГИА-9  по предмету</w:t>
            </w:r>
            <w:r/>
          </w:p>
        </w:tc>
        <w:tc>
          <w:tcPr>
            <w:tcBorders>
              <w:top w:val="single" w:color="000000" w:sz="4" w:space="0"/>
              <w:left w:val="single" w:color="000000" w:sz="4" w:space="0"/>
              <w:bottom w:val="single" w:color="000000" w:sz="4" w:space="0"/>
            </w:tcBorders>
            <w:tcW w:w="3181"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181"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81" w:type="dxa"/>
            <w:textDirection w:val="lrTb"/>
            <w:noWrap w:val="false"/>
          </w:tcPr>
          <w:p>
            <w:pPr>
              <w:pStyle w:val="940"/>
              <w:jc w:val="both"/>
              <w:rPr>
                <w:iCs/>
              </w:rPr>
            </w:pPr>
            <w:r>
              <w:rPr>
                <w:iCs/>
              </w:rPr>
              <w:t xml:space="preserve">Рычин Иван </w:t>
            </w:r>
            <w:r/>
          </w:p>
          <w:p>
            <w:pPr>
              <w:pStyle w:val="940"/>
              <w:jc w:val="both"/>
              <w:rPr>
                <w:iCs/>
              </w:rPr>
            </w:pPr>
            <w:r>
              <w:rPr>
                <w:iCs/>
              </w:rPr>
              <w:t xml:space="preserve">Константинович,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заместитель </w:t>
            </w:r>
            <w:r/>
          </w:p>
          <w:p>
            <w:pPr>
              <w:pStyle w:val="940"/>
              <w:jc w:val="both"/>
              <w:rPr>
                <w:iCs/>
              </w:rPr>
            </w:pPr>
            <w:r>
              <w:rPr>
                <w:iCs/>
              </w:rPr>
              <w:t xml:space="preserve">начальника отдела </w:t>
            </w:r>
            <w:r/>
          </w:p>
          <w:p>
            <w:pPr>
              <w:pStyle w:val="940"/>
              <w:jc w:val="both"/>
              <w:rPr>
                <w:iCs/>
              </w:rPr>
            </w:pPr>
            <w:r>
              <w:rPr>
                <w:iCs/>
              </w:rPr>
              <w:t xml:space="preserve">организации государственной </w:t>
            </w:r>
            <w:r/>
          </w:p>
          <w:p>
            <w:pPr>
              <w:pStyle w:val="940"/>
              <w:jc w:val="both"/>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81"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r>
            <w:r/>
          </w:p>
        </w:tc>
      </w:tr>
      <w:tr>
        <w:trPr>
          <w:trHeight w:val="273"/>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182"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81"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4" w:type="dxa"/>
            <w:textDirection w:val="lrTb"/>
            <w:noWrap w:val="false"/>
          </w:tcPr>
          <w:p>
            <w:pPr>
              <w:pStyle w:val="940"/>
              <w:jc w:val="both"/>
              <w:rPr>
                <w:i/>
                <w:iCs/>
              </w:rPr>
            </w:pPr>
            <w:r>
              <w:rPr>
                <w:i/>
                <w:iCs/>
              </w:rPr>
            </w:r>
            <w:r/>
          </w:p>
        </w:tc>
      </w:tr>
    </w:tbl>
    <w:p>
      <w:pPr>
        <w:pStyle w:val="940"/>
        <w:rPr>
          <w:lang w:val="en-US"/>
        </w:rPr>
      </w:pPr>
      <w:r>
        <w:rPr>
          <w:lang w:val="en-US"/>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1"/>
        <w:rPr>
          <w:rFonts w:ascii="Times New Roman" w:hAnsi="Times New Roman" w:cs="Times New Roman"/>
          <w:lang w:val="ru-RU"/>
        </w:rPr>
      </w:pPr>
      <w:r>
        <w:rPr>
          <w:rFonts w:ascii="Times New Roman" w:hAnsi="Times New Roman" w:cs="Times New Roman"/>
          <w:lang w:val="ru-RU"/>
        </w:rPr>
      </w:r>
      <w:r/>
    </w:p>
    <w:p>
      <w:pPr>
        <w:pStyle w:val="940"/>
        <w:rPr>
          <w:rFonts w:ascii="Times New Roman" w:hAnsi="Times New Roman" w:cs="Times New Roman"/>
          <w:lang w:val="ru-RU"/>
        </w:rPr>
      </w:pPr>
      <w:r>
        <w:rPr>
          <w:rFonts w:cs="Times New Roman"/>
          <w:lang w:val="ru-RU"/>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1"/>
        <w:rPr>
          <w:rFonts w:ascii="Times New Roman" w:hAnsi="Times New Roman" w:cs="Times New Roman"/>
        </w:rPr>
      </w:pPr>
      <w:r>
        <w:rPr>
          <w:rFonts w:ascii="Times New Roman" w:hAnsi="Times New Roman" w:cs="Times New Roman"/>
        </w:rPr>
        <w:t xml:space="preserve">Методический анализ результатов ЕГЭ</w:t>
        <w:br/>
        <w:t xml:space="preserve">по Математике (профильный уровень)</w:t>
        <w:br/>
        <w:t xml:space="preserve">       (учебный предмет)</w:t>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3"/>
        <w:tabs>
          <w:tab w:val="left" w:pos="142" w:leader="none"/>
          <w:tab w:val="clear" w:pos="708" w:leader="none"/>
        </w:tabs>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pPr>
      <w:r/>
      <w:r/>
    </w:p>
    <w:p>
      <w:pPr>
        <w:pStyle w:val="1409"/>
        <w:keepNext/>
        <w:rPr>
          <w:b/>
          <w:lang w:val="en-US" w:eastAsia="en-US"/>
        </w:rPr>
      </w:pPr>
      <w:r>
        <w:t xml:space="preserve">Таблица 2</w:t>
        <w:noBreakHyphen/>
        <w:t xml:space="preserve">1</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206"/>
        <w:gridCol w:w="1601"/>
        <w:gridCol w:w="1605"/>
        <w:gridCol w:w="1602"/>
        <w:gridCol w:w="1602"/>
        <w:gridCol w:w="1829"/>
      </w:tblGrid>
      <w:tr>
        <w:trPr/>
        <w:tc>
          <w:tcPr>
            <w:gridSpan w:val="2"/>
            <w:tcBorders>
              <w:top w:val="single" w:color="000000" w:sz="4" w:space="0"/>
              <w:left w:val="single" w:color="000000" w:sz="4" w:space="0"/>
              <w:bottom w:val="single" w:color="000000" w:sz="4" w:space="0"/>
            </w:tcBorders>
            <w:tcW w:w="280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0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431"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0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82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06" w:type="dxa"/>
            <w:vAlign w:val="center"/>
            <w:textDirection w:val="lrTb"/>
            <w:noWrap w:val="false"/>
          </w:tcPr>
          <w:p>
            <w:pPr>
              <w:pStyle w:val="940"/>
              <w:jc w:val="center"/>
              <w:tabs>
                <w:tab w:val="clear" w:pos="708" w:leader="none"/>
                <w:tab w:val="left" w:pos="10320" w:leader="none"/>
              </w:tabs>
              <w:rPr>
                <w:lang w:eastAsia="en-US"/>
              </w:rPr>
            </w:pPr>
            <w:r>
              <w:rPr>
                <w:lang w:eastAsia="en-US"/>
              </w:rPr>
              <w:t xml:space="preserve">2306</w:t>
            </w:r>
            <w:r/>
          </w:p>
        </w:tc>
        <w:tc>
          <w:tcPr>
            <w:tcBorders>
              <w:top w:val="single" w:color="000000" w:sz="4" w:space="0"/>
              <w:left w:val="single" w:color="000000" w:sz="4" w:space="0"/>
              <w:bottom w:val="single" w:color="000000" w:sz="4" w:space="0"/>
            </w:tcBorders>
            <w:tcW w:w="1601" w:type="dxa"/>
            <w:vAlign w:val="center"/>
            <w:textDirection w:val="lrTb"/>
            <w:noWrap w:val="false"/>
          </w:tcPr>
          <w:p>
            <w:pPr>
              <w:pStyle w:val="940"/>
              <w:jc w:val="center"/>
              <w:tabs>
                <w:tab w:val="clear" w:pos="708" w:leader="none"/>
                <w:tab w:val="left" w:pos="10320" w:leader="none"/>
              </w:tabs>
              <w:rPr>
                <w:lang w:eastAsia="en-US"/>
              </w:rPr>
            </w:pPr>
            <w:r>
              <w:rPr>
                <w:lang w:eastAsia="en-US"/>
              </w:rPr>
              <w:t xml:space="preserve">53,3</w:t>
            </w:r>
            <w:r/>
          </w:p>
        </w:tc>
        <w:tc>
          <w:tcPr>
            <w:tcBorders>
              <w:top w:val="single" w:color="000000" w:sz="4" w:space="0"/>
              <w:left w:val="single" w:color="000000" w:sz="4" w:space="0"/>
              <w:bottom w:val="single" w:color="000000" w:sz="4" w:space="0"/>
            </w:tcBorders>
            <w:tcW w:w="1605" w:type="dxa"/>
            <w:vAlign w:val="bottom"/>
            <w:textDirection w:val="lrTb"/>
            <w:noWrap w:val="false"/>
          </w:tcPr>
          <w:p>
            <w:pPr>
              <w:pStyle w:val="940"/>
              <w:jc w:val="center"/>
            </w:pPr>
            <w:r>
              <w:t xml:space="preserve">2244</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jc w:val="center"/>
            </w:pPr>
            <w:r>
              <w:t xml:space="preserve">55,2</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jc w:val="center"/>
              <w:rPr>
                <w:lang w:val="en-US"/>
              </w:rPr>
            </w:pPr>
            <w:r>
              <w:rPr>
                <w:lang w:val="en-US"/>
              </w:rPr>
              <w:t xml:space="preserve">2157</w:t>
            </w:r>
            <w:r/>
          </w:p>
        </w:tc>
        <w:tc>
          <w:tcPr>
            <w:tcBorders>
              <w:top w:val="single" w:color="000000" w:sz="4" w:space="0"/>
              <w:left w:val="single" w:color="000000" w:sz="4" w:space="0"/>
              <w:bottom w:val="single" w:color="000000" w:sz="4" w:space="0"/>
              <w:right w:val="single" w:color="000000" w:sz="4" w:space="0"/>
            </w:tcBorders>
            <w:tcW w:w="1829" w:type="dxa"/>
            <w:vAlign w:val="bottom"/>
            <w:textDirection w:val="lrTb"/>
            <w:noWrap w:val="false"/>
          </w:tcPr>
          <w:p>
            <w:pPr>
              <w:pStyle w:val="940"/>
              <w:jc w:val="center"/>
            </w:pPr>
            <w:r>
              <w:t xml:space="preserve">52,8</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127"/>
        <w:gridCol w:w="691"/>
        <w:gridCol w:w="2074"/>
        <w:gridCol w:w="695"/>
        <w:gridCol w:w="2074"/>
        <w:gridCol w:w="692"/>
        <w:gridCol w:w="2092"/>
      </w:tblGrid>
      <w:tr>
        <w:trPr/>
        <w:tc>
          <w:tcPr>
            <w:tcBorders>
              <w:top w:val="single" w:color="000000" w:sz="4" w:space="0"/>
              <w:left w:val="single" w:color="000000" w:sz="4" w:space="0"/>
              <w:bottom w:val="single" w:color="000000" w:sz="4" w:space="0"/>
            </w:tcBorders>
            <w:tcW w:w="1127"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765"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6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78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127"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69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0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691" w:type="dxa"/>
            <w:textDirection w:val="lrTb"/>
            <w:noWrap w:val="false"/>
          </w:tcPr>
          <w:p>
            <w:pPr>
              <w:pStyle w:val="940"/>
              <w:jc w:val="center"/>
              <w:spacing w:before="0" w:after="160" w:line="254" w:lineRule="auto"/>
              <w:rPr>
                <w:lang w:eastAsia="en-US"/>
              </w:rPr>
            </w:pPr>
            <w:r>
              <w:rPr>
                <w:lang w:eastAsia="en-US"/>
              </w:rPr>
              <w:t xml:space="preserve">1051</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45,6</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jc w:val="center"/>
            </w:pPr>
            <w:r>
              <w:t xml:space="preserve">1059</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jc w:val="center"/>
            </w:pPr>
            <w:r>
              <w:t xml:space="preserve">47,2</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right"/>
            </w:pPr>
            <w:r>
              <w:t xml:space="preserve">925</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42,9</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691" w:type="dxa"/>
            <w:textDirection w:val="lrTb"/>
            <w:noWrap w:val="false"/>
          </w:tcPr>
          <w:p>
            <w:pPr>
              <w:pStyle w:val="940"/>
              <w:jc w:val="center"/>
              <w:spacing w:before="0" w:after="160" w:line="254" w:lineRule="auto"/>
              <w:rPr>
                <w:lang w:eastAsia="en-US"/>
              </w:rPr>
            </w:pPr>
            <w:r>
              <w:rPr>
                <w:lang w:eastAsia="en-US"/>
              </w:rPr>
              <w:t xml:space="preserve">1255</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54,4</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jc w:val="center"/>
            </w:pPr>
            <w:r>
              <w:t xml:space="preserve">1185</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jc w:val="center"/>
            </w:pPr>
            <w:r>
              <w:t xml:space="preserve">52,8</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right"/>
            </w:pPr>
            <w:r>
              <w:t xml:space="preserve">1232</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57,1</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641" w:type="dxa"/>
        <w:tblInd w:w="-5" w:type="dxa"/>
        <w:tblLayout w:type="fixed"/>
        <w:tblCellMar>
          <w:left w:w="108" w:type="dxa"/>
          <w:top w:w="0" w:type="dxa"/>
          <w:right w:w="108" w:type="dxa"/>
          <w:bottom w:w="0" w:type="dxa"/>
        </w:tblCellMar>
        <w:tblLook w:val="04A0" w:firstRow="1" w:lastRow="0" w:firstColumn="1" w:lastColumn="0" w:noHBand="0" w:noVBand="1"/>
      </w:tblPr>
      <w:tblGrid>
        <w:gridCol w:w="6949"/>
        <w:gridCol w:w="2692"/>
      </w:tblGrid>
      <w:tr>
        <w:trPr>
          <w:trHeight w:val="273"/>
        </w:trPr>
        <w:tc>
          <w:tcPr>
            <w:tcBorders>
              <w:top w:val="single" w:color="000000" w:sz="4" w:space="0"/>
              <w:left w:val="single" w:color="000000" w:sz="4" w:space="0"/>
              <w:bottom w:val="single" w:color="000000" w:sz="4" w:space="0"/>
            </w:tcBorders>
            <w:tcW w:w="6949"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pPr>
            <w:r>
              <w:t xml:space="preserve">2157</w:t>
            </w:r>
            <w:r/>
          </w:p>
        </w:tc>
      </w:tr>
      <w:tr>
        <w:trPr>
          <w:trHeight w:val="547"/>
        </w:trPr>
        <w:tc>
          <w:tcPr>
            <w:tcBorders>
              <w:top w:val="single" w:color="000000" w:sz="4" w:space="0"/>
              <w:left w:val="single" w:color="000000" w:sz="4" w:space="0"/>
              <w:bottom w:val="single" w:color="000000" w:sz="4" w:space="0"/>
            </w:tcBorders>
            <w:tcW w:w="6949"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4"/>
              <w:t xml:space="preserve">*</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rPr>
                <w:lang w:val="en-US"/>
              </w:rPr>
            </w:pPr>
            <w:r>
              <w:rPr>
                <w:lang w:val="en-US"/>
              </w:rPr>
              <w:t xml:space="preserve">2003</w:t>
            </w:r>
            <w:r/>
          </w:p>
        </w:tc>
      </w:tr>
      <w:tr>
        <w:trPr>
          <w:trHeight w:val="560"/>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rPr>
                <w:lang w:val="en-US"/>
              </w:rPr>
            </w:pPr>
            <w:r>
              <w:rPr>
                <w:lang w:val="en-US"/>
              </w:rPr>
              <w:t xml:space="preserve">-</w:t>
            </w:r>
            <w:r/>
          </w:p>
        </w:tc>
      </w:tr>
      <w:tr>
        <w:trPr>
          <w:trHeight w:val="299"/>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rPr>
                <w:lang w:val="en-US"/>
              </w:rPr>
            </w:pPr>
            <w:r>
              <w:rPr>
                <w:lang w:val="en-US"/>
              </w:rPr>
              <w:t xml:space="preserve">111</w:t>
            </w:r>
            <w:r/>
          </w:p>
        </w:tc>
      </w:tr>
      <w:tr>
        <w:trPr>
          <w:trHeight w:val="286"/>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rPr>
                <w:lang w:val="en-US"/>
              </w:rPr>
            </w:pPr>
            <w:r>
              <w:rPr>
                <w:lang w:val="en-US"/>
              </w:rPr>
              <w:t xml:space="preserve">8</w:t>
            </w:r>
            <w:r/>
          </w:p>
        </w:tc>
      </w:tr>
      <w:tr>
        <w:trPr>
          <w:trHeight w:val="286"/>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rPr>
                <w:lang w:val="en-US"/>
              </w:rPr>
            </w:pPr>
            <w:r>
              <w:rPr>
                <w:lang w:val="en-US"/>
              </w:rPr>
              <w:t xml:space="preserve">25</w:t>
            </w:r>
            <w:r/>
          </w:p>
        </w:tc>
      </w:tr>
      <w:tr>
        <w:trPr>
          <w:trHeight w:val="299"/>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pPr>
            <w:r>
              <w:t xml:space="preserve">2</w:t>
            </w:r>
            <w:r/>
          </w:p>
        </w:tc>
      </w:tr>
      <w:tr>
        <w:trPr>
          <w:trHeight w:val="286"/>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pPr>
            <w:r>
              <w:t xml:space="preserve">15</w:t>
            </w:r>
            <w:r/>
          </w:p>
        </w:tc>
      </w:tr>
      <w:tr>
        <w:trPr>
          <w:trHeight w:val="286"/>
        </w:trPr>
        <w:tc>
          <w:tcPr>
            <w:tcBorders>
              <w:top w:val="single" w:color="000000" w:sz="4" w:space="0"/>
              <w:left w:val="single" w:color="000000" w:sz="4" w:space="0"/>
              <w:bottom w:val="single" w:color="000000" w:sz="4" w:space="0"/>
            </w:tcBorders>
            <w:tcW w:w="694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692" w:type="dxa"/>
            <w:textDirection w:val="lrTb"/>
            <w:noWrap w:val="false"/>
          </w:tcPr>
          <w:p>
            <w:pPr>
              <w:pStyle w:val="940"/>
              <w:contextualSpacing/>
              <w:jc w:val="both"/>
              <w:spacing w:before="0" w:after="0"/>
            </w:pPr>
            <w:r>
              <w:t xml:space="preserve">1</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629" w:type="dxa"/>
        <w:tblInd w:w="-5" w:type="dxa"/>
        <w:tblLayout w:type="fixed"/>
        <w:tblCellMar>
          <w:left w:w="108" w:type="dxa"/>
          <w:top w:w="0" w:type="dxa"/>
          <w:right w:w="108" w:type="dxa"/>
          <w:bottom w:w="0" w:type="dxa"/>
        </w:tblCellMar>
        <w:tblLook w:val="04A0" w:firstRow="1" w:lastRow="0" w:firstColumn="1" w:lastColumn="0" w:noHBand="0" w:noVBand="1"/>
      </w:tblPr>
      <w:tblGrid>
        <w:gridCol w:w="6946"/>
        <w:gridCol w:w="2683"/>
      </w:tblGrid>
      <w:tr>
        <w:trPr>
          <w:trHeight w:val="62"/>
        </w:trPr>
        <w:tc>
          <w:tcPr>
            <w:tcBorders>
              <w:top w:val="single" w:color="000000" w:sz="4" w:space="0"/>
              <w:left w:val="single" w:color="000000" w:sz="4" w:space="0"/>
              <w:bottom w:val="single" w:color="000000" w:sz="4" w:space="0"/>
            </w:tcBorders>
            <w:tcW w:w="6946"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683" w:type="dxa"/>
            <w:textDirection w:val="lrTb"/>
            <w:noWrap w:val="false"/>
          </w:tcPr>
          <w:p>
            <w:pPr>
              <w:pStyle w:val="940"/>
              <w:contextualSpacing/>
              <w:jc w:val="both"/>
              <w:spacing w:before="0" w:after="0"/>
            </w:pPr>
            <w:r>
              <w:t xml:space="preserve">2003</w:t>
            </w:r>
            <w:r/>
          </w:p>
        </w:tc>
      </w:tr>
      <w:tr>
        <w:trPr>
          <w:trHeight w:val="406"/>
        </w:trPr>
        <w:tc>
          <w:tcPr>
            <w:tcBorders>
              <w:top w:val="single" w:color="000000" w:sz="4" w:space="0"/>
              <w:left w:val="single" w:color="000000" w:sz="4" w:space="0"/>
              <w:bottom w:val="single" w:color="000000" w:sz="4" w:space="0"/>
            </w:tcBorders>
            <w:tcW w:w="6946"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683" w:type="dxa"/>
            <w:textDirection w:val="lrTb"/>
            <w:noWrap w:val="false"/>
          </w:tcPr>
          <w:p>
            <w:pPr>
              <w:pStyle w:val="940"/>
              <w:contextualSpacing/>
              <w:jc w:val="both"/>
              <w:spacing w:before="0" w:after="0"/>
            </w:pPr>
            <w:r>
              <w:t xml:space="preserve">431</w:t>
            </w:r>
            <w:r/>
          </w:p>
        </w:tc>
      </w:tr>
      <w:tr>
        <w:trPr>
          <w:trHeight w:val="400"/>
        </w:trPr>
        <w:tc>
          <w:tcPr>
            <w:tcBorders>
              <w:top w:val="single" w:color="000000" w:sz="4" w:space="0"/>
              <w:left w:val="single" w:color="000000" w:sz="4" w:space="0"/>
              <w:bottom w:val="single" w:color="000000" w:sz="4" w:space="0"/>
            </w:tcBorders>
            <w:tcW w:w="6946"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683" w:type="dxa"/>
            <w:textDirection w:val="lrTb"/>
            <w:noWrap w:val="false"/>
          </w:tcPr>
          <w:p>
            <w:pPr>
              <w:pStyle w:val="940"/>
              <w:contextualSpacing/>
              <w:jc w:val="both"/>
              <w:spacing w:before="0" w:after="0"/>
            </w:pPr>
            <w:r>
              <w:t xml:space="preserve">1438</w:t>
            </w:r>
            <w:r/>
          </w:p>
        </w:tc>
      </w:tr>
      <w:tr>
        <w:trPr>
          <w:trHeight w:val="277"/>
        </w:trPr>
        <w:tc>
          <w:tcPr>
            <w:tcBorders>
              <w:top w:val="single" w:color="000000" w:sz="4" w:space="0"/>
              <w:left w:val="single" w:color="000000" w:sz="4" w:space="0"/>
              <w:bottom w:val="single" w:color="000000" w:sz="4" w:space="0"/>
            </w:tcBorders>
            <w:tcW w:w="6946"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683" w:type="dxa"/>
            <w:textDirection w:val="lrTb"/>
            <w:noWrap w:val="false"/>
          </w:tcPr>
          <w:p>
            <w:pPr>
              <w:pStyle w:val="940"/>
              <w:contextualSpacing/>
              <w:jc w:val="both"/>
              <w:spacing w:before="0" w:after="0"/>
            </w:pPr>
            <w:r>
              <w:t xml:space="preserve">4</w:t>
            </w:r>
            <w:r/>
          </w:p>
        </w:tc>
      </w:tr>
      <w:tr>
        <w:trPr>
          <w:trHeight w:val="723"/>
        </w:trPr>
        <w:tc>
          <w:tcPr>
            <w:tcBorders>
              <w:top w:val="single" w:color="000000" w:sz="4" w:space="0"/>
              <w:left w:val="single" w:color="000000" w:sz="4" w:space="0"/>
              <w:bottom w:val="single" w:color="000000" w:sz="4" w:space="0"/>
            </w:tcBorders>
            <w:tcW w:w="6946"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683" w:type="dxa"/>
            <w:textDirection w:val="lrTb"/>
            <w:noWrap w:val="false"/>
          </w:tcPr>
          <w:p>
            <w:pPr>
              <w:pStyle w:val="940"/>
              <w:contextualSpacing/>
              <w:jc w:val="both"/>
              <w:spacing w:before="0" w:after="0"/>
            </w:pPr>
            <w:r>
              <w:t xml:space="preserve">130</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1.5. </w:t>
      </w:r>
      <w:r>
        <w:rPr>
          <w:rFonts w:ascii="Times New Roman" w:hAnsi="Times New Roman" w:cs="Times New Roman"/>
        </w:rPr>
        <w:t xml:space="preserve">Количество участников ЕГЭ по предмету по АТЕ региона</w:t>
      </w:r>
      <w:r/>
    </w:p>
    <w:p>
      <w:pPr>
        <w:pStyle w:val="1409"/>
        <w:keepNext/>
        <w:rPr>
          <w:rFonts w:eastAsia="Times New Roman"/>
          <w:color w:val="000000"/>
        </w:rPr>
      </w:pPr>
      <w:r>
        <w:t xml:space="preserve">Таблица 2</w:t>
        <w:noBreakHyphen/>
        <w:t xml:space="preserve">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909"/>
        <w:gridCol w:w="3437"/>
        <w:gridCol w:w="3313"/>
      </w:tblGrid>
      <w:tr>
        <w:trPr>
          <w:trHeight w:val="940"/>
        </w:trPr>
        <w:tc>
          <w:tcPr>
            <w:shd w:val="clear" w:color="auto" w:fill="ffffff"/>
            <w:tcBorders>
              <w:top w:val="single" w:color="000000" w:sz="4" w:space="0"/>
              <w:left w:val="single" w:color="000000" w:sz="4" w:space="0"/>
              <w:bottom w:val="single" w:color="000000" w:sz="4" w:space="0"/>
            </w:tcBorders>
            <w:tcW w:w="2909"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математике</w:t>
            </w:r>
            <w:r/>
          </w:p>
        </w:tc>
        <w:tc>
          <w:tcPr>
            <w:shd w:val="clear" w:color="auto" w:fill="ffffff"/>
            <w:tcBorders>
              <w:top w:val="single" w:color="000000" w:sz="4" w:space="0"/>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1138</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52,8</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299</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13,9</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95</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4,4</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65</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3,0</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45</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54</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42</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1,9</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37</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05"/>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46</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61</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2,8</w:t>
            </w:r>
            <w:r/>
          </w:p>
        </w:tc>
      </w:tr>
      <w:tr>
        <w:trPr>
          <w:trHeight w:val="371"/>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70</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3,2</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111</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5,1</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37" w:type="dxa"/>
            <w:vAlign w:val="center"/>
            <w:textDirection w:val="lrTb"/>
            <w:noWrap w:val="false"/>
          </w:tcPr>
          <w:p>
            <w:pPr>
              <w:pStyle w:val="940"/>
              <w:jc w:val="center"/>
              <w:rPr>
                <w:rFonts w:eastAsia="Times New Roman"/>
                <w:color w:val="000000"/>
              </w:rPr>
            </w:pPr>
            <w:r>
              <w:rPr>
                <w:rFonts w:eastAsia="Times New Roman"/>
                <w:color w:val="000000"/>
              </w:rPr>
              <w:t xml:space="preserve">2</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0,1</w:t>
            </w:r>
            <w:r/>
          </w:p>
        </w:tc>
      </w:tr>
      <w:tr>
        <w:trPr>
          <w:trHeight w:val="313"/>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37" w:type="dxa"/>
            <w:vAlign w:val="bottom"/>
            <w:textDirection w:val="lrTb"/>
            <w:noWrap w:val="false"/>
          </w:tcPr>
          <w:p>
            <w:pPr>
              <w:pStyle w:val="940"/>
              <w:jc w:val="center"/>
              <w:rPr>
                <w:rFonts w:eastAsia="Times New Roman"/>
                <w:color w:val="000000"/>
              </w:rPr>
            </w:pPr>
            <w:r>
              <w:rPr>
                <w:rFonts w:eastAsia="Times New Roman"/>
                <w:color w:val="000000"/>
              </w:rPr>
              <w:t xml:space="preserve">15</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0,7</w:t>
            </w:r>
            <w:r/>
          </w:p>
        </w:tc>
      </w:tr>
      <w:tr>
        <w:trPr>
          <w:trHeight w:val="626"/>
        </w:trPr>
        <w:tc>
          <w:tcPr>
            <w:shd w:val="clear" w:color="auto" w:fill="ffffff"/>
            <w:tcBorders>
              <w:left w:val="single" w:color="000000" w:sz="4" w:space="0"/>
              <w:bottom w:val="single" w:color="000000" w:sz="4" w:space="0"/>
            </w:tcBorders>
            <w:tcW w:w="2909"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437"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3313"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3"/>
        <w:jc w:val="both"/>
        <w:tabs>
          <w:tab w:val="left" w:pos="142" w:leader="none"/>
          <w:tab w:val="clear" w:pos="708" w:leader="none"/>
        </w:tabs>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1409"/>
        <w:keepNext/>
        <w:rPr>
          <w:sz w:val="24"/>
          <w:szCs w:val="24"/>
        </w:rPr>
      </w:pPr>
      <w:r>
        <w:rPr>
          <w:sz w:val="24"/>
          <w:szCs w:val="24"/>
        </w:rPr>
        <w:t xml:space="preserve">Таблица 2</w:t>
        <w:noBreakHyphen/>
        <w:t xml:space="preserve">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40"/>
        <w:gridCol w:w="5997"/>
        <w:gridCol w:w="3122"/>
      </w:tblGrid>
      <w:tr>
        <w:trPr>
          <w:cantSplit/>
          <w:trHeight w:val="1051"/>
          <w:tblHeader/>
        </w:trPr>
        <w:tc>
          <w:tcPr>
            <w:tcBorders>
              <w:top w:val="single" w:color="000000" w:sz="4" w:space="0"/>
              <w:left w:val="single" w:color="000000" w:sz="4" w:space="0"/>
              <w:bottom w:val="single" w:color="000000" w:sz="4" w:space="0"/>
            </w:tcBorders>
            <w:tcW w:w="540"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599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процент ОО, в которых использовался данный УМК / другие пособия</w:t>
            </w:r>
            <w:r/>
          </w:p>
        </w:tc>
      </w:tr>
      <w:tr>
        <w:trPr>
          <w:cantSplit/>
          <w:trHeight w:val="51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УМК А. Г. Мерзляка. Математика (10-11), 2013</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r>
      <w:tr>
        <w:trPr>
          <w:cantSplit/>
          <w:trHeight w:val="25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Мордкович А.Г. Алгебра и начала математического анализа. 10-11 классы. В 2 частях (базовый уровень), Мнемозина, 2014 г.</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w:t>
            </w:r>
            <w:r/>
          </w:p>
        </w:tc>
      </w:tr>
      <w:tr>
        <w:trPr>
          <w:cantSplit/>
          <w:trHeight w:val="25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Атанасян Л.С. Геометрия 10-11, Просвещение, 2014</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w:t>
            </w:r>
            <w:r/>
          </w:p>
        </w:tc>
      </w:tr>
      <w:tr>
        <w:trPr>
          <w:cantSplit/>
          <w:trHeight w:val="25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Математика (геометрия  и начала анализа)10-11 кл. Шарыгин И.Ф. Базовый уровень 2018,2019г</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w:t>
            </w:r>
            <w:r/>
          </w:p>
        </w:tc>
      </w:tr>
      <w:tr>
        <w:trPr>
          <w:cantSplit/>
          <w:trHeight w:val="25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Алгебра 11 кл. Муравин С.В. Базовый уровень 2018,2019г</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w:t>
            </w:r>
            <w:r/>
          </w:p>
        </w:tc>
      </w:tr>
      <w:tr>
        <w:trPr>
          <w:cantSplit/>
          <w:trHeight w:val="259"/>
        </w:trPr>
        <w:tc>
          <w:tcPr>
            <w:tcBorders>
              <w:top w:val="single" w:color="000000" w:sz="4" w:space="0"/>
              <w:left w:val="single" w:color="000000" w:sz="4" w:space="0"/>
              <w:bottom w:val="single" w:color="000000" w:sz="4" w:space="0"/>
            </w:tcBorders>
            <w:tcW w:w="540"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w:t>
            </w:r>
            <w:r/>
          </w:p>
        </w:tc>
        <w:tc>
          <w:tcPr>
            <w:tcBorders>
              <w:top w:val="single" w:color="000000" w:sz="4" w:space="0"/>
              <w:left w:val="single" w:color="000000" w:sz="4" w:space="0"/>
              <w:bottom w:val="single" w:color="000000" w:sz="4" w:space="0"/>
            </w:tcBorders>
            <w:tcW w:w="5997" w:type="dxa"/>
            <w:textDirection w:val="lrTb"/>
            <w:noWrap w:val="false"/>
          </w:tcPr>
          <w:p>
            <w:pPr>
              <w:pStyle w:val="940"/>
            </w:pPr>
            <w:r>
              <w:t xml:space="preserve">УМК Алгебра. /Колягин Ю.М. (10-11), 2019</w:t>
            </w:r>
            <w:r/>
          </w:p>
        </w:tc>
        <w:tc>
          <w:tcPr>
            <w:tcBorders>
              <w:top w:val="single" w:color="000000" w:sz="4" w:space="0"/>
              <w:left w:val="single" w:color="000000" w:sz="4" w:space="0"/>
              <w:bottom w:val="single" w:color="000000" w:sz="4" w:space="0"/>
              <w:right w:val="single" w:color="000000" w:sz="4" w:space="0"/>
            </w:tcBorders>
            <w:tcW w:w="312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w:t>
            </w:r>
            <w:r/>
          </w:p>
        </w:tc>
      </w:tr>
    </w:tbl>
    <w:p>
      <w:pPr>
        <w:pStyle w:val="1400"/>
        <w:contextualSpacing/>
        <w:ind w:left="0" w:right="0" w:firstLine="708"/>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Не планируются.</w:t>
      </w:r>
      <w:r/>
    </w:p>
    <w:p>
      <w:pPr>
        <w:pStyle w:val="943"/>
        <w:jc w:val="both"/>
      </w:pPr>
      <w:r>
        <w:rPr>
          <w:rFonts w:ascii="Times New Roman" w:hAnsi="Times New Roman" w:cs="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ind w:firstLine="708"/>
        <w:jc w:val="both"/>
      </w:pPr>
      <w:r>
        <w:t xml:space="preserve">В 2021 году математику (профильный уровень) выбрало на 2,7% меньше участников по сравнению с показателями прошлого года. На</w:t>
      </w:r>
      <w:r>
        <w:t xml:space="preserve"> наш взгляд, это может быть связано как с особенностями проведения ГИА в 2021 году, в рамках которых математика не относится к обязательным предметам, так и с новыми правилами приема в вузы в 2021 году и введением альтернативных предметов для поступления. </w:t>
      </w:r>
      <w:r/>
    </w:p>
    <w:p>
      <w:pPr>
        <w:pStyle w:val="940"/>
        <w:ind w:firstLine="708"/>
        <w:jc w:val="both"/>
      </w:pPr>
      <w:r>
        <w:t xml:space="preserve">В выборе математики лидируют юноши (57,1%). Эта тенденция сохраняется на протяжении трех лет. Увеличение доли юношей и уменьшение доли девушек, выбравших математику (профильны</w:t>
      </w:r>
      <w:r>
        <w:t xml:space="preserve">й уровень) в 2021 году, по отношению к показателям 2020 года, привели к еще большему гендерному разрыву в выборе предмета (47,2% девушек и 52,8% юношей в 2020 году, 42,9% девушек и 57,1% юношей в 2021 году). Можно предположить, что это связано с развитием </w:t>
      </w:r>
      <w:r>
        <w:rPr>
          <w:lang w:val="en-US"/>
        </w:rPr>
        <w:t xml:space="preserve">STEM</w:t>
      </w:r>
      <w:r>
        <w:t xml:space="preserve">-направлений высшего образования в стране и, как следствие, появлением в российских вузах новых технических специальностей.</w:t>
      </w:r>
      <w:r/>
    </w:p>
    <w:p>
      <w:pPr>
        <w:pStyle w:val="940"/>
        <w:ind w:firstLine="708"/>
        <w:jc w:val="both"/>
      </w:pPr>
      <w:r>
        <w:t xml:space="preserve">При рассмотрении отдельных категорий участников видно, что по сравнению с прошлым годом уменьшилось количество выпускников текущего года, выбравших математику</w:t>
      </w:r>
      <w:r>
        <w:t xml:space="preserve">, включая экстернов и лиц с ограниченными возможностями здоровья, но при этом увеличилась доля выпускников прошлых лет, а также обучающихся по программам СПО. Процентное соотношение в выборе предмета по типу образовательной организации осталось неизменным.</w:t>
      </w:r>
      <w:r/>
    </w:p>
    <w:p>
      <w:pPr>
        <w:pStyle w:val="940"/>
        <w:ind w:firstLine="708"/>
        <w:jc w:val="both"/>
      </w:pPr>
      <w:r>
        <w:t xml:space="preserve">Анализ выбора предмета в разрезе АТЕ показал, что самый высокий процент сдающих приходится на г. Астрахань, что неудивительно, учитывая количество участников в целом. По сравнению с 2020 </w:t>
      </w:r>
      <w:r>
        <w:t xml:space="preserve">годом заметно увеличился процент участников, выбравших математику, в Ахтубинском районе. Это объясняется тем, что на территории Ахтубинского района расположен ГБОУ АО «Ахтубинская кадетская школа-интернат им. П. О. Сухого». В 2020 году в соответствии с пис</w:t>
      </w:r>
      <w:r>
        <w:t xml:space="preserve">ьмом Федеральной службы по надзору в сфере образования и науки от 29.04.2020 №10-192 выпускники данной образовательной организации сдавали ЕГЭ по месту их фактического пребывания. По сравнению с 2019 годом процентное соотношение осталось на прежнем уровне.</w:t>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r>
      <w:r/>
    </w:p>
    <w:p>
      <w:pPr>
        <w:pStyle w:val="940"/>
        <w:rPr>
          <w:rFonts w:ascii="Times New Roman" w:hAnsi="Times New Roman" w:cs="Times New Roman"/>
          <w:b/>
          <w:bCs/>
          <w:color w:val="000000"/>
          <w:sz w:val="28"/>
          <w:szCs w:val="28"/>
          <w:lang w:val="en-US"/>
        </w:rPr>
      </w:pPr>
      <w:r>
        <w:rPr>
          <w:rFonts w:cs="Times New Roman"/>
          <w:b/>
          <w:bCs/>
          <w:color w:val="000000"/>
          <w:sz w:val="28"/>
          <w:szCs w:val="28"/>
          <w:lang w:val="en-US"/>
        </w:rPr>
      </w:r>
      <w:r/>
    </w:p>
    <w:p>
      <w:pPr>
        <w:pStyle w:val="940"/>
        <w:rPr>
          <w:b/>
          <w:bCs/>
          <w:sz w:val="28"/>
          <w:szCs w:val="28"/>
          <w:lang w:val="en-US"/>
        </w:rPr>
      </w:pPr>
      <w:r>
        <w:rPr>
          <w:b/>
          <w:bCs/>
          <w:sz w:val="28"/>
          <w:szCs w:val="28"/>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0"/>
        <w:rPr>
          <w:lang w:val="en-US"/>
        </w:rPr>
      </w:pPr>
      <w:r>
        <w:rPr>
          <w:lang w:val="en-US"/>
        </w:rPr>
      </w:r>
      <w:r/>
    </w:p>
    <w:p>
      <w:pPr>
        <w:pStyle w:val="942"/>
        <w:jc w:val="center"/>
        <w:rPr>
          <w:lang w:val="en-US"/>
        </w:rPr>
      </w:pPr>
      <w:r>
        <w:rPr>
          <w:lang w:val="en-US"/>
        </w:rPr>
      </w:r>
      <w:r/>
    </w:p>
    <w:p>
      <w:pPr>
        <w:pStyle w:val="942"/>
        <w:jc w:val="center"/>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«Математика (профильный уровень)»</w:t>
      </w:r>
      <w:r/>
    </w:p>
    <w:p>
      <w:pPr>
        <w:pStyle w:val="940"/>
        <w:jc w:val="center"/>
        <w:rPr>
          <w:b/>
          <w:sz w:val="28"/>
        </w:rPr>
      </w:pPr>
      <w:r>
        <w:rPr>
          <w:b/>
          <w:sz w:val="28"/>
        </w:rPr>
      </w:r>
      <w:r/>
    </w:p>
    <w:p>
      <w:pPr>
        <w:pStyle w:val="1400"/>
        <w:numPr>
          <w:ilvl w:val="0"/>
          <w:numId w:val="17"/>
        </w:numPr>
        <w:contextualSpacing/>
        <w:ind w:left="0" w:right="0" w:firstLine="0"/>
        <w:keepLines/>
        <w:keepNext/>
        <w:spacing w:before="200" w:after="0" w:line="240" w:lineRule="auto"/>
        <w:rPr>
          <w:rFonts w:ascii="Times New Roman" w:hAnsi="Times New Roman" w:cs="Times New Roman" w:eastAsia="SimSun;宋体"/>
          <w:b/>
          <w:vanish/>
          <w:sz w:val="28"/>
          <w:szCs w:val="24"/>
          <w:lang w:val="en-US" w:eastAsia="en-US"/>
        </w:rPr>
      </w:pPr>
      <w:r>
        <w:rPr>
          <w:rFonts w:ascii="Times New Roman" w:hAnsi="Times New Roman" w:cs="Times New Roman" w:eastAsia="SimSun;宋体"/>
          <w:b/>
          <w:vanish/>
          <w:sz w:val="28"/>
          <w:szCs w:val="24"/>
          <w:lang w:val="en-US" w:eastAsia="en-US"/>
        </w:rPr>
        <mc:AlternateContent>
          <mc:Choice Requires="wpg">
            <w:drawing>
              <wp:anchor xmlns:wp="http://schemas.openxmlformats.org/drawingml/2006/wordprocessingDrawing" distT="0" distB="0" distL="114935" distR="114935" simplePos="0" relativeHeight="24" behindDoc="0" locked="0" layoutInCell="0" allowOverlap="1">
                <wp:simplePos x="0" y="0"/>
                <wp:positionH relativeFrom="column">
                  <wp:posOffset>-9525</wp:posOffset>
                </wp:positionH>
                <wp:positionV relativeFrom="paragraph">
                  <wp:posOffset>654685</wp:posOffset>
                </wp:positionV>
                <wp:extent cx="6142355" cy="2137410"/>
                <wp:effectExtent l="0" t="0" r="0" b="0"/>
                <wp:wrapTopAndBottom/>
                <wp:docPr id="3" name="Image2"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hidden="0"/>
                        <pic:cNvPicPr>
                          <a:picLocks noChangeAspect="1"/>
                        </pic:cNvPicPr>
                        <pic:nvPr isPhoto="0" userDrawn="0"/>
                      </pic:nvPicPr>
                      <pic:blipFill>
                        <a:blip r:embed="rId15"/>
                        <a:srcRect l="0" t="9229" r="0" b="0"/>
                        <a:stretch/>
                      </pic:blipFill>
                      <pic:spPr bwMode="auto">
                        <a:xfrm>
                          <a:off x="0" y="0"/>
                          <a:ext cx="6142355" cy="2137410"/>
                        </a:xfrm>
                        <a:prstGeom prst="rect">
                          <a:avLst/>
                        </a:prstGeom>
                        <a:ln w="9525">
                          <a:solidFill>
                            <a:srgbClr val="000000"/>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4;o:allowoverlap:true;o:allowincell:false;mso-position-horizontal-relative:text;margin-left:-0.8pt;mso-position-horizontal:absolute;mso-position-vertical-relative:text;margin-top:51.5pt;mso-position-vertical:absolute;width:483.6pt;height:168.3pt;" strokecolor="#000000" strokeweight="0.75pt">
                <v:path textboxrect="0,0,0,0"/>
                <v:imagedata r:id="rId15" o:title=""/>
              </v:shape>
            </w:pict>
          </mc:Fallback>
        </mc:AlternateContent>
      </w:r>
      <w:r/>
    </w:p>
    <w:p>
      <w:pPr>
        <w:pStyle w:val="943"/>
        <w:jc w:val="both"/>
        <w:spacing w:before="0" w:after="0"/>
      </w:pPr>
      <w:r>
        <w:rPr>
          <w:rFonts w:ascii="Times New Roman" w:hAnsi="Times New Roman" w:cs="Times New Roman" w:eastAsia="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w:t>
      </w:r>
      <w:r>
        <w:rPr>
          <w:rFonts w:ascii="Times New Roman" w:hAnsi="Times New Roman" w:cs="Times New Roman"/>
          <w:lang w:val="ru-RU"/>
        </w:rPr>
        <w:t xml:space="preserve"> </w:t>
      </w:r>
      <w:r>
        <w:rPr>
          <w:rFonts w:ascii="Times New Roman" w:hAnsi="Times New Roman" w:cs="Times New Roman"/>
        </w:rPr>
        <w:t xml:space="preserve">в</w:t>
      </w:r>
      <w:r>
        <w:rPr>
          <w:rFonts w:ascii="Times New Roman" w:hAnsi="Times New Roman" w:cs="Times New Roman"/>
          <w:lang w:val="ru-RU"/>
        </w:rPr>
        <w:t xml:space="preserve"> </w:t>
      </w:r>
      <w:r>
        <w:rPr>
          <w:rFonts w:ascii="Times New Roman" w:hAnsi="Times New Roman" w:cs="Times New Roman"/>
        </w:rPr>
        <w:t xml:space="preserve">2021</w:t>
      </w:r>
      <w:r>
        <w:rPr>
          <w:rFonts w:ascii="Times New Roman" w:hAnsi="Times New Roman" w:cs="Times New Roman"/>
          <w:lang w:val="ru-RU"/>
        </w:rPr>
        <w:t xml:space="preserve"> </w:t>
      </w:r>
      <w:r>
        <w:rPr>
          <w:rFonts w:ascii="Times New Roman" w:hAnsi="Times New Roman" w:cs="Times New Roman"/>
        </w:rPr>
        <w:t xml:space="preserve">г.</w:t>
      </w:r>
      <w:r/>
    </w:p>
    <w:p>
      <w:pPr>
        <w:pStyle w:val="943"/>
        <w:jc w:val="both"/>
        <w:spacing w:before="0" w:after="0"/>
        <w:rPr>
          <w:rFonts w:ascii="Times New Roman" w:hAnsi="Times New Roman" w:cs="Times New Roman"/>
          <w:b w:val="0"/>
          <w:i/>
          <w:sz w:val="24"/>
        </w:rPr>
      </w:pPr>
      <w:r>
        <w:rPr>
          <w:rFonts w:ascii="Times New Roman" w:hAnsi="Times New Roman" w:cs="Times New Roman"/>
          <w:b w:val="0"/>
          <w:i/>
          <w:sz w:val="24"/>
        </w:rPr>
        <w:t xml:space="preserve">(количество участников, получивших тот или иной тестовый балл)</w:t>
      </w:r>
      <w:r/>
    </w:p>
    <w:p>
      <w:pPr>
        <w:pStyle w:val="940"/>
        <w:rPr>
          <w:b/>
          <w:i/>
        </w:rPr>
      </w:pPr>
      <w:r>
        <w:rPr>
          <w:b/>
          <w:i/>
        </w:rPr>
      </w:r>
      <w:r/>
    </w:p>
    <w:p>
      <w:pPr>
        <w:pStyle w:val="943"/>
        <w:tabs>
          <w:tab w:val="left" w:pos="142" w:leader="none"/>
          <w:tab w:val="clear" w:pos="708" w:leader="none"/>
        </w:tabs>
      </w:pPr>
      <w:r>
        <w:rPr>
          <w:rFonts w:ascii="Times New Roman" w:hAnsi="Times New Roman" w:cs="Times New Roman" w:eastAsia="Times New Roman"/>
          <w:lang w:val="ru-RU"/>
        </w:rPr>
        <w:t xml:space="preserve">2.</w:t>
      </w:r>
      <w:r>
        <w:rPr>
          <w:rFonts w:ascii="Times New Roman" w:hAnsi="Times New Roman" w:cs="Times New Roman"/>
          <w:lang w:val="ru-RU"/>
        </w:rPr>
        <w:t xml:space="preserve">2. </w:t>
      </w:r>
      <w:r>
        <w:rPr>
          <w:rFonts w:ascii="Times New Roman" w:hAnsi="Times New Roman" w:cs="Times New Roman"/>
        </w:rPr>
        <w:t xml:space="preserve">Динамика результатов ЕГЭ по предмету за последние 3 года</w:t>
      </w:r>
      <w:r/>
    </w:p>
    <w:p>
      <w:pPr>
        <w:pStyle w:val="1409"/>
        <w:keepNext/>
        <w:rPr>
          <w:rFonts w:eastAsia="MS Mincho;ＭＳ 明朝"/>
        </w:rPr>
      </w:pPr>
      <w:r>
        <w:t xml:space="preserve">Таблица 2</w:t>
        <w:noBreakHyphen/>
        <w:t xml:space="preserve">7</w:t>
      </w:r>
      <w:r/>
    </w:p>
    <w:tbl>
      <w:tblPr>
        <w:tblW w:w="9733" w:type="dxa"/>
        <w:tblInd w:w="-5" w:type="dxa"/>
        <w:tblLayout w:type="fixed"/>
        <w:tblCellMar>
          <w:left w:w="108" w:type="dxa"/>
          <w:top w:w="0" w:type="dxa"/>
          <w:right w:w="108" w:type="dxa"/>
          <w:bottom w:w="0" w:type="dxa"/>
        </w:tblCellMar>
        <w:tblLook w:val="04A0" w:firstRow="1" w:lastRow="0" w:firstColumn="1" w:lastColumn="0" w:noHBand="0" w:noVBand="1"/>
      </w:tblPr>
      <w:tblGrid>
        <w:gridCol w:w="5025"/>
        <w:gridCol w:w="1483"/>
        <w:gridCol w:w="1618"/>
        <w:gridCol w:w="1607"/>
      </w:tblGrid>
      <w:tr>
        <w:trPr>
          <w:cantSplit/>
          <w:trHeight w:val="340"/>
          <w:tblHeader/>
        </w:trPr>
        <w:tc>
          <w:tcPr>
            <w:tcBorders>
              <w:top w:val="single" w:color="000000" w:sz="4" w:space="0"/>
              <w:left w:val="single" w:color="000000" w:sz="4" w:space="0"/>
              <w:bottom w:val="single" w:color="000000" w:sz="4" w:space="0"/>
            </w:tcBorders>
            <w:tcW w:w="5025"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708"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5"/>
          <w:tblHeader/>
        </w:trPr>
        <w:tc>
          <w:tcPr>
            <w:tcBorders>
              <w:top w:val="single" w:color="000000" w:sz="4" w:space="0"/>
              <w:left w:val="single" w:color="000000" w:sz="4" w:space="0"/>
              <w:bottom w:val="single" w:color="000000" w:sz="4" w:space="0"/>
            </w:tcBorders>
            <w:tcW w:w="5025"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483"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618"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607"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51"/>
        </w:trPr>
        <w:tc>
          <w:tcPr>
            <w:tcBorders>
              <w:top w:val="single" w:color="000000" w:sz="4" w:space="0"/>
              <w:left w:val="single" w:color="000000" w:sz="4" w:space="0"/>
              <w:bottom w:val="single" w:color="000000" w:sz="4" w:space="0"/>
            </w:tcBorders>
            <w:tcW w:w="5025"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483" w:type="dxa"/>
            <w:vAlign w:val="center"/>
            <w:textDirection w:val="lrTb"/>
            <w:noWrap w:val="false"/>
          </w:tcPr>
          <w:p>
            <w:pPr>
              <w:pStyle w:val="940"/>
              <w:jc w:val="center"/>
              <w:rPr>
                <w:color w:val="000000"/>
              </w:rPr>
            </w:pPr>
            <w:r>
              <w:rPr>
                <w:color w:val="000000"/>
              </w:rPr>
              <w:t xml:space="preserve">3,1</w:t>
            </w:r>
            <w:r/>
          </w:p>
        </w:tc>
        <w:tc>
          <w:tcPr>
            <w:tcBorders>
              <w:top w:val="single" w:color="000000" w:sz="4" w:space="0"/>
              <w:left w:val="single" w:color="000000" w:sz="4" w:space="0"/>
              <w:bottom w:val="single" w:color="000000" w:sz="4" w:space="0"/>
            </w:tcBorders>
            <w:tcW w:w="1618" w:type="dxa"/>
            <w:vAlign w:val="center"/>
            <w:textDirection w:val="lrTb"/>
            <w:noWrap w:val="false"/>
          </w:tcPr>
          <w:p>
            <w:pPr>
              <w:pStyle w:val="940"/>
              <w:jc w:val="center"/>
              <w:rPr>
                <w:color w:val="000000"/>
              </w:rPr>
            </w:pPr>
            <w:r>
              <w:rPr>
                <w:color w:val="000000"/>
              </w:rPr>
              <w:t xml:space="preserve">12,2</w:t>
            </w:r>
            <w:r/>
          </w:p>
        </w:tc>
        <w:tc>
          <w:tcPr>
            <w:tcBorders>
              <w:top w:val="single" w:color="000000" w:sz="4" w:space="0"/>
              <w:left w:val="single" w:color="000000" w:sz="4" w:space="0"/>
              <w:bottom w:val="single" w:color="000000" w:sz="4" w:space="0"/>
              <w:right w:val="single" w:color="000000" w:sz="4" w:space="0"/>
            </w:tcBorders>
            <w:tcW w:w="1607" w:type="dxa"/>
            <w:textDirection w:val="lrTb"/>
            <w:noWrap w:val="false"/>
          </w:tcPr>
          <w:p>
            <w:pPr>
              <w:pStyle w:val="940"/>
              <w:jc w:val="center"/>
            </w:pPr>
            <w:r>
              <w:t xml:space="preserve">8,1</w:t>
            </w:r>
            <w:r/>
          </w:p>
        </w:tc>
      </w:tr>
      <w:tr>
        <w:trPr>
          <w:cantSplit/>
          <w:trHeight w:val="356"/>
        </w:trPr>
        <w:tc>
          <w:tcPr>
            <w:tcBorders>
              <w:top w:val="single" w:color="000000" w:sz="4" w:space="0"/>
              <w:left w:val="single" w:color="000000" w:sz="4" w:space="0"/>
              <w:bottom w:val="single" w:color="000000" w:sz="4" w:space="0"/>
            </w:tcBorders>
            <w:tcW w:w="5025"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483" w:type="dxa"/>
            <w:vAlign w:val="center"/>
            <w:textDirection w:val="lrTb"/>
            <w:noWrap w:val="false"/>
          </w:tcPr>
          <w:p>
            <w:pPr>
              <w:pStyle w:val="940"/>
              <w:jc w:val="center"/>
              <w:rPr>
                <w:color w:val="000000"/>
              </w:rPr>
            </w:pPr>
            <w:r>
              <w:rPr>
                <w:color w:val="000000"/>
              </w:rPr>
              <w:t xml:space="preserve">54,3</w:t>
            </w:r>
            <w:r/>
          </w:p>
        </w:tc>
        <w:tc>
          <w:tcPr>
            <w:tcBorders>
              <w:left w:val="single" w:color="000000" w:sz="4" w:space="0"/>
              <w:bottom w:val="single" w:color="000000" w:sz="4" w:space="0"/>
            </w:tcBorders>
            <w:tcW w:w="1618" w:type="dxa"/>
            <w:vAlign w:val="center"/>
            <w:textDirection w:val="lrTb"/>
            <w:noWrap w:val="false"/>
          </w:tcPr>
          <w:p>
            <w:pPr>
              <w:pStyle w:val="940"/>
              <w:jc w:val="center"/>
              <w:rPr>
                <w:color w:val="000000"/>
              </w:rPr>
            </w:pPr>
            <w:r>
              <w:rPr>
                <w:color w:val="000000"/>
              </w:rPr>
              <w:t xml:space="preserve">50,9</w:t>
            </w:r>
            <w:r/>
          </w:p>
        </w:tc>
        <w:tc>
          <w:tcPr>
            <w:tcBorders>
              <w:top w:val="single" w:color="000000" w:sz="4" w:space="0"/>
              <w:left w:val="single" w:color="000000" w:sz="4" w:space="0"/>
              <w:bottom w:val="single" w:color="000000" w:sz="4" w:space="0"/>
              <w:right w:val="single" w:color="000000" w:sz="4" w:space="0"/>
            </w:tcBorders>
            <w:tcW w:w="1607" w:type="dxa"/>
            <w:textDirection w:val="lrTb"/>
            <w:noWrap w:val="false"/>
          </w:tcPr>
          <w:p>
            <w:pPr>
              <w:pStyle w:val="940"/>
              <w:jc w:val="center"/>
            </w:pPr>
            <w:r>
              <w:t xml:space="preserve">53,2</w:t>
            </w:r>
            <w:r/>
          </w:p>
        </w:tc>
      </w:tr>
      <w:tr>
        <w:trPr>
          <w:cantSplit/>
          <w:trHeight w:val="340"/>
        </w:trPr>
        <w:tc>
          <w:tcPr>
            <w:tcBorders>
              <w:top w:val="single" w:color="000000" w:sz="4" w:space="0"/>
              <w:left w:val="single" w:color="000000" w:sz="4" w:space="0"/>
              <w:bottom w:val="single" w:color="000000" w:sz="4" w:space="0"/>
            </w:tcBorders>
            <w:tcW w:w="5025"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483" w:type="dxa"/>
            <w:vAlign w:val="center"/>
            <w:textDirection w:val="lrTb"/>
            <w:noWrap w:val="false"/>
          </w:tcPr>
          <w:p>
            <w:pPr>
              <w:pStyle w:val="940"/>
              <w:jc w:val="center"/>
              <w:rPr>
                <w:color w:val="000000"/>
              </w:rPr>
            </w:pPr>
            <w:r>
              <w:rPr>
                <w:color w:val="000000"/>
              </w:rPr>
              <w:t xml:space="preserve">5,0</w:t>
            </w:r>
            <w:r/>
          </w:p>
        </w:tc>
        <w:tc>
          <w:tcPr>
            <w:tcBorders>
              <w:left w:val="single" w:color="000000" w:sz="4" w:space="0"/>
              <w:bottom w:val="single" w:color="000000" w:sz="4" w:space="0"/>
            </w:tcBorders>
            <w:tcW w:w="1618" w:type="dxa"/>
            <w:vAlign w:val="center"/>
            <w:textDirection w:val="lrTb"/>
            <w:noWrap w:val="false"/>
          </w:tcPr>
          <w:p>
            <w:pPr>
              <w:pStyle w:val="940"/>
              <w:jc w:val="center"/>
              <w:rPr>
                <w:color w:val="000000"/>
              </w:rPr>
            </w:pPr>
            <w:r>
              <w:rPr>
                <w:color w:val="000000"/>
              </w:rPr>
              <w:t xml:space="preserve">4,3</w:t>
            </w:r>
            <w:r/>
          </w:p>
        </w:tc>
        <w:tc>
          <w:tcPr>
            <w:tcBorders>
              <w:top w:val="single" w:color="000000" w:sz="4" w:space="0"/>
              <w:left w:val="single" w:color="000000" w:sz="4" w:space="0"/>
              <w:bottom w:val="single" w:color="000000" w:sz="4" w:space="0"/>
              <w:right w:val="single" w:color="000000" w:sz="4" w:space="0"/>
            </w:tcBorders>
            <w:tcW w:w="1607" w:type="dxa"/>
            <w:textDirection w:val="lrTb"/>
            <w:noWrap w:val="false"/>
          </w:tcPr>
          <w:p>
            <w:pPr>
              <w:pStyle w:val="940"/>
              <w:jc w:val="center"/>
            </w:pPr>
            <w:r>
              <w:t xml:space="preserve">6,8</w:t>
            </w:r>
            <w:r/>
          </w:p>
        </w:tc>
      </w:tr>
      <w:tr>
        <w:trPr>
          <w:cantSplit/>
          <w:trHeight w:val="475"/>
        </w:trPr>
        <w:tc>
          <w:tcPr>
            <w:tcBorders>
              <w:top w:val="single" w:color="000000" w:sz="4" w:space="0"/>
              <w:left w:val="single" w:color="000000" w:sz="4" w:space="0"/>
              <w:bottom w:val="single" w:color="000000" w:sz="4" w:space="0"/>
            </w:tcBorders>
            <w:tcW w:w="5025"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483" w:type="dxa"/>
            <w:vAlign w:val="center"/>
            <w:textDirection w:val="lrTb"/>
            <w:noWrap w:val="false"/>
          </w:tcPr>
          <w:p>
            <w:pPr>
              <w:pStyle w:val="940"/>
              <w:jc w:val="center"/>
              <w:rPr>
                <w:color w:val="000000"/>
              </w:rPr>
            </w:pPr>
            <w:r>
              <w:rPr>
                <w:color w:val="000000"/>
              </w:rPr>
              <w:t xml:space="preserve">2</w:t>
            </w:r>
            <w:r/>
          </w:p>
        </w:tc>
        <w:tc>
          <w:tcPr>
            <w:tcBorders>
              <w:left w:val="single" w:color="000000" w:sz="4" w:space="0"/>
              <w:bottom w:val="single" w:color="000000" w:sz="4" w:space="0"/>
            </w:tcBorders>
            <w:tcW w:w="1618" w:type="dxa"/>
            <w:vAlign w:val="center"/>
            <w:textDirection w:val="lrTb"/>
            <w:noWrap w:val="false"/>
          </w:tcPr>
          <w:p>
            <w:pPr>
              <w:pStyle w:val="940"/>
              <w:jc w:val="center"/>
              <w:rPr>
                <w:color w:val="000000"/>
              </w:rPr>
            </w:pPr>
            <w:r>
              <w:rPr>
                <w:color w:val="000000"/>
              </w:rPr>
              <w:t xml:space="preserve">1</w:t>
            </w:r>
            <w:r/>
          </w:p>
        </w:tc>
        <w:tc>
          <w:tcPr>
            <w:tcBorders>
              <w:top w:val="single" w:color="000000" w:sz="4" w:space="0"/>
              <w:left w:val="single" w:color="000000" w:sz="4" w:space="0"/>
              <w:bottom w:val="single" w:color="000000" w:sz="4" w:space="0"/>
              <w:right w:val="single" w:color="000000" w:sz="4" w:space="0"/>
            </w:tcBorders>
            <w:tcW w:w="1607" w:type="dxa"/>
            <w:textDirection w:val="lrTb"/>
            <w:noWrap w:val="false"/>
          </w:tcPr>
          <w:p>
            <w:pPr>
              <w:pStyle w:val="940"/>
              <w:contextualSpacing/>
              <w:jc w:val="center"/>
              <w:spacing w:before="0" w:after="0"/>
              <w:rPr>
                <w:rFonts w:eastAsia="MS Mincho;ＭＳ 明朝"/>
                <w:lang w:val="en-US"/>
              </w:rPr>
            </w:pPr>
            <w:r>
              <w:rPr>
                <w:rFonts w:eastAsia="MS Mincho;ＭＳ 明朝"/>
                <w:lang w:val="en-US"/>
              </w:rPr>
              <w:t xml:space="preserve">1</w:t>
            </w:r>
            <w:r/>
          </w:p>
        </w:tc>
      </w:tr>
    </w:tbl>
    <w:p>
      <w:pPr>
        <w:pStyle w:val="940"/>
        <w:jc w:val="both"/>
        <w:tabs>
          <w:tab w:val="clear" w:pos="708" w:leader="none"/>
          <w:tab w:val="left" w:pos="709" w:leader="none"/>
        </w:tabs>
      </w:pPr>
      <w:r/>
      <w:r/>
    </w:p>
    <w:p>
      <w:pPr>
        <w:pStyle w:val="943"/>
        <w:numPr>
          <w:ilvl w:val="0"/>
          <w:numId w:val="0"/>
        </w:numPr>
        <w:ind w:left="0" w:firstLine="0"/>
        <w:jc w:val="both"/>
        <w:spacing w:before="0" w:after="0"/>
        <w:tabs>
          <w:tab w:val="left" w:pos="142" w:leader="none"/>
          <w:tab w:val="clear" w:pos="708" w:leader="none"/>
        </w:tabs>
        <w:rPr>
          <w:lang w:val="ru-RU"/>
        </w:rPr>
      </w:pPr>
      <w:r>
        <w:rPr>
          <w:lang w:val="ru-RU"/>
        </w:rPr>
      </w:r>
      <w:r/>
    </w:p>
    <w:p>
      <w:pPr>
        <w:pStyle w:val="940"/>
        <w:rPr>
          <w:lang w:val="ru-RU"/>
        </w:rPr>
      </w:pPr>
      <w:r>
        <w:rPr>
          <w:lang w:val="ru-RU"/>
        </w:rPr>
      </w:r>
      <w:r/>
    </w:p>
    <w:p>
      <w:pPr>
        <w:pStyle w:val="943"/>
        <w:numPr>
          <w:ilvl w:val="0"/>
          <w:numId w:val="0"/>
        </w:numPr>
        <w:ind w:left="0" w:firstLine="0"/>
        <w:jc w:val="both"/>
        <w:spacing w:before="0" w:after="0"/>
        <w:tabs>
          <w:tab w:val="left" w:pos="142" w:leader="none"/>
          <w:tab w:val="clear" w:pos="708" w:leader="none"/>
        </w:tabs>
        <w:rPr>
          <w:lang w:val="ru-RU"/>
        </w:rPr>
      </w:pPr>
      <w:r>
        <w:rPr>
          <w:lang w:val="ru-RU"/>
        </w:rPr>
      </w:r>
      <w:r/>
    </w:p>
    <w:p>
      <w:pPr>
        <w:pStyle w:val="940"/>
        <w:rPr>
          <w:lang w:val="ru-RU"/>
        </w:rPr>
      </w:pPr>
      <w:r>
        <w:rPr>
          <w:lang w:val="ru-RU"/>
        </w:rPr>
      </w:r>
      <w:r/>
    </w:p>
    <w:p>
      <w:pPr>
        <w:pStyle w:val="943"/>
        <w:jc w:val="both"/>
        <w:spacing w:before="0" w:after="0"/>
        <w:tabs>
          <w:tab w:val="left" w:pos="142" w:leader="none"/>
          <w:tab w:val="clear" w:pos="708" w:leader="none"/>
        </w:tabs>
      </w:pPr>
      <w:r/>
      <w:r/>
    </w:p>
    <w:p>
      <w:pPr>
        <w:pStyle w:val="943"/>
        <w:jc w:val="both"/>
        <w:spacing w:before="0" w:after="0"/>
        <w:tabs>
          <w:tab w:val="left" w:pos="142" w:leader="none"/>
          <w:tab w:val="clear" w:pos="708" w:leader="none"/>
        </w:tabs>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подготовки:</w:t>
      </w:r>
      <w:r/>
    </w:p>
    <w:p>
      <w:pPr>
        <w:pStyle w:val="943"/>
      </w:pPr>
      <w:r>
        <w:rPr>
          <w:rFonts w:ascii="Times New Roman" w:hAnsi="Times New Roman" w:cs="Times New Roman" w:eastAsia="Times New Roman"/>
          <w:b w:val="0"/>
          <w:bCs w:val="0"/>
          <w:lang w:val="ru-RU"/>
        </w:rPr>
        <w:t xml:space="preserve">        </w:t>
      </w: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 </w:t>
      </w:r>
      <w:r/>
    </w:p>
    <w:p>
      <w:pPr>
        <w:pStyle w:val="1409"/>
        <w:keepNext/>
        <w:rPr>
          <w:sz w:val="24"/>
          <w:szCs w:val="24"/>
        </w:rPr>
      </w:pPr>
      <w:r>
        <w:rPr>
          <w:sz w:val="24"/>
          <w:szCs w:val="24"/>
        </w:rP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31"/>
        <w:gridCol w:w="1165"/>
        <w:gridCol w:w="1165"/>
        <w:gridCol w:w="1165"/>
        <w:gridCol w:w="1166"/>
        <w:gridCol w:w="1166"/>
        <w:gridCol w:w="1166"/>
        <w:gridCol w:w="1235"/>
      </w:tblGrid>
      <w:tr>
        <w:trPr>
          <w:cantSplit/>
          <w:trHeight w:val="1045"/>
          <w:tblHeader/>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65"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16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19"/>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7,2</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20,0</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19,8</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26,7</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1090"/>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50,5</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72,0</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61,3</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66,7</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807"/>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35,3</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8,0</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12,6</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37,5</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6,7</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819"/>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6,9</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6,3</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12,5</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r>
      <w:tr>
        <w:trPr>
          <w:cantSplit/>
          <w:trHeight w:val="538"/>
        </w:trPr>
        <w:tc>
          <w:tcPr>
            <w:tcBorders>
              <w:top w:val="single" w:color="000000" w:sz="4" w:space="0"/>
              <w:left w:val="single" w:color="000000" w:sz="4" w:space="0"/>
              <w:bottom w:val="single" w:color="000000" w:sz="4" w:space="0"/>
            </w:tcBorders>
            <w:tcW w:w="143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6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16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23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3"/>
      </w:pPr>
      <w:r/>
      <w:r/>
    </w:p>
    <w:p>
      <w:pPr>
        <w:pStyle w:val="943"/>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940"/>
        <w:rPr>
          <w:b/>
          <w:bCs/>
          <w:lang w:val="en-US"/>
        </w:rPr>
      </w:pPr>
      <w:r>
        <w:rPr>
          <w:b/>
          <w:bCs/>
          <w:lang w:val="en-US"/>
        </w:rPr>
      </w:r>
      <w:r/>
    </w:p>
    <w:p>
      <w:pPr>
        <w:pStyle w:val="1409"/>
        <w:keepNext/>
        <w:rPr>
          <w:rFonts w:eastAsia="Times New Roman"/>
        </w:rPr>
      </w:pPr>
      <w:r>
        <w:t xml:space="preserve">Таблица 2</w:t>
        <w:noBreakHyphen/>
        <w:t xml:space="preserve">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699"/>
        <w:gridCol w:w="1691"/>
        <w:gridCol w:w="1691"/>
        <w:gridCol w:w="1489"/>
        <w:gridCol w:w="1489"/>
        <w:gridCol w:w="1707"/>
      </w:tblGrid>
      <w:tr>
        <w:trPr>
          <w:trHeight w:val="340"/>
        </w:trPr>
        <w:tc>
          <w:tcPr>
            <w:tcBorders>
              <w:top w:val="single" w:color="000000" w:sz="4" w:space="0"/>
              <w:left w:val="single" w:color="000000" w:sz="4" w:space="0"/>
              <w:bottom w:val="single" w:color="000000" w:sz="4" w:space="0"/>
            </w:tcBorders>
            <w:tcW w:w="1699"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36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707"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727"/>
        </w:trPr>
        <w:tc>
          <w:tcPr>
            <w:tcBorders>
              <w:top w:val="single" w:color="000000" w:sz="4" w:space="0"/>
              <w:left w:val="single" w:color="000000" w:sz="4" w:space="0"/>
              <w:bottom w:val="single" w:color="000000" w:sz="4" w:space="0"/>
            </w:tcBorders>
            <w:tcW w:w="1699"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707" w:type="dxa"/>
            <w:vAlign w:val="bottom"/>
            <w:vMerge w:val="continue"/>
            <w:textDirection w:val="lrTb"/>
            <w:noWrap w:val="false"/>
          </w:tcPr>
          <w:p>
            <w:pPr>
              <w:pStyle w:val="940"/>
              <w:rPr>
                <w:rFonts w:eastAsia="Times New Roman"/>
              </w:rPr>
            </w:pPr>
            <w:r>
              <w:rPr>
                <w:rFonts w:eastAsia="Times New Roman"/>
              </w:rPr>
            </w:r>
            <w:r/>
          </w:p>
        </w:tc>
      </w:tr>
      <w:tr>
        <w:trPr>
          <w:trHeight w:val="466"/>
        </w:trPr>
        <w:tc>
          <w:tcPr>
            <w:tcBorders>
              <w:left w:val="single" w:color="000000" w:sz="4" w:space="0"/>
              <w:bottom w:val="single" w:color="000000" w:sz="4" w:space="0"/>
            </w:tcBorders>
            <w:tcW w:w="1699" w:type="dxa"/>
            <w:vAlign w:val="bottom"/>
            <w:textDirection w:val="lrTb"/>
            <w:noWrap w:val="false"/>
          </w:tcPr>
          <w:p>
            <w:pPr>
              <w:pStyle w:val="940"/>
              <w:rPr>
                <w:rFonts w:eastAsia="Times New Roman"/>
              </w:rPr>
            </w:pPr>
            <w:r>
              <w:rPr>
                <w:rFonts w:eastAsia="Times New Roman"/>
              </w:rPr>
              <w:t xml:space="preserve">СОШ</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8,3</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54,0</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33,2</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4,5</w:t>
            </w:r>
            <w:r/>
          </w:p>
          <w:p>
            <w:pPr>
              <w:pStyle w:val="940"/>
              <w:jc w:val="center"/>
              <w:rPr>
                <w:rFonts w:eastAsia="Times New Roman"/>
              </w:rPr>
            </w:pPr>
            <w:r>
              <w:rPr>
                <w:rFonts w:eastAsia="Times New Roman"/>
              </w:rPr>
            </w:r>
            <w:r/>
          </w:p>
        </w:tc>
        <w:tc>
          <w:tcPr>
            <w:tcBorders>
              <w:left w:val="single" w:color="000000" w:sz="4" w:space="0"/>
              <w:bottom w:val="single" w:color="000000" w:sz="4" w:space="0"/>
              <w:right w:val="single" w:color="000000" w:sz="4" w:space="0"/>
            </w:tcBorders>
            <w:tcW w:w="1707" w:type="dxa"/>
            <w:vAlign w:val="bottom"/>
            <w:textDirection w:val="lrTb"/>
            <w:noWrap w:val="false"/>
          </w:tcPr>
          <w:p>
            <w:pPr>
              <w:pStyle w:val="940"/>
              <w:jc w:val="center"/>
              <w:rPr>
                <w:rFonts w:eastAsia="Times New Roman"/>
              </w:rPr>
            </w:pPr>
            <w:r>
              <w:rPr>
                <w:rFonts w:eastAsia="Times New Roman"/>
              </w:rPr>
              <w:t xml:space="preserve">0</w:t>
            </w:r>
            <w:r/>
          </w:p>
        </w:tc>
      </w:tr>
      <w:tr>
        <w:trPr>
          <w:trHeight w:val="340"/>
        </w:trPr>
        <w:tc>
          <w:tcPr>
            <w:tcBorders>
              <w:left w:val="single" w:color="000000" w:sz="4" w:space="0"/>
              <w:bottom w:val="single" w:color="000000" w:sz="4" w:space="0"/>
            </w:tcBorders>
            <w:tcW w:w="1699" w:type="dxa"/>
            <w:vAlign w:val="bottom"/>
            <w:textDirection w:val="lrTb"/>
            <w:noWrap w:val="false"/>
          </w:tcPr>
          <w:p>
            <w:pPr>
              <w:pStyle w:val="940"/>
              <w:rPr>
                <w:rFonts w:eastAsia="Times New Roman"/>
              </w:rPr>
            </w:pPr>
            <w:r>
              <w:rPr>
                <w:rFonts w:eastAsia="Times New Roman"/>
              </w:rPr>
              <w:t xml:space="preserve">Лицеи, гимназии</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1,9</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36,2</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47,3</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14,4</w:t>
            </w:r>
            <w:r/>
          </w:p>
          <w:p>
            <w:pPr>
              <w:pStyle w:val="940"/>
              <w:jc w:val="center"/>
              <w:rPr>
                <w:rFonts w:eastAsia="Times New Roman"/>
              </w:rPr>
            </w:pPr>
            <w:r>
              <w:rPr>
                <w:rFonts w:eastAsia="Times New Roman"/>
              </w:rPr>
            </w:r>
            <w:r/>
          </w:p>
        </w:tc>
        <w:tc>
          <w:tcPr>
            <w:tcBorders>
              <w:left w:val="single" w:color="000000" w:sz="4" w:space="0"/>
              <w:bottom w:val="single" w:color="000000" w:sz="4" w:space="0"/>
              <w:right w:val="single" w:color="000000" w:sz="4" w:space="0"/>
            </w:tcBorders>
            <w:tcW w:w="1707" w:type="dxa"/>
            <w:vAlign w:val="bottom"/>
            <w:textDirection w:val="lrTb"/>
            <w:noWrap w:val="false"/>
          </w:tcPr>
          <w:p>
            <w:pPr>
              <w:pStyle w:val="940"/>
              <w:jc w:val="center"/>
              <w:rPr>
                <w:rFonts w:eastAsia="Times New Roman"/>
              </w:rPr>
            </w:pPr>
            <w:r>
              <w:rPr>
                <w:rFonts w:eastAsia="Times New Roman"/>
              </w:rPr>
              <w:t xml:space="preserve">1</w:t>
            </w:r>
            <w:r/>
          </w:p>
        </w:tc>
      </w:tr>
      <w:tr>
        <w:trPr>
          <w:trHeight w:val="469"/>
        </w:trPr>
        <w:tc>
          <w:tcPr>
            <w:tcBorders>
              <w:left w:val="single" w:color="000000" w:sz="4" w:space="0"/>
              <w:bottom w:val="single" w:color="000000" w:sz="4" w:space="0"/>
            </w:tcBorders>
            <w:tcW w:w="1699" w:type="dxa"/>
            <w:vAlign w:val="bottom"/>
            <w:textDirection w:val="lrTb"/>
            <w:noWrap w:val="false"/>
          </w:tcPr>
          <w:p>
            <w:pPr>
              <w:pStyle w:val="940"/>
              <w:rPr>
                <w:rFonts w:eastAsia="Times New Roman"/>
              </w:rPr>
            </w:pPr>
            <w:r>
              <w:rPr>
                <w:rFonts w:eastAsia="Times New Roman"/>
              </w:rPr>
              <w:t xml:space="preserve">О(c)ОШ</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50,0</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50,0</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0,0</w:t>
            </w:r>
            <w:r/>
          </w:p>
          <w:p>
            <w:pPr>
              <w:pStyle w:val="940"/>
              <w:jc w:val="center"/>
              <w:rPr>
                <w:rFonts w:eastAsia="Times New Roman"/>
              </w:rPr>
            </w:pPr>
            <w:r>
              <w:rPr>
                <w:rFonts w:eastAsia="Times New Roman"/>
              </w:rPr>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0,0</w:t>
            </w:r>
            <w:r/>
          </w:p>
          <w:p>
            <w:pPr>
              <w:pStyle w:val="940"/>
              <w:jc w:val="center"/>
              <w:rPr>
                <w:rFonts w:eastAsia="Times New Roman"/>
              </w:rPr>
            </w:pPr>
            <w:r>
              <w:rPr>
                <w:rFonts w:eastAsia="Times New Roman"/>
              </w:rPr>
            </w:r>
            <w:r/>
          </w:p>
        </w:tc>
        <w:tc>
          <w:tcPr>
            <w:tcBorders>
              <w:left w:val="single" w:color="000000" w:sz="4" w:space="0"/>
              <w:bottom w:val="single" w:color="000000" w:sz="4" w:space="0"/>
              <w:right w:val="single" w:color="000000" w:sz="4" w:space="0"/>
            </w:tcBorders>
            <w:tcW w:w="1707" w:type="dxa"/>
            <w:vAlign w:val="bottom"/>
            <w:textDirection w:val="lrTb"/>
            <w:noWrap w:val="false"/>
          </w:tcPr>
          <w:p>
            <w:pPr>
              <w:pStyle w:val="940"/>
              <w:jc w:val="center"/>
              <w:rPr>
                <w:rFonts w:eastAsia="Times New Roman"/>
              </w:rPr>
            </w:pPr>
            <w:r>
              <w:rPr>
                <w:rFonts w:eastAsia="Times New Roman"/>
              </w:rPr>
              <w:t xml:space="preserve">0</w:t>
            </w:r>
            <w:r/>
          </w:p>
        </w:tc>
      </w:tr>
      <w:tr>
        <w:trPr>
          <w:trHeight w:val="340"/>
        </w:trPr>
        <w:tc>
          <w:tcPr>
            <w:tcBorders>
              <w:left w:val="single" w:color="000000" w:sz="4" w:space="0"/>
              <w:bottom w:val="single" w:color="000000" w:sz="4" w:space="0"/>
            </w:tcBorders>
            <w:tcW w:w="1699"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10,8</w:t>
            </w:r>
            <w:r/>
          </w:p>
        </w:tc>
        <w:tc>
          <w:tcPr>
            <w:tcBorders>
              <w:left w:val="single" w:color="000000" w:sz="4" w:space="0"/>
              <w:bottom w:val="single" w:color="000000" w:sz="4" w:space="0"/>
            </w:tcBorders>
            <w:tcW w:w="1691" w:type="dxa"/>
            <w:vAlign w:val="bottom"/>
            <w:textDirection w:val="lrTb"/>
            <w:noWrap w:val="false"/>
          </w:tcPr>
          <w:p>
            <w:pPr>
              <w:pStyle w:val="940"/>
              <w:jc w:val="center"/>
              <w:rPr>
                <w:rFonts w:eastAsia="Times New Roman"/>
              </w:rPr>
            </w:pPr>
            <w:r>
              <w:rPr>
                <w:rFonts w:eastAsia="Times New Roman"/>
              </w:rPr>
              <w:t xml:space="preserve">59,2</w:t>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20,8</w:t>
            </w:r>
            <w:r/>
          </w:p>
        </w:tc>
        <w:tc>
          <w:tcPr>
            <w:tcBorders>
              <w:left w:val="single" w:color="000000" w:sz="4" w:space="0"/>
              <w:bottom w:val="single" w:color="000000" w:sz="4" w:space="0"/>
            </w:tcBorders>
            <w:tcW w:w="1489" w:type="dxa"/>
            <w:vAlign w:val="bottom"/>
            <w:textDirection w:val="lrTb"/>
            <w:noWrap w:val="false"/>
          </w:tcPr>
          <w:p>
            <w:pPr>
              <w:pStyle w:val="940"/>
              <w:jc w:val="center"/>
              <w:rPr>
                <w:rFonts w:eastAsia="Times New Roman"/>
              </w:rPr>
            </w:pPr>
            <w:r>
              <w:rPr>
                <w:rFonts w:eastAsia="Times New Roman"/>
              </w:rPr>
              <w:t xml:space="preserve">9,2</w:t>
            </w:r>
            <w:r/>
          </w:p>
        </w:tc>
        <w:tc>
          <w:tcPr>
            <w:tcBorders>
              <w:left w:val="single" w:color="000000" w:sz="4" w:space="0"/>
              <w:bottom w:val="single" w:color="000000" w:sz="4" w:space="0"/>
              <w:right w:val="single" w:color="000000" w:sz="4" w:space="0"/>
            </w:tcBorders>
            <w:tcW w:w="1707"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pPr>
      <w:r/>
      <w:r/>
    </w:p>
    <w:p>
      <w:pPr>
        <w:pStyle w:val="943"/>
      </w:pPr>
      <w:r>
        <w:rPr>
          <w:rFonts w:ascii="Times New Roman" w:hAnsi="Times New Roman" w:cs="Times New Roman" w:eastAsia="Times New Roman"/>
          <w:b w:val="0"/>
          <w:bCs w:val="0"/>
          <w:lang w:val="ru-RU"/>
        </w:rPr>
        <w:t xml:space="preserve">        </w:t>
      </w: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1409"/>
        <w:keepNext/>
        <w:rPr>
          <w:rFonts w:eastAsia="Times New Roman"/>
        </w:rPr>
      </w:pPr>
      <w:r>
        <w:t xml:space="preserve">Таблица 2</w:t>
        <w:noBreakHyphen/>
        <w:t xml:space="preserve">10</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854"/>
        <w:gridCol w:w="1660"/>
        <w:gridCol w:w="1660"/>
        <w:gridCol w:w="1529"/>
        <w:gridCol w:w="1459"/>
        <w:gridCol w:w="1604"/>
      </w:tblGrid>
      <w:tr>
        <w:trPr>
          <w:trHeight w:val="222"/>
        </w:trPr>
        <w:tc>
          <w:tcPr>
            <w:tcBorders>
              <w:top w:val="single" w:color="000000" w:sz="4" w:space="0"/>
              <w:left w:val="single" w:color="000000" w:sz="4" w:space="0"/>
              <w:bottom w:val="single" w:color="000000" w:sz="4" w:space="0"/>
            </w:tcBorders>
            <w:tcW w:w="1854"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308"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04"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37"/>
        </w:trPr>
        <w:tc>
          <w:tcPr>
            <w:tcBorders>
              <w:top w:val="single" w:color="000000" w:sz="4" w:space="0"/>
              <w:left w:val="single" w:color="000000" w:sz="4" w:space="0"/>
              <w:bottom w:val="single" w:color="000000" w:sz="4" w:space="0"/>
            </w:tcBorders>
            <w:tcW w:w="1854"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04" w:type="dxa"/>
            <w:vAlign w:val="bottom"/>
            <w:vMerge w:val="continue"/>
            <w:textDirection w:val="lrTb"/>
            <w:noWrap w:val="false"/>
          </w:tcPr>
          <w:p>
            <w:pPr>
              <w:pStyle w:val="940"/>
              <w:rPr>
                <w:rFonts w:eastAsia="Times New Roman"/>
              </w:rPr>
            </w:pPr>
            <w:r>
              <w:rPr>
                <w:rFonts w:eastAsia="Times New Roman"/>
              </w:rPr>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6,7</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45,6</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38,4</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9,2</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1</w:t>
            </w:r>
            <w:r/>
          </w:p>
        </w:tc>
      </w:tr>
      <w:tr>
        <w:trPr>
          <w:trHeight w:val="222"/>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15,4</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59,2</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21,7</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3,7</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6,3</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62,1</w:t>
            </w:r>
            <w:r/>
          </w:p>
        </w:tc>
        <w:tc>
          <w:tcPr>
            <w:tcBorders>
              <w:left w:val="single" w:color="000000" w:sz="4" w:space="0"/>
              <w:bottom w:val="single" w:color="000000" w:sz="4" w:space="0"/>
            </w:tcBorders>
            <w:tcW w:w="1529" w:type="dxa"/>
            <w:vAlign w:val="bottom"/>
            <w:textDirection w:val="lrTb"/>
            <w:noWrap w:val="false"/>
          </w:tcPr>
          <w:p>
            <w:pPr>
              <w:pStyle w:val="940"/>
              <w:jc w:val="center"/>
            </w:pPr>
            <w:r>
              <w:rPr>
                <w:rFonts w:eastAsia="Times New Roman"/>
              </w:rPr>
              <w:t xml:space="preserve">27,4</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4,2</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6,2</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50,8</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36,9</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6,2</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62,5</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37,5</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8,9</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64,4</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26,7</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40,7</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9,3</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2,4</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52,4</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45,2</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2,7</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59,5</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35,1</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2,7</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60,9</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37,0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2,2</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3,3</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38,3</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55,0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3,3</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5,7</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67,1</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21,4</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5,7</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59,3</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37,0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3,7</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19,8</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61,3</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12,6</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6,3</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ИОО</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Выпускники ОО других регионов</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60" w:type="dxa"/>
            <w:vAlign w:val="bottom"/>
            <w:textDirection w:val="lrTb"/>
            <w:noWrap w:val="false"/>
          </w:tcPr>
          <w:p>
            <w:pPr>
              <w:pStyle w:val="940"/>
              <w:jc w:val="center"/>
            </w:pPr>
            <w:r>
              <w:rPr>
                <w:rFonts w:eastAsia="Times New Roman"/>
              </w:rPr>
              <w:t xml:space="preserve">20,0</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72,0</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8,0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54"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26,7</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529" w:type="dxa"/>
            <w:vAlign w:val="bottom"/>
            <w:textDirection w:val="lrTb"/>
            <w:noWrap w:val="false"/>
          </w:tcPr>
          <w:p>
            <w:pPr>
              <w:pStyle w:val="940"/>
              <w:jc w:val="center"/>
              <w:rPr>
                <w:rFonts w:eastAsia="Times New Roman"/>
              </w:rPr>
            </w:pPr>
            <w:r>
              <w:rPr>
                <w:rFonts w:eastAsia="Times New Roman"/>
              </w:rPr>
              <w:t xml:space="preserve">6,7</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4"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pPr>
      <w:r/>
      <w:r/>
    </w:p>
    <w:p>
      <w:pPr>
        <w:pStyle w:val="943"/>
        <w:jc w:val="both"/>
        <w:tabs>
          <w:tab w:val="left" w:pos="142" w:leader="none"/>
          <w:tab w:val="clear" w:pos="708" w:leader="none"/>
        </w:tabs>
      </w:pPr>
      <w:r>
        <w:rPr>
          <w:rFonts w:ascii="Times New Roman" w:hAnsi="Times New Roman" w:cs="Times New Roman"/>
          <w:lang w:val="ru-RU"/>
        </w:rPr>
        <w:t xml:space="preserve">2.4. </w:t>
      </w: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Перечень</w:t>
      </w:r>
      <w:r>
        <w:rPr>
          <w:rFonts w:ascii="Times New Roman" w:hAnsi="Times New Roman" w:cs="Times New Roman"/>
          <w:b w:val="0"/>
          <w:bCs w:val="0"/>
        </w:rPr>
        <w:t xml:space="preserve"> ОО, продемонстрировавших наиболее высокие результаты ЕГЭ по предмету</w:t>
      </w:r>
      <w:r/>
    </w:p>
    <w:p>
      <w:pPr>
        <w:pStyle w:val="1409"/>
        <w:keepNext/>
      </w:pPr>
      <w:r>
        <w:t xml:space="preserve">Таблица 2</w:t>
        <w:noBreakHyphen/>
        <w:t xml:space="preserve">11</w:t>
      </w:r>
      <w:r/>
    </w:p>
    <w:tbl>
      <w:tblPr>
        <w:tblW w:w="9690" w:type="dxa"/>
        <w:tblInd w:w="-5" w:type="dxa"/>
        <w:tblLayout w:type="fixed"/>
        <w:tblCellMar>
          <w:left w:w="108" w:type="dxa"/>
          <w:top w:w="0" w:type="dxa"/>
          <w:right w:w="108" w:type="dxa"/>
          <w:bottom w:w="0" w:type="dxa"/>
        </w:tblCellMar>
        <w:tblLook w:val="04A0" w:firstRow="1" w:lastRow="0" w:firstColumn="1" w:lastColumn="0" w:noHBand="0" w:noVBand="1"/>
      </w:tblPr>
      <w:tblGrid>
        <w:gridCol w:w="567"/>
        <w:gridCol w:w="4395"/>
        <w:gridCol w:w="1500"/>
        <w:gridCol w:w="1500"/>
        <w:gridCol w:w="1728"/>
      </w:tblGrid>
      <w:tr>
        <w:trPr>
          <w:trHeight w:val="1410"/>
        </w:trPr>
        <w:tc>
          <w:tcPr>
            <w:tcBorders>
              <w:top w:val="single" w:color="000000" w:sz="4" w:space="0"/>
              <w:left w:val="single" w:color="000000" w:sz="4" w:space="0"/>
              <w:bottom w:val="single" w:color="000000" w:sz="4" w:space="0"/>
            </w:tcBorders>
            <w:tcW w:w="567" w:type="dxa"/>
            <w:textDirection w:val="lrTb"/>
            <w:noWrap w:val="false"/>
          </w:tcPr>
          <w:p>
            <w:pPr>
              <w:pStyle w:val="940"/>
              <w:rPr>
                <w:bCs/>
              </w:rPr>
            </w:pPr>
            <w:r>
              <w:rPr>
                <w:bCs/>
              </w:rPr>
              <w:t xml:space="preserve">№</w:t>
            </w:r>
            <w:r/>
          </w:p>
        </w:tc>
        <w:tc>
          <w:tcPr>
            <w:tcBorders>
              <w:top w:val="single" w:color="000000" w:sz="4" w:space="0"/>
              <w:left w:val="single" w:color="000000" w:sz="4" w:space="0"/>
              <w:bottom w:val="single" w:color="000000" w:sz="4" w:space="0"/>
            </w:tcBorders>
            <w:tcW w:w="4395" w:type="dxa"/>
            <w:textDirection w:val="lrTb"/>
            <w:noWrap w:val="false"/>
          </w:tcPr>
          <w:p>
            <w:pPr>
              <w:pStyle w:val="940"/>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500" w:type="dxa"/>
            <w:textDirection w:val="lrTb"/>
            <w:noWrap w:val="false"/>
          </w:tcPr>
          <w:p>
            <w:pPr>
              <w:pStyle w:val="940"/>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00" w:type="dxa"/>
            <w:textDirection w:val="lrTb"/>
            <w:noWrap w:val="false"/>
          </w:tcPr>
          <w:p>
            <w:pPr>
              <w:pStyle w:val="940"/>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1</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ФГКОУ АСВУ МВД России</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40,0</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40,0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2</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ГБОУ АО "Школа-интернат одаренных детей им. А.П.Гужвина"</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38,9</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50,0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3</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ГБОУ АО "Астраханский технический лицей"</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36,4</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61,0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МКОУ "Лицей №1 им. А.П. Гужвина г. Камызяк"</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16,7</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58,3</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5</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МБОУ "Володарская СОШ № 1"</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16,7</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50,0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6</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МБОУ г.Астрахани "СОШ №35"</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15,4</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53,8</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7</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МБОУ г. Астрахани "Гимназия №3"</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14,5</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44,9</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8</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МКОУ ЗАТО Знаменск СОШ №236</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13,3</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46,7</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567" w:type="dxa"/>
            <w:textDirection w:val="lrTb"/>
            <w:noWrap w:val="false"/>
          </w:tcPr>
          <w:p>
            <w:pPr>
              <w:pStyle w:val="940"/>
            </w:pPr>
            <w:r>
              <w:t xml:space="preserve">9</w:t>
            </w:r>
            <w:r/>
          </w:p>
        </w:tc>
        <w:tc>
          <w:tcPr>
            <w:tcBorders>
              <w:top w:val="single" w:color="000000" w:sz="4" w:space="0"/>
              <w:left w:val="single" w:color="000000" w:sz="4" w:space="0"/>
              <w:bottom w:val="single" w:color="000000" w:sz="4" w:space="0"/>
            </w:tcBorders>
            <w:tcW w:w="4395" w:type="dxa"/>
            <w:textDirection w:val="lrTb"/>
            <w:noWrap w:val="false"/>
          </w:tcPr>
          <w:p>
            <w:pPr>
              <w:pStyle w:val="940"/>
            </w:pPr>
            <w:r>
              <w:t xml:space="preserve">МБОУ г.Астрахани "Гимназия № 1"</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12,5</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50,0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bl>
    <w:p>
      <w:pPr>
        <w:pStyle w:val="940"/>
      </w:pPr>
      <w:r/>
      <w:r/>
    </w:p>
    <w:p>
      <w:pPr>
        <w:pStyle w:val="943"/>
        <w:jc w:val="both"/>
      </w:pPr>
      <w:r>
        <w:rPr>
          <w:rFonts w:ascii="Times New Roman" w:hAnsi="Times New Roman" w:cs="Times New Roman" w:eastAsia="Times New Roman"/>
          <w:b w:val="0"/>
          <w:bCs w:val="0"/>
        </w:rPr>
        <w:t xml:space="preserve"> </w:t>
      </w:r>
      <w:r>
        <w:rPr>
          <w:rFonts w:ascii="Times New Roman" w:hAnsi="Times New Roman" w:cs="Times New Roman" w:eastAsia="Times New Roman"/>
          <w:bCs w:val="0"/>
          <w:lang w:val="ru-RU"/>
        </w:rPr>
        <w:t xml:space="preserve">2.4.2.</w:t>
      </w: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Перечень</w:t>
      </w:r>
      <w:r>
        <w:rPr>
          <w:rFonts w:ascii="Times New Roman" w:hAnsi="Times New Roman" w:cs="Times New Roman"/>
          <w:b w:val="0"/>
          <w:bCs w:val="0"/>
        </w:rPr>
        <w:t xml:space="preserve"> ОО, продемонстрировавших низкие результаты ЕГЭ по предмету</w:t>
      </w:r>
      <w:r/>
    </w:p>
    <w:p>
      <w:pPr>
        <w:pStyle w:val="1409"/>
        <w:keepNext/>
        <w:rPr>
          <w:rFonts w:eastAsia="Times New Roman"/>
          <w:color w:val="000000"/>
        </w:rPr>
      </w:pPr>
      <w:r>
        <w:rPr>
          <w:rFonts w:eastAsia="Times New Roman"/>
          <w:color w:val="000000"/>
        </w:rPr>
        <w:t xml:space="preserve">Таблица 2</w:t>
        <w:noBreakHyphen/>
        <w:t xml:space="preserve">12</w:t>
      </w:r>
      <w:r/>
    </w:p>
    <w:tbl>
      <w:tblPr>
        <w:tblW w:w="9685" w:type="dxa"/>
        <w:tblInd w:w="-5" w:type="dxa"/>
        <w:tblLayout w:type="fixed"/>
        <w:tblCellMar>
          <w:left w:w="108" w:type="dxa"/>
          <w:top w:w="0" w:type="dxa"/>
          <w:right w:w="108" w:type="dxa"/>
          <w:bottom w:w="0" w:type="dxa"/>
        </w:tblCellMar>
        <w:tblLook w:val="04A0" w:firstRow="1" w:lastRow="0" w:firstColumn="1" w:lastColumn="0" w:noHBand="0" w:noVBand="1"/>
      </w:tblPr>
      <w:tblGrid>
        <w:gridCol w:w="562"/>
        <w:gridCol w:w="4395"/>
        <w:gridCol w:w="1708"/>
        <w:gridCol w:w="1500"/>
        <w:gridCol w:w="1520"/>
      </w:tblGrid>
      <w:tr>
        <w:trPr>
          <w:trHeight w:val="1435"/>
        </w:trPr>
        <w:tc>
          <w:tcPr>
            <w:tcBorders>
              <w:top w:val="single" w:color="000000" w:sz="4" w:space="0"/>
              <w:left w:val="single" w:color="000000" w:sz="4" w:space="0"/>
              <w:bottom w:val="single" w:color="000000" w:sz="4" w:space="0"/>
            </w:tcBorders>
            <w:tcW w:w="562"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4395"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70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00"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520"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"СОШ №5 МО "Ахтубинский район"</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63,6</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"СОШ №12 МО "Ахтубинский район"</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43,8</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6,3</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54"</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36,4</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27,3</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"СОШ № 2 МО "Ахтубинский район"</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33,3</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13,3</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28"</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27,5</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7,5</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6</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ГБОУ АО "АКШИ им. П.О. Сухого"</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17,1</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8,5</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562" w:type="dxa"/>
            <w:vAlign w:val="bottom"/>
            <w:textDirection w:val="lrTb"/>
            <w:noWrap w:val="false"/>
          </w:tcPr>
          <w:p>
            <w:pPr>
              <w:pStyle w:val="940"/>
              <w:jc w:val="center"/>
              <w:rPr>
                <w:rFonts w:eastAsia="Times New Roman"/>
                <w:color w:val="000000"/>
              </w:rPr>
            </w:pPr>
            <w:r>
              <w:rPr>
                <w:rFonts w:eastAsia="Times New Roman"/>
                <w:color w:val="000000"/>
              </w:rPr>
              <w:t xml:space="preserve">7</w:t>
            </w:r>
            <w:r/>
          </w:p>
        </w:tc>
        <w:tc>
          <w:tcPr>
            <w:tcBorders>
              <w:left w:val="single" w:color="000000" w:sz="4" w:space="0"/>
              <w:bottom w:val="single" w:color="000000" w:sz="4" w:space="0"/>
            </w:tcBorders>
            <w:tcW w:w="4395" w:type="dxa"/>
            <w:vAlign w:val="bottom"/>
            <w:textDirection w:val="lrTb"/>
            <w:noWrap w:val="false"/>
          </w:tcPr>
          <w:p>
            <w:pPr>
              <w:pStyle w:val="940"/>
              <w:rPr>
                <w:rFonts w:eastAsia="Times New Roman"/>
                <w:color w:val="000000"/>
              </w:rPr>
            </w:pPr>
            <w:r>
              <w:rPr>
                <w:rFonts w:eastAsia="Times New Roman"/>
                <w:color w:val="000000"/>
              </w:rPr>
              <w:t xml:space="preserve">МБОУ "Нижнебаскунчакская СОШ МО "Ахтубинский район" имени К. К. Искалиева"</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color w:val="000000"/>
              </w:rPr>
            </w:pPr>
            <w:r>
              <w:rPr>
                <w:rFonts w:eastAsia="Times New Roman"/>
                <w:color w:val="000000"/>
              </w:rPr>
              <w:t xml:space="preserve">10,0</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52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3"/>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940"/>
        <w:ind w:firstLine="708"/>
        <w:jc w:val="both"/>
      </w:pPr>
      <w:r>
        <w:t xml:space="preserve">В 2021 году 8,1% участников не преодолели минимального балла, что на 4,1% меньше, чем в 2020 году (12,2%), </w:t>
      </w:r>
      <w:r>
        <w:t xml:space="preserve">но все же в сравнении с 2019 годом на 5% больше (3,1%). Аналогичные изменения и со средним баллом. Есть незначительное увеличение в 2021 году (53,2) на 2,3 в сравнении с 2020 годом (50,9), но вместе с тем уменьшение на 1,1 по сравнению с 2019 годом (54,3).</w:t>
      </w:r>
      <w:r/>
    </w:p>
    <w:p>
      <w:pPr>
        <w:pStyle w:val="940"/>
        <w:ind w:firstLine="708"/>
        <w:jc w:val="both"/>
      </w:pPr>
      <w:r>
        <w:t xml:space="preserve">Выпускники текущего года, обучавшиеся по программам СОО, показали результаты от минимального балла до 60 – 50,5% и от 61 до 80 – 35,3%, что сравнимо с результатами прошлого года (от минимального балла до 60 – 49% и от 61 до 80 – 36,1%). Высокие</w:t>
      </w:r>
      <w:r>
        <w:t xml:space="preserve"> баллы (от 81 до 99) в этом году набрали 6,9% участников среди этой категории выпускников, что также лучше, чем в 2020 году (4,4%). Единственный участник, набравший в этом году 100 баллов, является выпускником этого года «Астраханского технического лицея».</w:t>
      </w:r>
      <w:r/>
    </w:p>
    <w:p>
      <w:pPr>
        <w:pStyle w:val="940"/>
        <w:ind w:firstLine="708"/>
        <w:jc w:val="both"/>
      </w:pPr>
      <w:r>
        <w:t xml:space="preserve">Среди ВПЛ уменьшила</w:t>
      </w:r>
      <w:r>
        <w:t xml:space="preserve">сь как доля участников, набравших балл ниже минимального, 19,8% в этом году (35,3% в 2020 году), так и доля, набравших до 60 баллов – 48,2%( 61,3% в 2020 году). Немного увеличилась доля до участников, набравших от 81 до 99 баллов – 6,3% (3,5% в 2020 году).</w:t>
      </w:r>
      <w:r/>
    </w:p>
    <w:p>
      <w:pPr>
        <w:pStyle w:val="940"/>
        <w:ind w:firstLine="708"/>
        <w:jc w:val="both"/>
      </w:pPr>
      <w:r>
        <w:t xml:space="preserve">Среди АТЕ следует отметить Камызякский и Приволжский районы, где более 50% участников получили результаты более 61 балла. В Ахтубинском районе максимальный процент участников, не набравших минимального балла – 15,4%.</w:t>
      </w:r>
      <w:r/>
    </w:p>
    <w:p>
      <w:pPr>
        <w:pStyle w:val="940"/>
        <w:keepLines/>
        <w:keepNext/>
        <w:spacing w:before="40" w:after="0"/>
        <w:tabs>
          <w:tab w:val="clear" w:pos="708" w:leader="none"/>
          <w:tab w:val="left" w:pos="1791" w:leader="none"/>
        </w:tabs>
        <w:rPr>
          <w:rFonts w:eastAsia="SimSun;宋体"/>
          <w:color w:val="365F91"/>
          <w:sz w:val="28"/>
          <w:szCs w:val="28"/>
          <w:lang w:val="en-US"/>
        </w:rPr>
      </w:pPr>
      <w:r>
        <w:rPr>
          <w:rFonts w:eastAsia="SimSun;宋体"/>
          <w:color w:val="365F91"/>
          <w:sz w:val="28"/>
          <w:szCs w:val="28"/>
          <w:lang w:val="en-US"/>
        </w:rPr>
      </w:r>
      <w:r/>
    </w:p>
    <w:p>
      <w:pPr>
        <w:pStyle w:val="940"/>
        <w:keepLines/>
        <w:keepNext/>
        <w:spacing w:before="40" w:after="0"/>
        <w:tabs>
          <w:tab w:val="clear" w:pos="708" w:leader="none"/>
          <w:tab w:val="left" w:pos="1791" w:leader="none"/>
        </w:tabs>
        <w:rPr>
          <w:rFonts w:eastAsia="SimSun;宋体"/>
          <w:color w:val="365F91"/>
          <w:sz w:val="28"/>
          <w:szCs w:val="28"/>
          <w:lang w:val="en-US"/>
        </w:rPr>
      </w:pPr>
      <w:r>
        <w:rPr>
          <w:rFonts w:eastAsia="SimSun;宋体"/>
          <w:color w:val="365F91"/>
          <w:sz w:val="28"/>
          <w:szCs w:val="28"/>
          <w:lang w:val="en-US"/>
        </w:rPr>
      </w:r>
      <w:r/>
    </w:p>
    <w:p>
      <w:pPr>
        <w:pStyle w:val="940"/>
        <w:jc w:val="center"/>
        <w:rPr>
          <w:rFonts w:eastAsia="SimSun;宋体"/>
          <w:b/>
          <w:bCs/>
          <w:color w:val="365F91"/>
          <w:sz w:val="28"/>
          <w:szCs w:val="28"/>
          <w:lang w:val="en-US"/>
        </w:rPr>
      </w:pPr>
      <w:r>
        <w:rPr>
          <w:rFonts w:eastAsia="SimSun;宋体"/>
          <w:b/>
          <w:bCs/>
          <w:color w:val="365F91"/>
          <w:sz w:val="28"/>
          <w:szCs w:val="28"/>
          <w:lang w:val="en-US"/>
        </w:rPr>
      </w:r>
      <w:r/>
    </w:p>
    <w:p>
      <w:pPr>
        <w:pStyle w:val="940"/>
        <w:jc w:val="center"/>
        <w:rPr>
          <w:rFonts w:eastAsia="SimSun;宋体"/>
          <w:b/>
          <w:bCs/>
          <w:color w:val="365F91"/>
          <w:sz w:val="28"/>
          <w:szCs w:val="28"/>
          <w:lang w:val="en-US"/>
        </w:rPr>
      </w:pPr>
      <w:r>
        <w:rPr>
          <w:rFonts w:eastAsia="SimSun;宋体"/>
          <w:b/>
          <w:bCs/>
          <w:color w:val="365F91"/>
          <w:sz w:val="28"/>
          <w:szCs w:val="28"/>
          <w:lang w:val="en-US"/>
        </w:rPr>
      </w:r>
      <w:r/>
    </w:p>
    <w:p>
      <w:pPr>
        <w:pStyle w:val="940"/>
        <w:jc w:val="center"/>
        <w:rPr>
          <w:b/>
          <w:bCs/>
          <w:sz w:val="28"/>
          <w:szCs w:val="28"/>
        </w:rPr>
      </w:pPr>
      <w:r>
        <w:rPr>
          <w:b/>
          <w:bCs/>
          <w:sz w:val="28"/>
          <w:szCs w:val="28"/>
        </w:rPr>
      </w:r>
      <w:r/>
    </w:p>
    <w:p>
      <w:pPr>
        <w:pStyle w:val="940"/>
        <w:jc w:val="center"/>
        <w:rPr>
          <w:b/>
          <w:bCs/>
          <w:sz w:val="28"/>
          <w:szCs w:val="28"/>
        </w:rPr>
      </w:pPr>
      <w:r>
        <w:rPr>
          <w:b/>
          <w:bCs/>
          <w:sz w:val="28"/>
          <w:szCs w:val="28"/>
        </w:rPr>
      </w:r>
      <w:r/>
    </w:p>
    <w:p>
      <w:pPr>
        <w:pStyle w:val="940"/>
        <w:jc w:val="center"/>
        <w:rPr>
          <w:b/>
          <w:bCs/>
          <w:sz w:val="28"/>
          <w:szCs w:val="28"/>
        </w:rPr>
      </w:pPr>
      <w:r>
        <w:rPr>
          <w:b/>
          <w:bCs/>
          <w:sz w:val="28"/>
          <w:szCs w:val="28"/>
        </w:rPr>
      </w:r>
      <w:r/>
    </w:p>
    <w:p>
      <w:pPr>
        <w:pStyle w:val="940"/>
        <w:jc w:val="center"/>
        <w:rPr>
          <w:b/>
          <w:bCs/>
          <w:sz w:val="28"/>
          <w:szCs w:val="28"/>
        </w:rPr>
      </w:pPr>
      <w:r>
        <w:rPr>
          <w:b/>
          <w:bCs/>
          <w:sz w:val="28"/>
          <w:szCs w:val="28"/>
        </w:rPr>
      </w:r>
      <w:r/>
    </w:p>
    <w:p>
      <w:pPr>
        <w:pStyle w:val="940"/>
        <w:jc w:val="center"/>
        <w:rPr>
          <w:b/>
          <w:bCs/>
          <w:sz w:val="28"/>
          <w:szCs w:val="28"/>
        </w:rPr>
      </w:pPr>
      <w:r>
        <w:rPr>
          <w:b/>
          <w:bCs/>
          <w:sz w:val="28"/>
          <w:szCs w:val="28"/>
        </w:rPr>
      </w:r>
      <w:r/>
    </w:p>
    <w:p>
      <w:pPr>
        <w:pStyle w:val="940"/>
        <w:jc w:val="center"/>
        <w:rPr>
          <w:b/>
          <w:bCs/>
          <w:sz w:val="28"/>
          <w:szCs w:val="28"/>
        </w:rPr>
      </w:pPr>
      <w:r>
        <w:rPr>
          <w:b/>
          <w:bCs/>
          <w:sz w:val="28"/>
          <w:szCs w:val="28"/>
        </w:rPr>
        <w:t xml:space="preserve">Раздел 3. АНАЛИЗ РЕЗУЛЬТАТОВ ВЫПОЛНЕНИЯ ОТДЕЛЬНЫХ ЗАДАНИЙ ИЛИ ГРУПП ЗАДАНИЙ</w:t>
      </w:r>
      <w:r/>
    </w:p>
    <w:p>
      <w:pPr>
        <w:pStyle w:val="940"/>
        <w:numPr>
          <w:ilvl w:val="1"/>
          <w:numId w:val="68"/>
        </w:numPr>
        <w:keepLines/>
        <w:keepNext/>
        <w:spacing w:before="200" w:after="0"/>
      </w:pPr>
      <w:r>
        <w:rPr>
          <w:rFonts w:eastAsia="Times New Roman"/>
          <w:b/>
          <w:bCs/>
          <w:sz w:val="28"/>
        </w:rPr>
        <w:t xml:space="preserve"> </w:t>
      </w:r>
      <w:r>
        <w:rPr>
          <w:rFonts w:eastAsia="SimSun;宋体"/>
          <w:b/>
          <w:bCs/>
          <w:sz w:val="28"/>
          <w:lang w:val="en-US"/>
        </w:rPr>
        <w:t xml:space="preserve">Краткая характеристика КИМ по учебному предмету</w:t>
      </w:r>
      <w:r/>
    </w:p>
    <w:p>
      <w:pPr>
        <w:pStyle w:val="940"/>
        <w:ind w:firstLine="450"/>
        <w:jc w:val="both"/>
      </w:pPr>
      <w:r>
        <w:rPr>
          <w:rFonts w:eastAsia="Times New Roman"/>
          <w:bCs/>
        </w:rPr>
        <w:t xml:space="preserve">     </w:t>
      </w:r>
      <w:r>
        <w:rPr>
          <w:bCs/>
        </w:rPr>
        <w:t xml:space="preserve">Варианты КИМ составляются на основе спецификации и кодификаторов содержания проверяемых элементов к уровню подготовки выпускников общеобразовательных учреждений. </w:t>
      </w:r>
      <w:r/>
    </w:p>
    <w:p>
      <w:pPr>
        <w:pStyle w:val="940"/>
        <w:jc w:val="both"/>
      </w:pPr>
      <w:r>
        <w:rPr>
          <w:rFonts w:eastAsia="Times New Roman"/>
          <w:bCs/>
        </w:rPr>
        <w:t xml:space="preserve"> </w:t>
      </w:r>
      <w:r>
        <w:rPr>
          <w:rFonts w:eastAsia="Times New Roman"/>
          <w:bCs/>
        </w:rPr>
        <w:tab/>
      </w:r>
      <w:r>
        <w:rPr>
          <w:bCs/>
        </w:rPr>
        <w:t xml:space="preserve">Каждый вариант ЕГЭ 2021 года по математике (профильн</w:t>
      </w:r>
      <w:r>
        <w:rPr>
          <w:bCs/>
        </w:rPr>
        <w:t xml:space="preserve">ый уровень) сохранил преемственность с экзаменационной моделью прошлого года в тематике, примерном содержании и уровнях сложности заданий. Вариант содержал 12 заданий с кратким ответом и 7 заданий с развернутым ответом. Задания относились к основным раздел</w:t>
      </w:r>
      <w:r>
        <w:rPr>
          <w:bCs/>
        </w:rPr>
        <w:t xml:space="preserve">ам курса математики: числа и вычисления, алгебра и начала математического анализа, геометрия, теория вероятностей. Проверка логических навыков была включена в большинство заданий и особенно проявлялась в требованиях к решению заданий с развернутым ответом.</w:t>
      </w:r>
      <w:r/>
    </w:p>
    <w:p>
      <w:pPr>
        <w:pStyle w:val="940"/>
        <w:ind w:firstLine="708"/>
        <w:jc w:val="both"/>
      </w:pPr>
      <w:r>
        <w:rPr>
          <w:bCs/>
        </w:rPr>
        <w:t xml:space="preserve">Вариант эк</w:t>
      </w:r>
      <w:r>
        <w:rPr>
          <w:bCs/>
        </w:rPr>
        <w:t xml:space="preserve">заменационных материалов по математике (профильный уровень) состоит из 19 заданий, сгруппированных в две части. Первая часть содержит 8 заданий (1–8) с кратким числовым ответом, проверяющих наличие практических математических знаний и умений базового уровн</w:t>
      </w:r>
      <w:r>
        <w:rPr>
          <w:bCs/>
        </w:rPr>
        <w:t xml:space="preserve">я. Вторая часть содержит 11 заданий повышенного и высокого уровня сложности, проверяющих уровень профильной математической подготовки. Первые 12 заданий подразумевают краткий числовой ответ и оцениваются в 0 или 1 балл. Задания 13-19 с развернутым ответом.</w:t>
      </w:r>
      <w:r/>
    </w:p>
    <w:p>
      <w:pPr>
        <w:pStyle w:val="940"/>
        <w:ind w:firstLine="708"/>
        <w:jc w:val="both"/>
        <w:rPr>
          <w:b/>
          <w:bCs/>
        </w:rPr>
      </w:pPr>
      <w:r>
        <w:rPr>
          <w:b/>
          <w:bCs/>
        </w:rPr>
        <w:t xml:space="preserve">Распределение заданий по частям экзаменационной работы</w:t>
      </w:r>
      <w:r/>
    </w:p>
    <w:p>
      <w:pPr>
        <w:pStyle w:val="940"/>
        <w:jc w:val="both"/>
        <w:rPr>
          <w:b/>
          <w:bCs/>
        </w:rPr>
      </w:pPr>
      <w:r>
        <w:rPr>
          <w:b/>
          <w:bCs/>
        </w:rPr>
      </w:r>
      <w:r/>
    </w:p>
    <w:tbl>
      <w:tblPr>
        <w:tblW w:w="9718" w:type="dxa"/>
        <w:tblInd w:w="-5" w:type="dxa"/>
        <w:tblLayout w:type="fixed"/>
        <w:tblCellMar>
          <w:left w:w="108" w:type="dxa"/>
          <w:top w:w="0" w:type="dxa"/>
          <w:right w:w="108" w:type="dxa"/>
          <w:bottom w:w="0" w:type="dxa"/>
        </w:tblCellMar>
        <w:tblLook w:val="04A0" w:firstRow="1" w:lastRow="0" w:firstColumn="1" w:lastColumn="0" w:noHBand="0" w:noVBand="1"/>
      </w:tblPr>
      <w:tblGrid>
        <w:gridCol w:w="1347"/>
        <w:gridCol w:w="1251"/>
        <w:gridCol w:w="1609"/>
        <w:gridCol w:w="2528"/>
        <w:gridCol w:w="2983"/>
      </w:tblGrid>
      <w:tr>
        <w:trPr>
          <w:trHeight w:val="1625"/>
        </w:trPr>
        <w:tc>
          <w:tcPr>
            <w:tcBorders>
              <w:top w:val="single" w:color="000000" w:sz="4" w:space="0"/>
              <w:left w:val="single" w:color="000000" w:sz="4" w:space="0"/>
              <w:bottom w:val="single" w:color="000000" w:sz="4" w:space="0"/>
            </w:tcBorders>
            <w:tcW w:w="1347" w:type="dxa"/>
            <w:textDirection w:val="lrTb"/>
            <w:noWrap w:val="false"/>
          </w:tcPr>
          <w:p>
            <w:pPr>
              <w:pStyle w:val="940"/>
              <w:contextualSpacing/>
              <w:spacing w:before="0" w:after="0"/>
            </w:pPr>
            <w:r>
              <w:t xml:space="preserve">Часть работы</w:t>
            </w:r>
            <w:r/>
          </w:p>
        </w:tc>
        <w:tc>
          <w:tcPr>
            <w:tcBorders>
              <w:top w:val="single" w:color="000000" w:sz="4" w:space="0"/>
              <w:left w:val="single" w:color="000000" w:sz="4" w:space="0"/>
              <w:bottom w:val="single" w:color="000000" w:sz="4" w:space="0"/>
            </w:tcBorders>
            <w:tcW w:w="1251" w:type="dxa"/>
            <w:textDirection w:val="lrTb"/>
            <w:noWrap w:val="false"/>
          </w:tcPr>
          <w:p>
            <w:pPr>
              <w:pStyle w:val="940"/>
              <w:contextualSpacing/>
              <w:spacing w:before="0" w:after="0"/>
            </w:pPr>
            <w:r>
              <w:t xml:space="preserve">Количество и перечень заданий</w:t>
            </w:r>
            <w:r/>
          </w:p>
        </w:tc>
        <w:tc>
          <w:tcPr>
            <w:tcBorders>
              <w:top w:val="single" w:color="000000" w:sz="4" w:space="0"/>
              <w:left w:val="single" w:color="000000" w:sz="4" w:space="0"/>
              <w:bottom w:val="single" w:color="000000" w:sz="4" w:space="0"/>
            </w:tcBorders>
            <w:tcW w:w="1609" w:type="dxa"/>
            <w:textDirection w:val="lrTb"/>
            <w:noWrap w:val="false"/>
          </w:tcPr>
          <w:p>
            <w:pPr>
              <w:pStyle w:val="940"/>
              <w:contextualSpacing/>
              <w:spacing w:before="0" w:after="0"/>
            </w:pPr>
            <w:r>
              <w:t xml:space="preserve">Максимальный первичный балл</w:t>
            </w:r>
            <w:r/>
          </w:p>
        </w:tc>
        <w:tc>
          <w:tcPr>
            <w:tcBorders>
              <w:top w:val="single" w:color="000000" w:sz="4" w:space="0"/>
              <w:left w:val="single" w:color="000000" w:sz="4" w:space="0"/>
              <w:bottom w:val="single" w:color="000000" w:sz="4" w:space="0"/>
            </w:tcBorders>
            <w:tcW w:w="2528" w:type="dxa"/>
            <w:textDirection w:val="lrTb"/>
            <w:noWrap w:val="false"/>
          </w:tcPr>
          <w:p>
            <w:pPr>
              <w:pStyle w:val="940"/>
              <w:contextualSpacing/>
              <w:spacing w:before="0" w:after="0"/>
            </w:pPr>
            <w:r>
              <w:t xml:space="preserve">% максимального первичного балла за задания данной части от максимального первичного балла за всю работу</w:t>
            </w:r>
            <w:r/>
          </w:p>
        </w:tc>
        <w:tc>
          <w:tcPr>
            <w:tcBorders>
              <w:top w:val="single" w:color="000000" w:sz="4" w:space="0"/>
              <w:left w:val="single" w:color="000000" w:sz="4" w:space="0"/>
              <w:bottom w:val="single" w:color="000000" w:sz="4" w:space="0"/>
              <w:right w:val="single" w:color="000000" w:sz="4" w:space="0"/>
            </w:tcBorders>
            <w:tcW w:w="2983" w:type="dxa"/>
            <w:textDirection w:val="lrTb"/>
            <w:noWrap w:val="false"/>
          </w:tcPr>
          <w:p>
            <w:pPr>
              <w:pStyle w:val="940"/>
              <w:contextualSpacing/>
              <w:spacing w:before="0" w:after="0"/>
            </w:pPr>
            <w:r>
              <w:t xml:space="preserve">Тип заданий (с кратким или развернутым ответом)</w:t>
            </w:r>
            <w:r/>
          </w:p>
        </w:tc>
      </w:tr>
      <w:tr>
        <w:trPr>
          <w:trHeight w:val="268"/>
        </w:trPr>
        <w:tc>
          <w:tcPr>
            <w:tcBorders>
              <w:top w:val="single" w:color="000000" w:sz="4" w:space="0"/>
              <w:left w:val="single" w:color="000000" w:sz="4" w:space="0"/>
              <w:bottom w:val="single" w:color="000000" w:sz="4" w:space="0"/>
            </w:tcBorders>
            <w:tcW w:w="1347" w:type="dxa"/>
            <w:textDirection w:val="lrTb"/>
            <w:noWrap w:val="false"/>
          </w:tcPr>
          <w:p>
            <w:pPr>
              <w:pStyle w:val="940"/>
              <w:contextualSpacing/>
              <w:spacing w:before="0" w:after="0"/>
            </w:pPr>
            <w:r>
              <w:t xml:space="preserve">1-я часть </w:t>
            </w:r>
            <w:r/>
          </w:p>
        </w:tc>
        <w:tc>
          <w:tcPr>
            <w:tcBorders>
              <w:top w:val="single" w:color="000000" w:sz="4" w:space="0"/>
              <w:left w:val="single" w:color="000000" w:sz="4" w:space="0"/>
              <w:bottom w:val="single" w:color="000000" w:sz="4" w:space="0"/>
            </w:tcBorders>
            <w:tcW w:w="1251" w:type="dxa"/>
            <w:textDirection w:val="lrTb"/>
            <w:noWrap w:val="false"/>
          </w:tcPr>
          <w:p>
            <w:pPr>
              <w:pStyle w:val="940"/>
              <w:contextualSpacing/>
              <w:spacing w:before="0" w:after="0"/>
            </w:pPr>
            <w:r>
              <w:t xml:space="preserve">8(1-8)</w:t>
            </w:r>
            <w:r/>
          </w:p>
        </w:tc>
        <w:tc>
          <w:tcPr>
            <w:tcBorders>
              <w:top w:val="single" w:color="000000" w:sz="4" w:space="0"/>
              <w:left w:val="single" w:color="000000" w:sz="4" w:space="0"/>
              <w:bottom w:val="single" w:color="000000" w:sz="4" w:space="0"/>
            </w:tcBorders>
            <w:tcW w:w="1609" w:type="dxa"/>
            <w:textDirection w:val="lrTb"/>
            <w:noWrap w:val="false"/>
          </w:tcPr>
          <w:p>
            <w:pPr>
              <w:pStyle w:val="940"/>
              <w:contextualSpacing/>
              <w:spacing w:before="0" w:after="0"/>
            </w:pPr>
            <w:r>
              <w:t xml:space="preserve">8</w:t>
            </w:r>
            <w:r/>
          </w:p>
        </w:tc>
        <w:tc>
          <w:tcPr>
            <w:tcBorders>
              <w:top w:val="single" w:color="000000" w:sz="4" w:space="0"/>
              <w:left w:val="single" w:color="000000" w:sz="4" w:space="0"/>
              <w:bottom w:val="single" w:color="000000" w:sz="4" w:space="0"/>
            </w:tcBorders>
            <w:tcW w:w="2528" w:type="dxa"/>
            <w:textDirection w:val="lrTb"/>
            <w:noWrap w:val="false"/>
          </w:tcPr>
          <w:p>
            <w:pPr>
              <w:pStyle w:val="940"/>
              <w:contextualSpacing/>
              <w:spacing w:before="0" w:after="0"/>
            </w:pPr>
            <w:r>
              <w:t xml:space="preserve">25</w:t>
            </w:r>
            <w:r/>
          </w:p>
        </w:tc>
        <w:tc>
          <w:tcPr>
            <w:tcBorders>
              <w:top w:val="single" w:color="000000" w:sz="4" w:space="0"/>
              <w:left w:val="single" w:color="000000" w:sz="4" w:space="0"/>
              <w:bottom w:val="single" w:color="000000" w:sz="4" w:space="0"/>
              <w:right w:val="single" w:color="000000" w:sz="4" w:space="0"/>
            </w:tcBorders>
            <w:tcW w:w="2983" w:type="dxa"/>
            <w:textDirection w:val="lrTb"/>
            <w:noWrap w:val="false"/>
          </w:tcPr>
          <w:p>
            <w:pPr>
              <w:pStyle w:val="940"/>
              <w:contextualSpacing/>
              <w:spacing w:before="0" w:after="0"/>
            </w:pPr>
            <w:r>
              <w:t xml:space="preserve">С кратким ответом</w:t>
            </w:r>
            <w:r/>
          </w:p>
        </w:tc>
      </w:tr>
      <w:tr>
        <w:trPr>
          <w:trHeight w:val="550"/>
        </w:trPr>
        <w:tc>
          <w:tcPr>
            <w:tcBorders>
              <w:top w:val="single" w:color="000000" w:sz="4" w:space="0"/>
              <w:left w:val="single" w:color="000000" w:sz="4" w:space="0"/>
              <w:bottom w:val="single" w:color="000000" w:sz="4" w:space="0"/>
            </w:tcBorders>
            <w:tcW w:w="1347" w:type="dxa"/>
            <w:textDirection w:val="lrTb"/>
            <w:noWrap w:val="false"/>
          </w:tcPr>
          <w:p>
            <w:pPr>
              <w:pStyle w:val="940"/>
              <w:contextualSpacing/>
              <w:spacing w:before="0" w:after="0"/>
            </w:pPr>
            <w:r>
              <w:t xml:space="preserve">2-я часть</w:t>
            </w:r>
            <w:r/>
          </w:p>
        </w:tc>
        <w:tc>
          <w:tcPr>
            <w:tcBorders>
              <w:top w:val="single" w:color="000000" w:sz="4" w:space="0"/>
              <w:left w:val="single" w:color="000000" w:sz="4" w:space="0"/>
              <w:bottom w:val="single" w:color="000000" w:sz="4" w:space="0"/>
            </w:tcBorders>
            <w:tcW w:w="1251" w:type="dxa"/>
            <w:textDirection w:val="lrTb"/>
            <w:noWrap w:val="false"/>
          </w:tcPr>
          <w:p>
            <w:pPr>
              <w:pStyle w:val="940"/>
              <w:contextualSpacing/>
              <w:spacing w:before="0" w:after="0"/>
            </w:pPr>
            <w:r>
              <w:t xml:space="preserve">11(9-19)</w:t>
            </w:r>
            <w:r/>
          </w:p>
        </w:tc>
        <w:tc>
          <w:tcPr>
            <w:tcBorders>
              <w:top w:val="single" w:color="000000" w:sz="4" w:space="0"/>
              <w:left w:val="single" w:color="000000" w:sz="4" w:space="0"/>
              <w:bottom w:val="single" w:color="000000" w:sz="4" w:space="0"/>
            </w:tcBorders>
            <w:tcW w:w="1609" w:type="dxa"/>
            <w:textDirection w:val="lrTb"/>
            <w:noWrap w:val="false"/>
          </w:tcPr>
          <w:p>
            <w:pPr>
              <w:pStyle w:val="940"/>
              <w:contextualSpacing/>
              <w:spacing w:before="0" w:after="0"/>
            </w:pPr>
            <w:r>
              <w:t xml:space="preserve">24</w:t>
            </w:r>
            <w:r/>
          </w:p>
        </w:tc>
        <w:tc>
          <w:tcPr>
            <w:tcBorders>
              <w:top w:val="single" w:color="000000" w:sz="4" w:space="0"/>
              <w:left w:val="single" w:color="000000" w:sz="4" w:space="0"/>
              <w:bottom w:val="single" w:color="000000" w:sz="4" w:space="0"/>
            </w:tcBorders>
            <w:tcW w:w="2528" w:type="dxa"/>
            <w:textDirection w:val="lrTb"/>
            <w:noWrap w:val="false"/>
          </w:tcPr>
          <w:p>
            <w:pPr>
              <w:pStyle w:val="940"/>
              <w:contextualSpacing/>
              <w:spacing w:before="0" w:after="0"/>
            </w:pPr>
            <w:r>
              <w:t xml:space="preserve">75</w:t>
            </w:r>
            <w:r/>
          </w:p>
        </w:tc>
        <w:tc>
          <w:tcPr>
            <w:tcBorders>
              <w:top w:val="single" w:color="000000" w:sz="4" w:space="0"/>
              <w:left w:val="single" w:color="000000" w:sz="4" w:space="0"/>
              <w:bottom w:val="single" w:color="000000" w:sz="4" w:space="0"/>
              <w:right w:val="single" w:color="000000" w:sz="4" w:space="0"/>
            </w:tcBorders>
            <w:tcW w:w="2983" w:type="dxa"/>
            <w:textDirection w:val="lrTb"/>
            <w:noWrap w:val="false"/>
          </w:tcPr>
          <w:p>
            <w:pPr>
              <w:pStyle w:val="940"/>
              <w:contextualSpacing/>
              <w:spacing w:before="0" w:after="0"/>
            </w:pPr>
            <w:r>
              <w:t xml:space="preserve">С кратким и развернутым ответом</w:t>
            </w:r>
            <w:r/>
          </w:p>
        </w:tc>
      </w:tr>
      <w:tr>
        <w:trPr>
          <w:trHeight w:val="268"/>
        </w:trPr>
        <w:tc>
          <w:tcPr>
            <w:tcBorders>
              <w:top w:val="single" w:color="000000" w:sz="4" w:space="0"/>
              <w:left w:val="single" w:color="000000" w:sz="4" w:space="0"/>
              <w:bottom w:val="single" w:color="000000" w:sz="4" w:space="0"/>
            </w:tcBorders>
            <w:tcW w:w="1347" w:type="dxa"/>
            <w:textDirection w:val="lrTb"/>
            <w:noWrap w:val="false"/>
          </w:tcPr>
          <w:p>
            <w:pPr>
              <w:pStyle w:val="940"/>
              <w:contextualSpacing/>
              <w:spacing w:before="0" w:after="0"/>
            </w:pPr>
            <w:r>
              <w:t xml:space="preserve">Итого</w:t>
            </w:r>
            <w:r/>
          </w:p>
        </w:tc>
        <w:tc>
          <w:tcPr>
            <w:tcBorders>
              <w:top w:val="single" w:color="000000" w:sz="4" w:space="0"/>
              <w:left w:val="single" w:color="000000" w:sz="4" w:space="0"/>
              <w:bottom w:val="single" w:color="000000" w:sz="4" w:space="0"/>
            </w:tcBorders>
            <w:tcW w:w="1251" w:type="dxa"/>
            <w:textDirection w:val="lrTb"/>
            <w:noWrap w:val="false"/>
          </w:tcPr>
          <w:p>
            <w:pPr>
              <w:pStyle w:val="940"/>
              <w:contextualSpacing/>
              <w:spacing w:before="0" w:after="0"/>
            </w:pPr>
            <w:r>
              <w:t xml:space="preserve">19</w:t>
            </w:r>
            <w:r/>
          </w:p>
        </w:tc>
        <w:tc>
          <w:tcPr>
            <w:tcBorders>
              <w:top w:val="single" w:color="000000" w:sz="4" w:space="0"/>
              <w:left w:val="single" w:color="000000" w:sz="4" w:space="0"/>
              <w:bottom w:val="single" w:color="000000" w:sz="4" w:space="0"/>
            </w:tcBorders>
            <w:tcW w:w="1609" w:type="dxa"/>
            <w:textDirection w:val="lrTb"/>
            <w:noWrap w:val="false"/>
          </w:tcPr>
          <w:p>
            <w:pPr>
              <w:pStyle w:val="940"/>
              <w:contextualSpacing/>
              <w:spacing w:before="0" w:after="0"/>
            </w:pPr>
            <w:r>
              <w:t xml:space="preserve">32</w:t>
            </w:r>
            <w:r/>
          </w:p>
        </w:tc>
        <w:tc>
          <w:tcPr>
            <w:tcBorders>
              <w:top w:val="single" w:color="000000" w:sz="4" w:space="0"/>
              <w:left w:val="single" w:color="000000" w:sz="4" w:space="0"/>
              <w:bottom w:val="single" w:color="000000" w:sz="4" w:space="0"/>
            </w:tcBorders>
            <w:tcW w:w="2528" w:type="dxa"/>
            <w:textDirection w:val="lrTb"/>
            <w:noWrap w:val="false"/>
          </w:tcPr>
          <w:p>
            <w:pPr>
              <w:pStyle w:val="940"/>
              <w:contextualSpacing/>
              <w:spacing w:before="0" w:after="0"/>
            </w:pPr>
            <w:r>
              <w:t xml:space="preserve">100</w:t>
            </w:r>
            <w:r/>
          </w:p>
        </w:tc>
        <w:tc>
          <w:tcPr>
            <w:tcBorders>
              <w:top w:val="single" w:color="000000" w:sz="4" w:space="0"/>
              <w:left w:val="single" w:color="000000" w:sz="4" w:space="0"/>
              <w:bottom w:val="single" w:color="000000" w:sz="4" w:space="0"/>
              <w:right w:val="single" w:color="000000" w:sz="4" w:space="0"/>
            </w:tcBorders>
            <w:tcW w:w="2983" w:type="dxa"/>
            <w:textDirection w:val="lrTb"/>
            <w:noWrap w:val="false"/>
          </w:tcPr>
          <w:p>
            <w:pPr>
              <w:pStyle w:val="940"/>
              <w:contextualSpacing/>
              <w:spacing w:before="0" w:after="0"/>
            </w:pPr>
            <w:r/>
            <w:r/>
          </w:p>
        </w:tc>
      </w:tr>
    </w:tbl>
    <w:p>
      <w:pPr>
        <w:pStyle w:val="940"/>
        <w:spacing w:line="254" w:lineRule="auto"/>
        <w:rPr>
          <w:b/>
          <w:lang w:eastAsia="en-US"/>
        </w:rPr>
      </w:pPr>
      <w:r>
        <w:rPr>
          <w:b/>
          <w:lang w:eastAsia="en-US"/>
        </w:rPr>
      </w:r>
      <w:r/>
    </w:p>
    <w:p>
      <w:pPr>
        <w:pStyle w:val="940"/>
        <w:spacing w:line="254" w:lineRule="auto"/>
      </w:pPr>
      <w:r>
        <w:rPr>
          <w:rFonts w:eastAsia="Times New Roman"/>
        </w:rPr>
        <w:t xml:space="preserve">           </w:t>
      </w:r>
      <w:r>
        <w:t xml:space="preserve">Распределение заданий по проверяемым видам деятельности</w:t>
      </w:r>
      <w:r/>
    </w:p>
    <w:tbl>
      <w:tblPr>
        <w:tblW w:w="9718" w:type="dxa"/>
        <w:tblInd w:w="-5" w:type="dxa"/>
        <w:tblLayout w:type="fixed"/>
        <w:tblCellMar>
          <w:left w:w="108" w:type="dxa"/>
          <w:top w:w="0" w:type="dxa"/>
          <w:right w:w="108" w:type="dxa"/>
          <w:bottom w:w="0" w:type="dxa"/>
        </w:tblCellMar>
        <w:tblLook w:val="04A0" w:firstRow="1" w:lastRow="0" w:firstColumn="1" w:lastColumn="0" w:noHBand="0" w:noVBand="1"/>
      </w:tblPr>
      <w:tblGrid>
        <w:gridCol w:w="2817"/>
        <w:gridCol w:w="1878"/>
        <w:gridCol w:w="1794"/>
        <w:gridCol w:w="3229"/>
      </w:tblGrid>
      <w:tr>
        <w:trPr>
          <w:trHeight w:val="1375"/>
        </w:trPr>
        <w:tc>
          <w:tcPr>
            <w:tcBorders>
              <w:top w:val="single" w:color="000000" w:sz="4" w:space="0"/>
              <w:left w:val="single" w:color="000000" w:sz="4" w:space="0"/>
              <w:bottom w:val="single" w:color="000000" w:sz="4" w:space="0"/>
            </w:tcBorders>
            <w:tcW w:w="2817" w:type="dxa"/>
            <w:textDirection w:val="lrTb"/>
            <w:noWrap w:val="false"/>
          </w:tcPr>
          <w:p>
            <w:pPr>
              <w:pStyle w:val="940"/>
            </w:pPr>
            <w:r>
              <w:t xml:space="preserve">Проверяемые виды деятельности и умения учащихся</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pPr>
            <w:r>
              <w:t xml:space="preserve">Количество и перечень заданий</w:t>
            </w:r>
            <w:r/>
          </w:p>
        </w:tc>
        <w:tc>
          <w:tcPr>
            <w:tcBorders>
              <w:top w:val="single" w:color="000000" w:sz="4" w:space="0"/>
              <w:left w:val="single" w:color="000000" w:sz="4" w:space="0"/>
              <w:bottom w:val="single" w:color="000000" w:sz="4" w:space="0"/>
            </w:tcBorders>
            <w:tcW w:w="1794" w:type="dxa"/>
            <w:textDirection w:val="lrTb"/>
            <w:noWrap w:val="false"/>
          </w:tcPr>
          <w:p>
            <w:pPr>
              <w:pStyle w:val="940"/>
            </w:pPr>
            <w:r>
              <w:t xml:space="preserve">Максимальный первичный балл</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pPr>
            <w:r>
              <w:t xml:space="preserve">% максимального первичного балла за задания данного раздела от максимального первичного балла за всю работу</w:t>
            </w:r>
            <w:r/>
          </w:p>
        </w:tc>
      </w:tr>
      <w:tr>
        <w:trPr>
          <w:trHeight w:val="1375"/>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использовать приобретённые знания и умения в практической деятельности и повседневной жизни</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pPr>
            <w:r>
              <w:rPr>
                <w:bCs/>
              </w:rPr>
              <w:t xml:space="preserve">4 (1,2,10,17)</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6</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18,8</w:t>
            </w:r>
            <w:r/>
          </w:p>
        </w:tc>
      </w:tr>
      <w:tr>
        <w:trPr>
          <w:trHeight w:val="830"/>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выполнять вычисления и преобразования</w:t>
            </w:r>
            <w:r/>
          </w:p>
        </w:tc>
        <w:tc>
          <w:tcPr>
            <w:tcBorders>
              <w:top w:val="single" w:color="000000" w:sz="4" w:space="0"/>
              <w:left w:val="single" w:color="000000" w:sz="4" w:space="0"/>
              <w:bottom w:val="single" w:color="000000" w:sz="4" w:space="0"/>
            </w:tcBorders>
            <w:tcW w:w="1878" w:type="dxa"/>
            <w:textDirection w:val="lrTb"/>
            <w:noWrap w:val="false"/>
          </w:tcPr>
          <w:p>
            <w:pPr>
              <w:pStyle w:val="940"/>
              <w:contextualSpacing/>
              <w:jc w:val="center"/>
              <w:spacing w:before="0" w:after="0"/>
              <w:rPr>
                <w:bCs/>
              </w:rPr>
            </w:pPr>
            <w:r>
              <w:rPr>
                <w:bCs/>
              </w:rPr>
              <w:t xml:space="preserve">1 (9)</w:t>
            </w:r>
            <w:r/>
          </w:p>
        </w:tc>
        <w:tc>
          <w:tcPr>
            <w:tcBorders>
              <w:top w:val="single" w:color="000000" w:sz="4" w:space="0"/>
              <w:left w:val="single" w:color="000000" w:sz="4" w:space="0"/>
              <w:bottom w:val="single" w:color="000000" w:sz="4" w:space="0"/>
            </w:tcBorders>
            <w:tcW w:w="1794" w:type="dxa"/>
            <w:textDirection w:val="lrTb"/>
            <w:noWrap w:val="false"/>
          </w:tcPr>
          <w:p>
            <w:pPr>
              <w:pStyle w:val="940"/>
              <w:contextualSpacing/>
              <w:jc w:val="center"/>
              <w:spacing w:before="0" w:after="0"/>
              <w:rPr>
                <w:bCs/>
              </w:rPr>
            </w:pPr>
            <w:r>
              <w:rPr>
                <w:bCs/>
              </w:rPr>
              <w:t xml:space="preserve">1</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contextualSpacing/>
              <w:jc w:val="center"/>
              <w:spacing w:before="0" w:after="0"/>
              <w:rPr>
                <w:bCs/>
              </w:rPr>
            </w:pPr>
            <w:r>
              <w:rPr>
                <w:bCs/>
              </w:rPr>
              <w:t xml:space="preserve">3,1</w:t>
            </w:r>
            <w:r/>
          </w:p>
        </w:tc>
      </w:tr>
      <w:tr>
        <w:trPr>
          <w:trHeight w:val="545"/>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решать уравнения и неравенства</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rPr>
                <w:bCs/>
              </w:rPr>
            </w:pPr>
            <w:r>
              <w:rPr>
                <w:bCs/>
              </w:rPr>
              <w:t xml:space="preserve">4 (5,13,15,18)</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9</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28,1</w:t>
            </w:r>
            <w:r/>
          </w:p>
        </w:tc>
      </w:tr>
      <w:tr>
        <w:trPr>
          <w:trHeight w:val="545"/>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выполнять действия с функциями</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rPr>
                <w:bCs/>
              </w:rPr>
            </w:pPr>
            <w:r>
              <w:rPr>
                <w:bCs/>
              </w:rPr>
              <w:t xml:space="preserve">2 (7,12)</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2</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6,2</w:t>
            </w:r>
            <w:r/>
          </w:p>
        </w:tc>
      </w:tr>
      <w:tr>
        <w:trPr>
          <w:trHeight w:val="1388"/>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выполнять действия с геометрическими фигурами, координатами и векторами</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rPr>
                <w:bCs/>
              </w:rPr>
            </w:pPr>
            <w:r>
              <w:rPr>
                <w:bCs/>
              </w:rPr>
              <w:t xml:space="preserve">5 (3,6,8,14,16)</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8</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25</w:t>
            </w:r>
            <w:r/>
          </w:p>
        </w:tc>
      </w:tr>
      <w:tr>
        <w:trPr>
          <w:trHeight w:val="817"/>
        </w:trPr>
        <w:tc>
          <w:tcPr>
            <w:tcBorders>
              <w:top w:val="single" w:color="000000" w:sz="4" w:space="0"/>
              <w:left w:val="single" w:color="000000" w:sz="4" w:space="0"/>
              <w:bottom w:val="single" w:color="000000" w:sz="4" w:space="0"/>
            </w:tcBorders>
            <w:tcW w:w="2817" w:type="dxa"/>
            <w:textDirection w:val="lrTb"/>
            <w:noWrap w:val="false"/>
          </w:tcPr>
          <w:p>
            <w:pPr>
              <w:pStyle w:val="940"/>
              <w:rPr>
                <w:bCs/>
              </w:rPr>
            </w:pPr>
            <w:r>
              <w:rPr>
                <w:bCs/>
              </w:rPr>
              <w:t xml:space="preserve">Уметь строить и исследовать математические модели</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rPr>
                <w:bCs/>
              </w:rPr>
            </w:pPr>
            <w:r>
              <w:rPr>
                <w:bCs/>
              </w:rPr>
              <w:t xml:space="preserve">3 (4,11,19)</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6</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18,8</w:t>
            </w:r>
            <w:r/>
          </w:p>
        </w:tc>
      </w:tr>
      <w:tr>
        <w:trPr>
          <w:trHeight w:val="272"/>
        </w:trPr>
        <w:tc>
          <w:tcPr>
            <w:tcBorders>
              <w:top w:val="single" w:color="000000" w:sz="4" w:space="0"/>
              <w:left w:val="single" w:color="000000" w:sz="4" w:space="0"/>
              <w:bottom w:val="single" w:color="000000" w:sz="4" w:space="0"/>
            </w:tcBorders>
            <w:tcW w:w="2817" w:type="dxa"/>
            <w:textDirection w:val="lrTb"/>
            <w:noWrap w:val="false"/>
          </w:tcPr>
          <w:p>
            <w:pPr>
              <w:pStyle w:val="940"/>
              <w:jc w:val="right"/>
              <w:rPr>
                <w:b/>
                <w:i/>
              </w:rPr>
            </w:pPr>
            <w:r>
              <w:rPr>
                <w:b/>
                <w:i/>
              </w:rPr>
              <w:t xml:space="preserve">Итого</w:t>
            </w:r>
            <w:r/>
          </w:p>
        </w:tc>
        <w:tc>
          <w:tcPr>
            <w:tcBorders>
              <w:top w:val="single" w:color="000000" w:sz="4" w:space="0"/>
              <w:left w:val="single" w:color="000000" w:sz="4" w:space="0"/>
              <w:bottom w:val="single" w:color="000000" w:sz="4" w:space="0"/>
            </w:tcBorders>
            <w:tcW w:w="1878" w:type="dxa"/>
            <w:textDirection w:val="lrTb"/>
            <w:noWrap w:val="false"/>
          </w:tcPr>
          <w:p>
            <w:pPr>
              <w:pStyle w:val="940"/>
              <w:jc w:val="center"/>
              <w:rPr>
                <w:bCs/>
              </w:rPr>
            </w:pPr>
            <w:r>
              <w:rPr>
                <w:bCs/>
              </w:rPr>
              <w:t xml:space="preserve">19</w:t>
            </w:r>
            <w:r/>
          </w:p>
        </w:tc>
        <w:tc>
          <w:tcPr>
            <w:tcBorders>
              <w:top w:val="single" w:color="000000" w:sz="4" w:space="0"/>
              <w:left w:val="single" w:color="000000" w:sz="4" w:space="0"/>
              <w:bottom w:val="single" w:color="000000" w:sz="4" w:space="0"/>
            </w:tcBorders>
            <w:tcW w:w="1794" w:type="dxa"/>
            <w:textDirection w:val="lrTb"/>
            <w:noWrap w:val="false"/>
          </w:tcPr>
          <w:p>
            <w:pPr>
              <w:pStyle w:val="940"/>
              <w:jc w:val="center"/>
              <w:rPr>
                <w:bCs/>
              </w:rPr>
            </w:pPr>
            <w:r>
              <w:rPr>
                <w:bCs/>
              </w:rPr>
              <w:t xml:space="preserve">32</w:t>
            </w:r>
            <w:r/>
          </w:p>
        </w:tc>
        <w:tc>
          <w:tcPr>
            <w:tcBorders>
              <w:top w:val="single" w:color="000000" w:sz="4" w:space="0"/>
              <w:left w:val="single" w:color="000000" w:sz="4" w:space="0"/>
              <w:bottom w:val="single" w:color="000000" w:sz="4" w:space="0"/>
              <w:right w:val="single" w:color="000000" w:sz="4" w:space="0"/>
            </w:tcBorders>
            <w:tcW w:w="3229" w:type="dxa"/>
            <w:textDirection w:val="lrTb"/>
            <w:noWrap w:val="false"/>
          </w:tcPr>
          <w:p>
            <w:pPr>
              <w:pStyle w:val="940"/>
              <w:jc w:val="center"/>
              <w:rPr>
                <w:bCs/>
              </w:rPr>
            </w:pPr>
            <w:r>
              <w:rPr>
                <w:bCs/>
              </w:rPr>
              <w:t xml:space="preserve">100</w:t>
            </w:r>
            <w:r/>
          </w:p>
        </w:tc>
      </w:tr>
    </w:tbl>
    <w:p>
      <w:pPr>
        <w:pStyle w:val="940"/>
        <w:spacing w:line="254" w:lineRule="auto"/>
        <w:rPr>
          <w:b/>
          <w:lang w:eastAsia="en-US"/>
        </w:rPr>
      </w:pPr>
      <w:r>
        <w:rPr>
          <w:b/>
          <w:lang w:eastAsia="en-US"/>
        </w:rPr>
      </w:r>
      <w:r/>
    </w:p>
    <w:p>
      <w:pPr>
        <w:pStyle w:val="940"/>
        <w:spacing w:before="0" w:after="160" w:line="254" w:lineRule="auto"/>
      </w:pPr>
      <w:r>
        <w:rPr>
          <w:rFonts w:eastAsia="Times New Roman"/>
        </w:rPr>
        <w:t xml:space="preserve">         </w:t>
      </w:r>
      <w:r>
        <w:t xml:space="preserve">Распределение заданий по уровню сложности</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2200"/>
        <w:gridCol w:w="2268"/>
        <w:gridCol w:w="2316"/>
        <w:gridCol w:w="2982"/>
      </w:tblGrid>
      <w:tr>
        <w:trPr/>
        <w:tc>
          <w:tcPr>
            <w:tcBorders>
              <w:top w:val="single" w:color="000000" w:sz="4" w:space="0"/>
              <w:left w:val="single" w:color="000000" w:sz="4" w:space="0"/>
              <w:bottom w:val="single" w:color="000000" w:sz="4" w:space="0"/>
            </w:tcBorders>
            <w:tcW w:w="2200" w:type="dxa"/>
            <w:textDirection w:val="lrTb"/>
            <w:noWrap w:val="false"/>
          </w:tcPr>
          <w:p>
            <w:pPr>
              <w:pStyle w:val="940"/>
            </w:pPr>
            <w:r>
              <w:t xml:space="preserve">Уровень сложности</w:t>
            </w:r>
            <w:r/>
          </w:p>
        </w:tc>
        <w:tc>
          <w:tcPr>
            <w:tcBorders>
              <w:top w:val="single" w:color="000000" w:sz="4" w:space="0"/>
              <w:left w:val="single" w:color="000000" w:sz="4" w:space="0"/>
              <w:bottom w:val="single" w:color="000000" w:sz="4" w:space="0"/>
            </w:tcBorders>
            <w:tcW w:w="2268" w:type="dxa"/>
            <w:textDirection w:val="lrTb"/>
            <w:noWrap w:val="false"/>
          </w:tcPr>
          <w:p>
            <w:pPr>
              <w:pStyle w:val="940"/>
            </w:pPr>
            <w:r>
              <w:t xml:space="preserve">Количество и перечень заданий</w:t>
            </w:r>
            <w:r/>
          </w:p>
        </w:tc>
        <w:tc>
          <w:tcPr>
            <w:tcBorders>
              <w:top w:val="single" w:color="000000" w:sz="4" w:space="0"/>
              <w:left w:val="single" w:color="000000" w:sz="4" w:space="0"/>
              <w:bottom w:val="single" w:color="000000" w:sz="4" w:space="0"/>
            </w:tcBorders>
            <w:tcW w:w="2316" w:type="dxa"/>
            <w:textDirection w:val="lrTb"/>
            <w:noWrap w:val="false"/>
          </w:tcPr>
          <w:p>
            <w:pPr>
              <w:pStyle w:val="940"/>
            </w:pPr>
            <w:r>
              <w:t xml:space="preserve">Максимальный первичный балл</w:t>
            </w:r>
            <w:r/>
          </w:p>
        </w:tc>
        <w:tc>
          <w:tcPr>
            <w:tcBorders>
              <w:top w:val="single" w:color="000000" w:sz="4" w:space="0"/>
              <w:left w:val="single" w:color="000000" w:sz="4" w:space="0"/>
              <w:bottom w:val="single" w:color="000000" w:sz="4" w:space="0"/>
              <w:right w:val="single" w:color="000000" w:sz="4" w:space="0"/>
            </w:tcBorders>
            <w:tcW w:w="2982" w:type="dxa"/>
            <w:textDirection w:val="lrTb"/>
            <w:noWrap w:val="false"/>
          </w:tcPr>
          <w:p>
            <w:pPr>
              <w:pStyle w:val="940"/>
            </w:pPr>
            <w:r>
              <w:t xml:space="preserve">% максимального первичного балла за задания данного раздела от максимального первичного балла за всю работу</w:t>
            </w:r>
            <w:r/>
          </w:p>
        </w:tc>
      </w:tr>
      <w:tr>
        <w:trPr/>
        <w:tc>
          <w:tcPr>
            <w:tcBorders>
              <w:top w:val="single" w:color="000000" w:sz="4" w:space="0"/>
              <w:left w:val="single" w:color="000000" w:sz="4" w:space="0"/>
              <w:bottom w:val="single" w:color="000000" w:sz="4" w:space="0"/>
            </w:tcBorders>
            <w:tcW w:w="2200" w:type="dxa"/>
            <w:textDirection w:val="lrTb"/>
            <w:noWrap w:val="false"/>
          </w:tcPr>
          <w:p>
            <w:pPr>
              <w:pStyle w:val="940"/>
            </w:pPr>
            <w:r>
              <w:t xml:space="preserve">Базовый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t xml:space="preserve">8(1-8)</w:t>
            </w:r>
            <w:r/>
          </w:p>
        </w:tc>
        <w:tc>
          <w:tcPr>
            <w:tcBorders>
              <w:top w:val="single" w:color="000000" w:sz="4" w:space="0"/>
              <w:left w:val="single" w:color="000000" w:sz="4" w:space="0"/>
              <w:bottom w:val="single" w:color="000000" w:sz="4" w:space="0"/>
            </w:tcBorders>
            <w:tcW w:w="2316" w:type="dxa"/>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right w:val="single" w:color="000000" w:sz="4" w:space="0"/>
            </w:tcBorders>
            <w:tcW w:w="2982" w:type="dxa"/>
            <w:textDirection w:val="lrTb"/>
            <w:noWrap w:val="false"/>
          </w:tcPr>
          <w:p>
            <w:pPr>
              <w:pStyle w:val="940"/>
              <w:jc w:val="center"/>
            </w:pPr>
            <w:r>
              <w:t xml:space="preserve">25</w:t>
            </w:r>
            <w:r/>
          </w:p>
        </w:tc>
      </w:tr>
      <w:tr>
        <w:trPr/>
        <w:tc>
          <w:tcPr>
            <w:tcBorders>
              <w:top w:val="single" w:color="000000" w:sz="4" w:space="0"/>
              <w:left w:val="single" w:color="000000" w:sz="4" w:space="0"/>
              <w:bottom w:val="single" w:color="000000" w:sz="4" w:space="0"/>
            </w:tcBorders>
            <w:tcW w:w="2200" w:type="dxa"/>
            <w:textDirection w:val="lrTb"/>
            <w:noWrap w:val="false"/>
          </w:tcPr>
          <w:p>
            <w:pPr>
              <w:pStyle w:val="940"/>
            </w:pPr>
            <w:r>
              <w:t xml:space="preserve">Повышенный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rPr>
                <w:rFonts w:eastAsia="Times New Roman"/>
              </w:rPr>
              <w:t xml:space="preserve"> </w:t>
            </w:r>
            <w:r>
              <w:t xml:space="preserve">9(9-17)</w:t>
            </w:r>
            <w:r/>
          </w:p>
        </w:tc>
        <w:tc>
          <w:tcPr>
            <w:tcBorders>
              <w:top w:val="single" w:color="000000" w:sz="4" w:space="0"/>
              <w:left w:val="single" w:color="000000" w:sz="4" w:space="0"/>
              <w:bottom w:val="single" w:color="000000" w:sz="4" w:space="0"/>
            </w:tcBorders>
            <w:tcW w:w="2316" w:type="dxa"/>
            <w:textDirection w:val="lrTb"/>
            <w:noWrap w:val="false"/>
          </w:tcPr>
          <w:p>
            <w:pPr>
              <w:pStyle w:val="940"/>
              <w:jc w:val="center"/>
            </w:pPr>
            <w:r>
              <w:rPr>
                <w:rFonts w:eastAsia="Times New Roman"/>
              </w:rPr>
              <w:t xml:space="preserve"> </w:t>
            </w:r>
            <w:r>
              <w:t xml:space="preserve">16 </w:t>
            </w:r>
            <w:r/>
          </w:p>
        </w:tc>
        <w:tc>
          <w:tcPr>
            <w:tcBorders>
              <w:top w:val="single" w:color="000000" w:sz="4" w:space="0"/>
              <w:left w:val="single" w:color="000000" w:sz="4" w:space="0"/>
              <w:bottom w:val="single" w:color="000000" w:sz="4" w:space="0"/>
              <w:right w:val="single" w:color="000000" w:sz="4" w:space="0"/>
            </w:tcBorders>
            <w:tcW w:w="2982" w:type="dxa"/>
            <w:textDirection w:val="lrTb"/>
            <w:noWrap w:val="false"/>
          </w:tcPr>
          <w:p>
            <w:pPr>
              <w:pStyle w:val="940"/>
              <w:jc w:val="center"/>
            </w:pPr>
            <w:r>
              <w:t xml:space="preserve">50 </w:t>
            </w:r>
            <w:r/>
          </w:p>
        </w:tc>
      </w:tr>
      <w:tr>
        <w:trPr/>
        <w:tc>
          <w:tcPr>
            <w:tcBorders>
              <w:top w:val="single" w:color="000000" w:sz="4" w:space="0"/>
              <w:left w:val="single" w:color="000000" w:sz="4" w:space="0"/>
              <w:bottom w:val="single" w:color="000000" w:sz="4" w:space="0"/>
            </w:tcBorders>
            <w:tcW w:w="2200" w:type="dxa"/>
            <w:textDirection w:val="lrTb"/>
            <w:noWrap w:val="false"/>
          </w:tcPr>
          <w:p>
            <w:pPr>
              <w:pStyle w:val="940"/>
            </w:pPr>
            <w:r>
              <w:t xml:space="preserve">Высокий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rPr>
                <w:rFonts w:eastAsia="Times New Roman"/>
              </w:rPr>
              <w:t xml:space="preserve"> </w:t>
            </w:r>
            <w:r>
              <w:t xml:space="preserve">2(18,19) </w:t>
            </w:r>
            <w:r/>
          </w:p>
        </w:tc>
        <w:tc>
          <w:tcPr>
            <w:tcBorders>
              <w:top w:val="single" w:color="000000" w:sz="4" w:space="0"/>
              <w:left w:val="single" w:color="000000" w:sz="4" w:space="0"/>
              <w:bottom w:val="single" w:color="000000" w:sz="4" w:space="0"/>
            </w:tcBorders>
            <w:tcW w:w="2316" w:type="dxa"/>
            <w:textDirection w:val="lrTb"/>
            <w:noWrap w:val="false"/>
          </w:tcPr>
          <w:p>
            <w:pPr>
              <w:pStyle w:val="940"/>
              <w:jc w:val="center"/>
            </w:pPr>
            <w:r>
              <w:t xml:space="preserve">8 </w:t>
            </w:r>
            <w:r/>
          </w:p>
        </w:tc>
        <w:tc>
          <w:tcPr>
            <w:tcBorders>
              <w:top w:val="single" w:color="000000" w:sz="4" w:space="0"/>
              <w:left w:val="single" w:color="000000" w:sz="4" w:space="0"/>
              <w:bottom w:val="single" w:color="000000" w:sz="4" w:space="0"/>
              <w:right w:val="single" w:color="000000" w:sz="4" w:space="0"/>
            </w:tcBorders>
            <w:tcW w:w="2982" w:type="dxa"/>
            <w:textDirection w:val="lrTb"/>
            <w:noWrap w:val="false"/>
          </w:tcPr>
          <w:p>
            <w:pPr>
              <w:pStyle w:val="940"/>
              <w:jc w:val="center"/>
            </w:pPr>
            <w:r>
              <w:t xml:space="preserve">25 </w:t>
            </w:r>
            <w:r/>
          </w:p>
        </w:tc>
      </w:tr>
      <w:tr>
        <w:trPr/>
        <w:tc>
          <w:tcPr>
            <w:tcBorders>
              <w:top w:val="single" w:color="000000" w:sz="4" w:space="0"/>
              <w:left w:val="single" w:color="000000" w:sz="4" w:space="0"/>
              <w:bottom w:val="single" w:color="000000" w:sz="4" w:space="0"/>
            </w:tcBorders>
            <w:tcW w:w="2200" w:type="dxa"/>
            <w:textDirection w:val="lrTb"/>
            <w:noWrap w:val="false"/>
          </w:tcPr>
          <w:p>
            <w:pPr>
              <w:pStyle w:val="940"/>
              <w:jc w:val="right"/>
              <w:rPr>
                <w:b/>
                <w:bCs/>
                <w:i/>
              </w:rPr>
            </w:pPr>
            <w:r>
              <w:rPr>
                <w:b/>
                <w:bCs/>
                <w:i/>
              </w:rPr>
              <w:t xml:space="preserve">Итого</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t xml:space="preserve">19 </w:t>
            </w:r>
            <w:r/>
          </w:p>
        </w:tc>
        <w:tc>
          <w:tcPr>
            <w:tcBorders>
              <w:top w:val="single" w:color="000000" w:sz="4" w:space="0"/>
              <w:left w:val="single" w:color="000000" w:sz="4" w:space="0"/>
              <w:bottom w:val="single" w:color="000000" w:sz="4" w:space="0"/>
            </w:tcBorders>
            <w:tcW w:w="2316" w:type="dxa"/>
            <w:textDirection w:val="lrTb"/>
            <w:noWrap w:val="false"/>
          </w:tcPr>
          <w:p>
            <w:pPr>
              <w:pStyle w:val="940"/>
              <w:jc w:val="center"/>
            </w:pPr>
            <w:r>
              <w:rPr>
                <w:rFonts w:eastAsia="Times New Roman"/>
              </w:rPr>
              <w:t xml:space="preserve"> </w:t>
            </w:r>
            <w:r>
              <w:t xml:space="preserve">32 </w:t>
            </w:r>
            <w:r/>
          </w:p>
        </w:tc>
        <w:tc>
          <w:tcPr>
            <w:tcBorders>
              <w:top w:val="single" w:color="000000" w:sz="4" w:space="0"/>
              <w:left w:val="single" w:color="000000" w:sz="4" w:space="0"/>
              <w:bottom w:val="single" w:color="000000" w:sz="4" w:space="0"/>
              <w:right w:val="single" w:color="000000" w:sz="4" w:space="0"/>
            </w:tcBorders>
            <w:tcW w:w="2982" w:type="dxa"/>
            <w:textDirection w:val="lrTb"/>
            <w:noWrap w:val="false"/>
          </w:tcPr>
          <w:p>
            <w:pPr>
              <w:pStyle w:val="940"/>
              <w:jc w:val="center"/>
            </w:pPr>
            <w:r>
              <w:rPr>
                <w:rFonts w:eastAsia="Times New Roman"/>
              </w:rPr>
              <w:t xml:space="preserve"> </w:t>
            </w:r>
            <w:r>
              <w:t xml:space="preserve">100 </w:t>
            </w:r>
            <w:r/>
          </w:p>
        </w:tc>
      </w:tr>
    </w:tbl>
    <w:p>
      <w:pPr>
        <w:pStyle w:val="940"/>
        <w:jc w:val="both"/>
        <w:rPr>
          <w:lang w:eastAsia="en-US"/>
        </w:rPr>
      </w:pPr>
      <w:r>
        <w:rPr>
          <w:lang w:eastAsia="en-US"/>
        </w:rPr>
      </w:r>
      <w:r/>
    </w:p>
    <w:p>
      <w:pPr>
        <w:pStyle w:val="940"/>
        <w:ind w:firstLine="708"/>
        <w:jc w:val="both"/>
      </w:pPr>
      <w:r>
        <w:rPr>
          <w:lang w:eastAsia="en-US"/>
        </w:rPr>
        <w:t xml:space="preserve">Модель ЕГЭ по математике </w:t>
      </w:r>
      <w:r>
        <w:rPr>
          <w:bCs/>
        </w:rPr>
        <w:t xml:space="preserve">(профильный уровень)</w:t>
      </w:r>
      <w:r>
        <w:rPr>
          <w:lang w:eastAsia="en-US"/>
        </w:rPr>
        <w:t xml:space="preserve"> способна выделить по результатам экзамена группу наиболее подготовленных участников, намеренных продолжать образование по техническим и мат</w:t>
      </w:r>
      <w:r>
        <w:rPr>
          <w:lang w:eastAsia="en-US"/>
        </w:rPr>
        <w:t xml:space="preserve">ематическим специальностям. В то же время экзамен содержит достаточный материал для диагностики общих математических умений, применяемых при изучении иных предметов, в быту и в массовых профессиях. В большинстве своем эти задания сгруппированы в первой час</w:t>
      </w:r>
      <w:r>
        <w:rPr>
          <w:lang w:eastAsia="en-US"/>
        </w:rPr>
        <w:t xml:space="preserve">ти экзамена и охватывают широкий круг математических объектов, методов и практических сюжетов: оптимальный выбор, финансовая грамотность, бытовые расчеты, оперирование процентами, прикладная геометрия, оценка вероятностей событий в простых ситуациях и т.п.</w:t>
      </w:r>
      <w:r/>
    </w:p>
    <w:p>
      <w:pPr>
        <w:pStyle w:val="940"/>
        <w:ind w:firstLine="708"/>
        <w:jc w:val="both"/>
        <w:rPr>
          <w:lang w:eastAsia="en-US"/>
        </w:rPr>
      </w:pPr>
      <w:r>
        <w:rPr>
          <w:lang w:eastAsia="en-US"/>
        </w:rPr>
        <w:t xml:space="preserve">Задания второй част</w:t>
      </w:r>
      <w:r>
        <w:rPr>
          <w:lang w:eastAsia="en-US"/>
        </w:rPr>
        <w:t xml:space="preserve">и предназначены для проверки математических знаний на уровне, необходимом для абитуриентов технических и математических специальностей. Традиционно в их число входит исследование функций, задача по стереометрии, планиметрии, решение уравнений и неравенств.</w:t>
      </w:r>
      <w:r/>
    </w:p>
    <w:p>
      <w:pPr>
        <w:pStyle w:val="940"/>
        <w:ind w:firstLine="708"/>
        <w:jc w:val="both"/>
      </w:pPr>
      <w:r>
        <w:rPr>
          <w:lang w:eastAsia="en-US"/>
        </w:rPr>
        <w:t xml:space="preserve">Изменений в структуре и содержании КИМ ЕГЭ по математике </w:t>
      </w:r>
      <w:r>
        <w:rPr>
          <w:bCs/>
        </w:rPr>
        <w:t xml:space="preserve">(профильный уровень)</w:t>
      </w:r>
      <w:r>
        <w:rPr>
          <w:lang w:eastAsia="en-US"/>
        </w:rPr>
        <w:t xml:space="preserve"> в 2021 году по сравнению с 2020 годом не было.</w:t>
      </w:r>
      <w:r/>
    </w:p>
    <w:p>
      <w:pPr>
        <w:pStyle w:val="940"/>
        <w:numPr>
          <w:ilvl w:val="1"/>
          <w:numId w:val="68"/>
        </w:numPr>
        <w:keepLines/>
        <w:keepNext/>
        <w:spacing w:before="200" w:after="0"/>
        <w:rPr>
          <w:rFonts w:eastAsia="SimSun;宋体"/>
          <w:b/>
          <w:bCs/>
          <w:sz w:val="28"/>
          <w:lang w:val="en-US"/>
        </w:rPr>
      </w:pPr>
      <w:r>
        <w:rPr>
          <w:rFonts w:eastAsia="SimSun;宋体"/>
          <w:b/>
          <w:bCs/>
          <w:sz w:val="28"/>
          <w:lang w:val="en-US"/>
        </w:rPr>
        <w:t xml:space="preserve">Анализ выполнения заданий КИМ</w:t>
      </w:r>
      <w:r/>
    </w:p>
    <w:p>
      <w:pPr>
        <w:pStyle w:val="940"/>
        <w:ind w:firstLine="708"/>
        <w:jc w:val="both"/>
        <w:rPr>
          <w:bCs/>
          <w:lang w:eastAsia="en-US"/>
        </w:rPr>
      </w:pPr>
      <w:r>
        <w:rPr>
          <w:bCs/>
          <w:lang w:eastAsia="en-US"/>
        </w:rPr>
        <w:t xml:space="preserve">Задания с кратким ответом составлены на материале курсов математики 5 – 6 классов, алгебры 7-9 классов, алгебры и начал анализа 10-11 кла</w:t>
      </w:r>
      <w:r>
        <w:rPr>
          <w:bCs/>
          <w:lang w:eastAsia="en-US"/>
        </w:rPr>
        <w:t xml:space="preserve">ссов, теории вероятностей и статистики 7-9 классов и геометрии 7 – 11 классов. Эти задания обеспечивают достаточную полноту проверки овладения материалом указанных курсов, как на базовом уровне (задания 1 – 8), так и на профильном уровне сложности (9 –12).</w:t>
      </w:r>
      <w:r/>
    </w:p>
    <w:p>
      <w:pPr>
        <w:pStyle w:val="943"/>
        <w:numPr>
          <w:ilvl w:val="0"/>
          <w:numId w:val="0"/>
        </w:numPr>
        <w:ind w:left="0" w:firstLine="0"/>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3.2.1.</w:t>
      </w:r>
      <w:r>
        <w:rPr>
          <w:rFonts w:ascii="Times New Roman" w:hAnsi="Times New Roman" w:cs="Times New Roman"/>
          <w:b w:val="0"/>
          <w:bCs w:val="0"/>
          <w:lang w:val="ru-RU"/>
        </w:rPr>
        <w:t xml:space="preserve"> </w:t>
      </w:r>
      <w:r>
        <w:rPr>
          <w:rFonts w:ascii="Times New Roman" w:hAnsi="Times New Roman" w:cs="Times New Roman"/>
          <w:b w:val="0"/>
          <w:bCs w:val="0"/>
        </w:rPr>
        <w:t xml:space="preserve">Статистический анализ выполнения заданий КИМ</w:t>
      </w:r>
      <w:r/>
    </w:p>
    <w:p>
      <w:pPr>
        <w:pStyle w:val="940"/>
        <w:contextualSpacing/>
        <w:jc w:val="both"/>
        <w:spacing w:before="0" w:after="0"/>
        <w:rPr>
          <w:b/>
          <w:bCs/>
          <w:i/>
          <w:iCs/>
        </w:rPr>
      </w:pPr>
      <w:r>
        <w:rPr>
          <w:b/>
          <w:bCs/>
          <w:i/>
          <w:iCs/>
        </w:rPr>
      </w:r>
      <w:r/>
    </w:p>
    <w:p>
      <w:pPr>
        <w:pStyle w:val="940"/>
        <w:ind w:firstLine="708"/>
        <w:jc w:val="both"/>
        <w:rPr>
          <w:bCs/>
          <w:lang w:eastAsia="en-US"/>
        </w:rPr>
      </w:pPr>
      <w:r>
        <w:rPr>
          <w:bCs/>
          <w:lang w:eastAsia="en-US"/>
        </w:rPr>
        <w:t xml:space="preserve">Успешность выполнения заданий базового уровня сложности составляет 57</w:t>
      </w:r>
      <w:r>
        <w:rPr>
          <w:bCs/>
          <w:lang w:eastAsia="en-US"/>
        </w:rPr>
        <w:t xml:space="preserve">,8 – 95,8% (от 58,95 % до 99,1% в 2020 году). Для выполнения задания 1 выпускник должен уметь выполнять арифметические действия с целыми числами, знать основные способы решения задач на проценты. Типичные ошибки при выполнении задания 2 связаны, в первую о</w:t>
      </w:r>
      <w:r>
        <w:rPr>
          <w:bCs/>
          <w:lang w:eastAsia="en-US"/>
        </w:rPr>
        <w:t xml:space="preserve">чередь, с невнимательным чтением условия задачи. Задание 3 представляло задачу на нахождение площади трапеции на клетчатой бумаге. Традиционно учащиеся хорошо справляются с таким типом заданий. Задание 4 – задача курса «Теория вероятностей и статистика». П</w:t>
      </w:r>
      <w:r>
        <w:rPr>
          <w:bCs/>
          <w:lang w:eastAsia="en-US"/>
        </w:rPr>
        <w:t xml:space="preserve">роверялось умение вычислять вероятность события в простейшей ситуации. Проблемы у участников возникают из-за недостаточной сформированности понятия «вероятность события». В сравнении с прошлым годом менее успешно было выполнено задание 6 по планиметрии 57,</w:t>
      </w:r>
      <w:r>
        <w:rPr>
          <w:bCs/>
          <w:lang w:eastAsia="en-US"/>
        </w:rPr>
        <w:t xml:space="preserve">8% (66,32 % в 2020 году). Задачу 7 на применение производной с использованием её графика выполнили более половины участников ЕГЭ профильного уровня 62,1% (58,95% в 2020 году), задание традиционное, но у учащихся вызывает значительные трудности. Проблемы у </w:t>
      </w:r>
      <w:r>
        <w:rPr>
          <w:bCs/>
          <w:lang w:eastAsia="en-US"/>
        </w:rPr>
        <w:t xml:space="preserve">участников возникают в основном из-за незнания свойств производной, ошибки при интерпретации условия, вызванной отсутствием навыков функционального чтения. Успешность выполнения стереометрической задачи 8 также ниже прошлогодней 60,1% (64,99% в 2020 году).</w:t>
      </w:r>
      <w:r/>
    </w:p>
    <w:p>
      <w:pPr>
        <w:pStyle w:val="940"/>
        <w:ind w:firstLine="708"/>
        <w:jc w:val="both"/>
      </w:pPr>
      <w:r>
        <w:rPr>
          <w:bCs/>
          <w:lang w:eastAsia="en-US"/>
        </w:rPr>
        <w:t xml:space="preserve">Успешность выполнения заданий повышенного уровня сложности с кратким ответом составляет 56,1-84,7% (32,83-74,77% в 2020 году).</w:t>
      </w:r>
      <w:r>
        <w:rPr>
          <w:lang w:eastAsia="en-US"/>
        </w:rPr>
        <w:t xml:space="preserve"> </w:t>
      </w:r>
      <w:r>
        <w:rPr>
          <w:bCs/>
          <w:lang w:eastAsia="en-US"/>
        </w:rPr>
        <w:t xml:space="preserve">Из заданий с кратким ответом повышенного уровня сложности, как и в прошлом году успешнее всего было выполнено задание 10 на вычисления по формулам (84,7%). В сравнении с 2020 годом этот результат выше (74,77% в 2020 году).</w:t>
      </w:r>
      <w:r>
        <w:rPr>
          <w:lang w:eastAsia="en-US"/>
        </w:rPr>
        <w:t xml:space="preserve"> </w:t>
      </w:r>
      <w:r>
        <w:rPr>
          <w:bCs/>
          <w:lang w:eastAsia="en-US"/>
        </w:rPr>
        <w:t xml:space="preserve"> Наибольшая трудность в заданиях такого типа – чтение, понимание условия, применение математических знаний. При ре</w:t>
      </w:r>
      <w:r>
        <w:rPr>
          <w:bCs/>
          <w:lang w:eastAsia="en-US"/>
        </w:rPr>
        <w:t xml:space="preserve">шении этой задачи проблемы у участников чаще всего возникают на этапе чтения условия задачи или при подстановке данных в формулу. Если в прошлом году с заданием 9 успешно справились 64,23% участников экзамена, то в этом году результат гораздо лучше 75,9%. </w:t>
      </w:r>
      <w:r>
        <w:rPr>
          <w:bCs/>
          <w:color w:val="000000"/>
          <w:lang w:eastAsia="en-US"/>
        </w:rPr>
        <w:t xml:space="preserve">Задание 9 в этом году было на нахождение значения тригонометрического выражения с использованием формулы синуса двойного аргумента, которая была предоставлена участникам в справочных материалах. </w:t>
      </w:r>
      <w:r>
        <w:rPr>
          <w:bCs/>
          <w:lang w:eastAsia="en-US"/>
        </w:rPr>
        <w:t xml:space="preserve">Задание 11 проверяло умения строить и исследовать п</w:t>
      </w:r>
      <w:r>
        <w:rPr>
          <w:bCs/>
          <w:lang w:eastAsia="en-US"/>
        </w:rPr>
        <w:t xml:space="preserve">ростейшие математические модели. Как и в прошлом году это была задача на составление дробно-рационального уравнения, успешность выполнения – 62,4%, что значительно лучше, чем в прошлом году (32,83% в 2020 году), хотя на протяжении ряда лет диагностировался</w:t>
      </w:r>
      <w:r>
        <w:rPr>
          <w:bCs/>
          <w:lang w:eastAsia="en-US"/>
        </w:rPr>
        <w:t xml:space="preserve"> низкий уровень выполнения этого задания. Данная задача является стандартной задачей на составление уравнения курса алгебры 7-9 классов. В этом году участники лучше справились с традиционно сложным для них заданием 12 на нахождение точки максимума (минимум</w:t>
      </w:r>
      <w:r>
        <w:rPr>
          <w:bCs/>
          <w:lang w:eastAsia="en-US"/>
        </w:rPr>
        <w:t xml:space="preserve">а) функции, процент выполнения 56,1% (47,74 % в 2020 году). Это задание проверяло умение применять производную для исследования функции. Наиболее распространенные ошибки в нахождении производной, невнимательное чтение условия задачи, вычислительные ошибки.</w:t>
      </w:r>
      <w:r/>
    </w:p>
    <w:p>
      <w:pPr>
        <w:pStyle w:val="940"/>
        <w:jc w:val="both"/>
        <w:rPr>
          <w:bCs/>
          <w:lang w:eastAsia="en-US"/>
        </w:rPr>
      </w:pPr>
      <w:r>
        <w:rPr>
          <w:bCs/>
          <w:lang w:eastAsia="en-US"/>
        </w:rPr>
      </w:r>
      <w:r/>
    </w:p>
    <w:p>
      <w:pPr>
        <w:pStyle w:val="940"/>
        <w:jc w:val="right"/>
        <w:keepNext/>
        <w:spacing w:before="0" w:after="200"/>
        <w:rPr>
          <w:bCs/>
          <w:i/>
          <w:sz w:val="18"/>
          <w:szCs w:val="18"/>
          <w:lang w:val="en-US"/>
        </w:rPr>
      </w:pPr>
      <w:r>
        <w:rPr>
          <w:bCs/>
          <w:i/>
          <w:sz w:val="18"/>
          <w:szCs w:val="18"/>
          <w:lang w:val="en-US"/>
        </w:rPr>
        <w:t xml:space="preserve">Таблица 2-13</w:t>
      </w:r>
      <w:r/>
    </w:p>
    <w:tbl>
      <w:tblPr>
        <w:tblW w:w="4950" w:type="pct"/>
        <w:tblInd w:w="-10" w:type="dxa"/>
        <w:tblLayout w:type="fixed"/>
        <w:tblCellMar>
          <w:left w:w="57" w:type="dxa"/>
          <w:top w:w="0" w:type="dxa"/>
          <w:right w:w="57" w:type="dxa"/>
          <w:bottom w:w="0" w:type="dxa"/>
        </w:tblCellMar>
        <w:tblLook w:val="04A0" w:firstRow="1" w:lastRow="0" w:firstColumn="1" w:lastColumn="0" w:noHBand="0" w:noVBand="1"/>
      </w:tblPr>
      <w:tblGrid>
        <w:gridCol w:w="854"/>
        <w:gridCol w:w="1900"/>
        <w:gridCol w:w="1683"/>
        <w:gridCol w:w="1014"/>
        <w:gridCol w:w="1012"/>
        <w:gridCol w:w="1013"/>
        <w:gridCol w:w="967"/>
        <w:gridCol w:w="47"/>
        <w:gridCol w:w="1051"/>
      </w:tblGrid>
      <w:tr>
        <w:trPr>
          <w:cantSplit/>
          <w:trHeight w:val="313"/>
          <w:tblHeader/>
        </w:trPr>
        <w:tc>
          <w:tcPr>
            <w:tcBorders>
              <w:top w:val="single" w:color="000000" w:sz="8" w:space="0"/>
              <w:left w:val="single" w:color="000000" w:sz="8" w:space="0"/>
            </w:tcBorders>
            <w:tcW w:w="854"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1900"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683"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6"/>
            <w:tcBorders>
              <w:top w:val="single" w:color="000000" w:sz="8" w:space="0"/>
              <w:left w:val="single" w:color="000000" w:sz="8" w:space="0"/>
              <w:right w:val="single" w:color="000000" w:sz="8" w:space="0"/>
            </w:tcBorders>
            <w:tcW w:w="5104" w:type="dxa"/>
            <w:textDirection w:val="lrTb"/>
            <w:noWrap w:val="false"/>
          </w:tcPr>
          <w:p>
            <w:pPr>
              <w:pStyle w:val="940"/>
              <w:jc w:val="center"/>
            </w:pPr>
            <w:r>
              <w:t xml:space="preserve">Процент выполнения задания </w:t>
              <w:br/>
              <w:t xml:space="preserve">в субъекте Российской Федерации</w:t>
            </w:r>
            <w:r/>
          </w:p>
        </w:tc>
      </w:tr>
      <w:tr>
        <w:trPr>
          <w:cantSplit/>
          <w:trHeight w:val="635"/>
          <w:tblHeader/>
        </w:trPr>
        <w:tc>
          <w:tcPr>
            <w:tcBorders>
              <w:top w:val="single" w:color="000000" w:sz="8" w:space="0"/>
              <w:left w:val="single" w:color="000000" w:sz="8" w:space="0"/>
            </w:tcBorders>
            <w:tcW w:w="854" w:type="dxa"/>
            <w:vAlign w:val="center"/>
            <w:vMerge w:val="continue"/>
            <w:textDirection w:val="lrTb"/>
            <w:noWrap w:val="false"/>
          </w:tcPr>
          <w:p>
            <w:pPr>
              <w:pStyle w:val="940"/>
              <w:jc w:val="center"/>
              <w:rPr>
                <w:bCs/>
                <w:sz w:val="22"/>
                <w:szCs w:val="22"/>
                <w:lang w:eastAsia="en-US"/>
              </w:rPr>
            </w:pPr>
            <w:r>
              <w:rPr>
                <w:bCs/>
                <w:sz w:val="22"/>
                <w:szCs w:val="22"/>
                <w:lang w:eastAsia="en-US"/>
              </w:rPr>
            </w:r>
            <w:r/>
          </w:p>
        </w:tc>
        <w:tc>
          <w:tcPr>
            <w:tcBorders>
              <w:top w:val="single" w:color="000000" w:sz="8" w:space="0"/>
              <w:left w:val="single" w:color="000000" w:sz="8" w:space="0"/>
            </w:tcBorders>
            <w:tcW w:w="1900" w:type="dxa"/>
            <w:vAlign w:val="center"/>
            <w:vMerge w:val="continue"/>
            <w:textDirection w:val="lrTb"/>
            <w:noWrap w:val="false"/>
          </w:tcPr>
          <w:p>
            <w:pPr>
              <w:pStyle w:val="940"/>
              <w:jc w:val="center"/>
              <w:rPr>
                <w:bCs/>
                <w:sz w:val="22"/>
                <w:szCs w:val="22"/>
                <w:lang w:eastAsia="en-US"/>
              </w:rPr>
            </w:pPr>
            <w:r>
              <w:rPr>
                <w:bCs/>
                <w:sz w:val="22"/>
                <w:szCs w:val="22"/>
                <w:lang w:eastAsia="en-US"/>
              </w:rPr>
            </w:r>
            <w:r/>
          </w:p>
        </w:tc>
        <w:tc>
          <w:tcPr>
            <w:tcBorders>
              <w:top w:val="single" w:color="000000" w:sz="8" w:space="0"/>
              <w:left w:val="single" w:color="000000" w:sz="8" w:space="0"/>
            </w:tcBorders>
            <w:tcW w:w="1683"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1014" w:type="dxa"/>
            <w:vAlign w:val="center"/>
            <w:textDirection w:val="lrTb"/>
            <w:noWrap w:val="false"/>
          </w:tcPr>
          <w:p>
            <w:pPr>
              <w:pStyle w:val="940"/>
              <w:jc w:val="center"/>
              <w:rPr>
                <w:sz w:val="22"/>
              </w:rPr>
            </w:pPr>
            <w:r>
              <w:rPr>
                <w:sz w:val="22"/>
              </w:rPr>
              <w:t xml:space="preserve">средний</w:t>
            </w:r>
            <w:r/>
          </w:p>
        </w:tc>
        <w:tc>
          <w:tcPr>
            <w:tcBorders>
              <w:top w:val="single" w:color="000000" w:sz="8" w:space="0"/>
              <w:left w:val="single" w:color="000000" w:sz="8" w:space="0"/>
              <w:bottom w:val="single" w:color="000000" w:sz="8" w:space="0"/>
            </w:tcBorders>
            <w:tcW w:w="1012" w:type="dxa"/>
            <w:textDirection w:val="lrTb"/>
            <w:noWrap w:val="false"/>
          </w:tcPr>
          <w:p>
            <w:pPr>
              <w:pStyle w:val="940"/>
              <w:jc w:val="center"/>
              <w:rPr>
                <w:bCs/>
                <w:sz w:val="22"/>
              </w:rPr>
            </w:pPr>
            <w:r>
              <w:rPr>
                <w:bCs/>
                <w:sz w:val="22"/>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013" w:type="dxa"/>
            <w:vAlign w:val="center"/>
            <w:textDirection w:val="lrTb"/>
            <w:noWrap w:val="false"/>
          </w:tcPr>
          <w:p>
            <w:pPr>
              <w:pStyle w:val="940"/>
              <w:jc w:val="center"/>
              <w:rPr>
                <w:bCs/>
                <w:sz w:val="22"/>
              </w:rPr>
            </w:pPr>
            <w:r>
              <w:rPr>
                <w:bCs/>
                <w:sz w:val="22"/>
              </w:rPr>
              <w:t xml:space="preserve">в группе от минимального до 60 т.б.</w:t>
            </w:r>
            <w:r/>
          </w:p>
        </w:tc>
        <w:tc>
          <w:tcPr>
            <w:gridSpan w:val="2"/>
            <w:tcBorders>
              <w:top w:val="single" w:color="000000" w:sz="8" w:space="0"/>
              <w:left w:val="single" w:color="000000" w:sz="8" w:space="0"/>
              <w:bottom w:val="single" w:color="000000" w:sz="8" w:space="0"/>
            </w:tcBorders>
            <w:tcW w:w="1014" w:type="dxa"/>
            <w:vAlign w:val="center"/>
            <w:textDirection w:val="lrTb"/>
            <w:noWrap w:val="false"/>
          </w:tcPr>
          <w:p>
            <w:pPr>
              <w:pStyle w:val="940"/>
              <w:jc w:val="center"/>
              <w:rPr>
                <w:bCs/>
                <w:sz w:val="22"/>
              </w:rPr>
            </w:pPr>
            <w:r>
              <w:rPr>
                <w:bCs/>
                <w:sz w:val="22"/>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051" w:type="dxa"/>
            <w:vAlign w:val="center"/>
            <w:textDirection w:val="lrTb"/>
            <w:noWrap w:val="false"/>
          </w:tcPr>
          <w:p>
            <w:pPr>
              <w:pStyle w:val="940"/>
              <w:jc w:val="center"/>
              <w:rPr>
                <w:bCs/>
                <w:sz w:val="22"/>
              </w:rPr>
            </w:pPr>
            <w:r>
              <w:rPr>
                <w:bCs/>
                <w:sz w:val="22"/>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использовать приобретенные знания и умения в практической деятельности и повседневной жизни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95,36</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74,31</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95,65</w:t>
            </w:r>
            <w:r/>
          </w:p>
        </w:tc>
        <w:tc>
          <w:tcPr>
            <w:tcBorders>
              <w:top w:val="single" w:color="000000" w:sz="8" w:space="0"/>
              <w:left w:val="single" w:color="000000" w:sz="8" w:space="0"/>
              <w:bottom w:val="single" w:color="000000" w:sz="8" w:space="0"/>
            </w:tcBorders>
            <w:tcW w:w="967"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98,59</w:t>
            </w:r>
            <w:r/>
          </w:p>
        </w:tc>
        <w:tc>
          <w:tcPr>
            <w:gridSpan w:val="2"/>
            <w:tcBorders>
              <w:top w:val="single" w:color="000000" w:sz="8" w:space="0"/>
              <w:left w:val="single" w:color="000000" w:sz="8" w:space="0"/>
              <w:bottom w:val="single" w:color="000000" w:sz="8" w:space="0"/>
              <w:right w:val="single" w:color="000000" w:sz="8" w:space="0"/>
            </w:tcBorders>
            <w:tcW w:w="1098"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98,56</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2</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использовать приобретенные знания и умения в практической деятельности и повседневной жизни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92,31</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65,97</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91,90</w:t>
            </w:r>
            <w:r/>
          </w:p>
        </w:tc>
        <w:tc>
          <w:tcPr>
            <w:tcBorders>
              <w:top w:val="single" w:color="000000" w:sz="8" w:space="0"/>
              <w:left w:val="single" w:color="000000" w:sz="8" w:space="0"/>
              <w:bottom w:val="single" w:color="000000" w:sz="8" w:space="0"/>
            </w:tcBorders>
            <w:tcW w:w="967"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97,18</w:t>
            </w:r>
            <w:r/>
          </w:p>
        </w:tc>
        <w:tc>
          <w:tcPr>
            <w:gridSpan w:val="2"/>
            <w:tcBorders>
              <w:top w:val="single" w:color="000000" w:sz="8" w:space="0"/>
              <w:left w:val="single" w:color="000000" w:sz="8" w:space="0"/>
              <w:bottom w:val="single" w:color="000000" w:sz="8" w:space="0"/>
              <w:right w:val="single" w:color="000000" w:sz="8" w:space="0"/>
            </w:tcBorders>
            <w:tcW w:w="1098"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97,84</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3</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геометрическими фигурами, координатами и векторами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90,01</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46,53</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89,03</w:t>
            </w:r>
            <w:r/>
          </w:p>
        </w:tc>
        <w:tc>
          <w:tcPr>
            <w:tcBorders>
              <w:top w:val="single" w:color="000000" w:sz="8" w:space="0"/>
              <w:left w:val="single" w:color="000000" w:sz="8" w:space="0"/>
              <w:bottom w:val="single" w:color="000000" w:sz="8" w:space="0"/>
            </w:tcBorders>
            <w:tcW w:w="967"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98,31</w:t>
            </w:r>
            <w:r/>
          </w:p>
        </w:tc>
        <w:tc>
          <w:tcPr>
            <w:gridSpan w:val="2"/>
            <w:tcBorders>
              <w:top w:val="single" w:color="000000" w:sz="8" w:space="0"/>
              <w:left w:val="single" w:color="000000" w:sz="8" w:space="0"/>
              <w:bottom w:val="single" w:color="000000" w:sz="8" w:space="0"/>
              <w:right w:val="single" w:color="000000" w:sz="8" w:space="0"/>
            </w:tcBorders>
            <w:tcW w:w="1098"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100,00</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4</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строить и исследовать простейшие математические модели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93,11</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54,86</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93,77</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98,59</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100,00</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5</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решать уравнения и неравенства</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95,76</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65,28</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97,04</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99,58</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98,56</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6</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геометрическими фигурами, координатами и векторами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57,81</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7,64</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43,68</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81,07</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94,24</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7</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функциями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62,06</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22,22</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48,91</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82,34</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95,68</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8</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геометрическими фигурами, координатами и векторами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60,11</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6,94</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45,36</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84,75</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97,12</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9</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вычисления и преобразования</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75,89</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21,53</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66,11</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96,19</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100,00</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10</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использовать приобретенные знания и умения в практической деятельности и повседневной жизни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84,72</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22,22</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82,02</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98,45</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99,28</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11</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строить и исследовать простейшие математические модели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62,36</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6,94</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48,32</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87,15</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95,68</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12</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строить и исследовать простейшие математические модели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56,12</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2,08</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39,03</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83,33</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97,84</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13</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строить и исследовать простейшие математические модели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32,58</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0,35</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5,93</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64,34</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98,20</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14</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геометрическими фигурами, координатами и векторами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4,42</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0,69</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5,93</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28,42</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15</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решать уравнения и неравенства</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21,69</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1,28</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40,75</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95,68</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16</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выполнять действия с геометрическими фигурами, координатами и векторами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0,98</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0,03</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0,38</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11,99</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17</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использовать приобретенные знания и умения в практической деятельности и повседневной жизни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15,46</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0,16</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24,44</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97,12</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18</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решать уравнения и неравенства</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1,05</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0,00</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0,25</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13,85</w:t>
            </w:r>
            <w:r/>
          </w:p>
        </w:tc>
      </w:tr>
      <w:tr>
        <w:trPr>
          <w:cantSplit/>
          <w:trHeight w:val="309"/>
        </w:trPr>
        <w:tc>
          <w:tcPr>
            <w:tcBorders>
              <w:top w:val="single" w:color="000000" w:sz="8" w:space="0"/>
              <w:left w:val="single" w:color="000000" w:sz="8" w:space="0"/>
              <w:bottom w:val="single" w:color="000000" w:sz="8" w:space="0"/>
            </w:tcBorders>
            <w:tcW w:w="854" w:type="dxa"/>
            <w:vAlign w:val="center"/>
            <w:textDirection w:val="lrTb"/>
            <w:noWrap w:val="false"/>
          </w:tcPr>
          <w:p>
            <w:pPr>
              <w:pStyle w:val="940"/>
              <w:jc w:val="center"/>
            </w:pPr>
            <w:r>
              <w:t xml:space="preserve">19</w:t>
            </w:r>
            <w:r/>
          </w:p>
        </w:tc>
        <w:tc>
          <w:tcPr>
            <w:tcBorders>
              <w:top w:val="single" w:color="000000" w:sz="8" w:space="0"/>
              <w:left w:val="single" w:color="000000" w:sz="8" w:space="0"/>
              <w:bottom w:val="single" w:color="000000" w:sz="8" w:space="0"/>
            </w:tcBorders>
            <w:tcW w:w="1900" w:type="dxa"/>
            <w:vAlign w:val="center"/>
            <w:textDirection w:val="lrTb"/>
            <w:noWrap w:val="false"/>
          </w:tcPr>
          <w:p>
            <w:pPr>
              <w:pStyle w:val="940"/>
              <w:jc w:val="center"/>
              <w:rPr>
                <w:lang w:eastAsia="en-US"/>
              </w:rPr>
            </w:pPr>
            <w:r>
              <w:rPr>
                <w:lang w:eastAsia="en-US"/>
              </w:rPr>
              <w:t xml:space="preserve">Уметь строить и исследовать простейшие математические модели</w:t>
            </w:r>
            <w:r/>
          </w:p>
        </w:tc>
        <w:tc>
          <w:tcPr>
            <w:tcBorders>
              <w:top w:val="single" w:color="000000" w:sz="8" w:space="0"/>
              <w:left w:val="single" w:color="000000" w:sz="8" w:space="0"/>
              <w:bottom w:val="single" w:color="000000" w:sz="8" w:space="0"/>
            </w:tcBorders>
            <w:tcW w:w="1683"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11,30</w:t>
            </w:r>
            <w:r/>
          </w:p>
        </w:tc>
        <w:tc>
          <w:tcPr>
            <w:tcBorders>
              <w:top w:val="single" w:color="000000" w:sz="8" w:space="0"/>
              <w:left w:val="single" w:color="000000" w:sz="8" w:space="0"/>
              <w:bottom w:val="single" w:color="000000" w:sz="8" w:space="0"/>
            </w:tcBorders>
            <w:tcW w:w="1012"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0,52</w:t>
            </w:r>
            <w:r/>
          </w:p>
        </w:tc>
        <w:tc>
          <w:tcPr>
            <w:tcBorders>
              <w:top w:val="single" w:color="000000" w:sz="8" w:space="0"/>
              <w:left w:val="single" w:color="000000" w:sz="8" w:space="0"/>
              <w:bottom w:val="single" w:color="000000" w:sz="8" w:space="0"/>
            </w:tcBorders>
            <w:tcW w:w="1013"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5,31</w:t>
            </w:r>
            <w:r/>
          </w:p>
        </w:tc>
        <w:tc>
          <w:tcPr>
            <w:gridSpan w:val="2"/>
            <w:tcBorders>
              <w:top w:val="single" w:color="000000" w:sz="8" w:space="0"/>
              <w:left w:val="single" w:color="000000" w:sz="8" w:space="0"/>
              <w:bottom w:val="single" w:color="000000" w:sz="8" w:space="0"/>
            </w:tcBorders>
            <w:tcW w:w="1014"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16,74</w:t>
            </w:r>
            <w:r/>
          </w:p>
        </w:tc>
        <w:tc>
          <w:tcPr>
            <w:tcBorders>
              <w:top w:val="single" w:color="000000" w:sz="8" w:space="0"/>
              <w:left w:val="single" w:color="000000" w:sz="8" w:space="0"/>
              <w:bottom w:val="single" w:color="000000" w:sz="8" w:space="0"/>
              <w:right w:val="single" w:color="000000" w:sz="8" w:space="0"/>
            </w:tcBorders>
            <w:tcW w:w="1051" w:type="dxa"/>
            <w:vAlign w:val="bottom"/>
            <w:textDirection w:val="lrTb"/>
            <w:noWrap w:val="false"/>
          </w:tcPr>
          <w:p>
            <w:pPr>
              <w:pStyle w:val="940"/>
              <w:jc w:val="center"/>
              <w:spacing w:before="0" w:after="160" w:line="254" w:lineRule="auto"/>
              <w:rPr>
                <w:color w:val="000000"/>
                <w:sz w:val="22"/>
                <w:szCs w:val="22"/>
                <w:lang w:eastAsia="en-US"/>
              </w:rPr>
            </w:pPr>
            <w:r>
              <w:rPr>
                <w:color w:val="000000"/>
                <w:sz w:val="22"/>
                <w:szCs w:val="22"/>
                <w:lang w:eastAsia="en-US"/>
              </w:rPr>
              <w:t xml:space="preserve">38,31</w:t>
            </w:r>
            <w:r/>
          </w:p>
        </w:tc>
      </w:tr>
    </w:tbl>
    <w:p>
      <w:pPr>
        <w:pStyle w:val="940"/>
        <w:jc w:val="both"/>
        <w:rPr>
          <w:bCs/>
          <w:lang w:eastAsia="en-US"/>
        </w:rPr>
      </w:pPr>
      <w:r>
        <w:rPr>
          <w:bCs/>
          <w:lang w:eastAsia="en-US"/>
        </w:rPr>
      </w:r>
      <w:r/>
    </w:p>
    <w:p>
      <w:pPr>
        <w:pStyle w:val="943"/>
        <w:numPr>
          <w:ilvl w:val="0"/>
          <w:numId w:val="0"/>
        </w:numPr>
        <w:ind w:left="852" w:firstLine="0"/>
      </w:pPr>
      <w:r>
        <w:rPr>
          <w:rFonts w:ascii="Times New Roman" w:hAnsi="Times New Roman" w:cs="Times New Roman"/>
          <w:bCs w:val="0"/>
          <w:lang w:val="ru-RU"/>
        </w:rPr>
        <w:t xml:space="preserve">3.2.2.</w:t>
      </w:r>
      <w:r>
        <w:rPr>
          <w:rFonts w:ascii="Times New Roman" w:hAnsi="Times New Roman" w:cs="Times New Roman"/>
          <w:b w:val="0"/>
          <w:bCs w:val="0"/>
          <w:lang w:val="ru-RU"/>
        </w:rPr>
        <w:t xml:space="preserve"> </w:t>
      </w:r>
      <w:r>
        <w:rPr>
          <w:rFonts w:ascii="Times New Roman" w:hAnsi="Times New Roman" w:cs="Times New Roman"/>
          <w:b w:val="0"/>
          <w:bCs w:val="0"/>
        </w:rPr>
        <w:t xml:space="preserve">Содержательный анализ выполнения заданий КИМ</w:t>
      </w:r>
      <w:r/>
    </w:p>
    <w:p>
      <w:pPr>
        <w:pStyle w:val="940"/>
        <w:ind w:firstLine="708"/>
        <w:spacing w:line="252" w:lineRule="auto"/>
      </w:pPr>
      <w:r>
        <w:rPr>
          <w:lang w:eastAsia="en-US"/>
        </w:rPr>
        <w:t xml:space="preserve">Самые сложные для участников ЕГЭ задания </w:t>
      </w:r>
      <w:r>
        <w:rPr>
          <w:bCs/>
          <w:lang w:eastAsia="en-US"/>
        </w:rPr>
        <w:t xml:space="preserve">— это задания с развернутым ответом.</w:t>
      </w:r>
      <w:r/>
    </w:p>
    <w:p>
      <w:pPr>
        <w:pStyle w:val="940"/>
        <w:ind w:firstLine="708"/>
        <w:jc w:val="both"/>
        <w:rPr>
          <w:bCs/>
          <w:lang w:eastAsia="en-US"/>
        </w:rPr>
      </w:pPr>
      <w:r>
        <w:rPr>
          <w:bCs/>
          <w:lang w:eastAsia="en-US"/>
        </w:rPr>
        <w:t xml:space="preserve">Задания повышенного уровня сложности 13 и 15 с развернутым ответом, пров</w:t>
      </w:r>
      <w:r>
        <w:rPr>
          <w:bCs/>
          <w:lang w:eastAsia="en-US"/>
        </w:rPr>
        <w:t xml:space="preserve">еряющие умение решать уравнения и неравенства, наиболее успешно решаемы среди заданий с развернутым ответом повышенного уровня сложности. С заданием 13   в среднем справились 32,58% участников экзамена, что хуже, чем в прошлом году (41,28%). Задание провер</w:t>
      </w:r>
      <w:r>
        <w:rPr>
          <w:bCs/>
          <w:lang w:eastAsia="en-US"/>
        </w:rPr>
        <w:t xml:space="preserve">яет сформированность умений решать тригонометрическое уравнение и отбирать корни, принадлежащие числовому отрезку. Это задание решают выпускники с хорошей и отличной подготовкой, выпускники со слабой подготовкой к этому заданию, как правило, не приступают.</w:t>
      </w:r>
      <w:r/>
    </w:p>
    <w:p>
      <w:pPr>
        <w:pStyle w:val="940"/>
        <w:ind w:firstLine="708"/>
        <w:jc w:val="both"/>
        <w:rPr>
          <w:bCs/>
          <w:lang w:eastAsia="en-US"/>
        </w:rPr>
      </w:pPr>
      <w:r>
        <w:rPr>
          <w:bCs/>
          <w:lang w:eastAsia="en-US"/>
        </w:rPr>
        <w:t xml:space="preserve">Основные ошибки, допущенные в работах участников экзамена при выполнении задания 13: </w:t>
      </w:r>
      <w:r/>
    </w:p>
    <w:p>
      <w:pPr>
        <w:pStyle w:val="940"/>
        <w:numPr>
          <w:ilvl w:val="0"/>
          <w:numId w:val="7"/>
        </w:numPr>
        <w:contextualSpacing/>
        <w:ind w:left="0" w:firstLine="0"/>
        <w:jc w:val="both"/>
        <w:spacing w:before="0" w:after="0"/>
        <w:rPr>
          <w:bCs/>
          <w:lang w:eastAsia="en-US"/>
        </w:rPr>
      </w:pPr>
      <w:r>
        <w:rPr>
          <w:bCs/>
          <w:lang w:eastAsia="en-US"/>
        </w:rPr>
        <w:t xml:space="preserve">неверное применение способа группировки при разложении на множители; </w:t>
      </w:r>
      <w:r/>
    </w:p>
    <w:p>
      <w:pPr>
        <w:pStyle w:val="940"/>
        <w:numPr>
          <w:ilvl w:val="0"/>
          <w:numId w:val="7"/>
        </w:numPr>
        <w:contextualSpacing/>
        <w:ind w:left="0" w:firstLine="0"/>
        <w:jc w:val="both"/>
        <w:spacing w:before="0" w:after="0"/>
        <w:rPr>
          <w:bCs/>
          <w:lang w:eastAsia="en-US"/>
        </w:rPr>
      </w:pPr>
      <w:r>
        <w:rPr>
          <w:bCs/>
          <w:lang w:eastAsia="en-US"/>
        </w:rPr>
        <w:t xml:space="preserve">незнание формул решения простейших тригонометрических уравнений; </w:t>
      </w:r>
      <w:r/>
    </w:p>
    <w:p>
      <w:pPr>
        <w:pStyle w:val="940"/>
        <w:numPr>
          <w:ilvl w:val="0"/>
          <w:numId w:val="7"/>
        </w:numPr>
        <w:contextualSpacing/>
        <w:ind w:left="0" w:firstLine="0"/>
        <w:jc w:val="both"/>
        <w:spacing w:before="0" w:after="0"/>
        <w:rPr>
          <w:bCs/>
          <w:lang w:eastAsia="en-US"/>
        </w:rPr>
      </w:pPr>
      <w:r>
        <w:rPr>
          <w:bCs/>
          <w:lang w:eastAsia="en-US"/>
        </w:rPr>
        <w:t xml:space="preserve">незнание значений тригонометрических функций;</w:t>
      </w:r>
      <w:r/>
    </w:p>
    <w:p>
      <w:pPr>
        <w:pStyle w:val="940"/>
        <w:numPr>
          <w:ilvl w:val="0"/>
          <w:numId w:val="7"/>
        </w:numPr>
        <w:contextualSpacing/>
        <w:ind w:left="0" w:firstLine="0"/>
        <w:jc w:val="both"/>
        <w:spacing w:before="0" w:after="0"/>
        <w:rPr>
          <w:bCs/>
          <w:lang w:eastAsia="en-US"/>
        </w:rPr>
      </w:pPr>
      <w:r>
        <w:rPr>
          <w:bCs/>
          <w:lang w:eastAsia="en-US"/>
        </w:rPr>
        <w:t xml:space="preserve">неверное проведение отбора корней тригонометрического уравнения на заданном отрезке. </w:t>
      </w:r>
      <w:r/>
    </w:p>
    <w:p>
      <w:pPr>
        <w:pStyle w:val="940"/>
        <w:ind w:firstLine="708"/>
        <w:jc w:val="both"/>
        <w:rPr>
          <w:bCs/>
          <w:lang w:eastAsia="en-US"/>
        </w:rPr>
      </w:pPr>
      <w:r>
        <w:rPr>
          <w:bCs/>
          <w:lang w:eastAsia="en-US"/>
        </w:rPr>
        <w:t xml:space="preserve">Задание 15 проверяет сформированность умения решать неравенства. В этом году это показательное неравенство. Также это задание решают выпускники с хорошей и отличной подготовкой, выпускники со слабой подготовкой к этом</w:t>
      </w:r>
      <w:r>
        <w:rPr>
          <w:bCs/>
          <w:lang w:eastAsia="en-US"/>
        </w:rPr>
        <w:t xml:space="preserve">у заданию, как правило, не приступают.  Частично или полностью справились с решением данной задачи 21,69% учащихся. Результат лучше прошлогоднего (15,08%), но его нельзя назвать удовлетворительным. Низкий процент выполнения задания 15 свидетельствует о сущ</w:t>
      </w:r>
      <w:r>
        <w:rPr>
          <w:bCs/>
          <w:lang w:eastAsia="en-US"/>
        </w:rPr>
        <w:t xml:space="preserve">ествующей проблеме – отсутствии у выпускников средней школы умения решать неравенства вообще (не только показательные). Основанием для такого вывода является характер типичных ошибок, допущенных в решении квадратного неравенства, а также при применении мет</w:t>
      </w:r>
      <w:r>
        <w:rPr>
          <w:bCs/>
          <w:lang w:eastAsia="en-US"/>
        </w:rPr>
        <w:t xml:space="preserve">ода интервалов. При решении показательного неравенства, после замены переменной осуществляется переход к поиску корней вновь полученного квадратного уравнения. Однако, обратное действие по возврату к исходному неравенству, в большинстве работ отсутствует. </w:t>
      </w:r>
      <w:r/>
    </w:p>
    <w:p>
      <w:pPr>
        <w:pStyle w:val="940"/>
        <w:jc w:val="both"/>
        <w:rPr>
          <w:bCs/>
          <w:lang w:eastAsia="en-US"/>
        </w:rPr>
      </w:pPr>
      <w:r>
        <w:rPr>
          <w:bCs/>
          <w:lang w:eastAsia="en-US"/>
        </w:rPr>
        <w:tab/>
        <w:t xml:space="preserve">Основные ошибки:</w:t>
      </w:r>
      <w:r/>
    </w:p>
    <w:p>
      <w:pPr>
        <w:pStyle w:val="940"/>
        <w:numPr>
          <w:ilvl w:val="0"/>
          <w:numId w:val="13"/>
        </w:numPr>
        <w:contextualSpacing/>
        <w:ind w:left="0" w:firstLine="0"/>
        <w:jc w:val="both"/>
        <w:spacing w:before="0" w:after="0"/>
        <w:rPr>
          <w:bCs/>
          <w:lang w:eastAsia="en-US"/>
        </w:rPr>
      </w:pPr>
      <w:r>
        <w:rPr>
          <w:bCs/>
          <w:lang w:eastAsia="en-US"/>
        </w:rPr>
        <w:t xml:space="preserve">неверно применяли метод равносильных переходов;</w:t>
      </w:r>
      <w:r/>
    </w:p>
    <w:p>
      <w:pPr>
        <w:pStyle w:val="940"/>
        <w:numPr>
          <w:ilvl w:val="0"/>
          <w:numId w:val="13"/>
        </w:numPr>
        <w:contextualSpacing/>
        <w:ind w:left="0" w:firstLine="0"/>
        <w:jc w:val="both"/>
        <w:spacing w:before="0" w:after="0"/>
        <w:rPr>
          <w:bCs/>
          <w:lang w:eastAsia="en-US"/>
        </w:rPr>
      </w:pPr>
      <w:r>
        <w:rPr>
          <w:bCs/>
          <w:lang w:eastAsia="en-US"/>
        </w:rPr>
        <w:t xml:space="preserve">неверно выполняли переход от показательного неравенства к квадратному и обратно;</w:t>
      </w:r>
      <w:r/>
    </w:p>
    <w:p>
      <w:pPr>
        <w:pStyle w:val="940"/>
        <w:numPr>
          <w:ilvl w:val="0"/>
          <w:numId w:val="13"/>
        </w:numPr>
        <w:contextualSpacing/>
        <w:ind w:left="0" w:firstLine="0"/>
        <w:jc w:val="both"/>
        <w:spacing w:before="0" w:after="0"/>
        <w:rPr>
          <w:bCs/>
          <w:lang w:eastAsia="en-US"/>
        </w:rPr>
      </w:pPr>
      <w:r>
        <w:rPr>
          <w:bCs/>
          <w:lang w:eastAsia="en-US"/>
        </w:rPr>
        <w:t xml:space="preserve">неверно применяли понятия совокупность и система;</w:t>
      </w:r>
      <w:r/>
    </w:p>
    <w:p>
      <w:pPr>
        <w:pStyle w:val="940"/>
        <w:numPr>
          <w:ilvl w:val="0"/>
          <w:numId w:val="13"/>
        </w:numPr>
        <w:contextualSpacing/>
        <w:ind w:left="0" w:firstLine="0"/>
        <w:jc w:val="both"/>
        <w:spacing w:before="0" w:after="0"/>
        <w:rPr>
          <w:bCs/>
          <w:lang w:eastAsia="en-US"/>
        </w:rPr>
      </w:pPr>
      <w:r>
        <w:rPr>
          <w:bCs/>
          <w:lang w:eastAsia="en-US"/>
        </w:rPr>
        <w:t xml:space="preserve">неверно решали простейшие показательные неравенства;</w:t>
      </w:r>
      <w:r/>
    </w:p>
    <w:p>
      <w:pPr>
        <w:pStyle w:val="940"/>
        <w:numPr>
          <w:ilvl w:val="0"/>
          <w:numId w:val="13"/>
        </w:numPr>
        <w:contextualSpacing/>
        <w:ind w:left="0" w:firstLine="0"/>
        <w:jc w:val="both"/>
        <w:spacing w:before="0" w:after="0"/>
        <w:rPr>
          <w:bCs/>
          <w:lang w:eastAsia="en-US"/>
        </w:rPr>
      </w:pPr>
      <w:r>
        <w:rPr>
          <w:bCs/>
          <w:lang w:eastAsia="en-US"/>
        </w:rPr>
        <w:t xml:space="preserve">неверно применяли метод интервалов.</w:t>
      </w:r>
      <w:r/>
    </w:p>
    <w:p>
      <w:pPr>
        <w:pStyle w:val="940"/>
        <w:contextualSpacing/>
        <w:jc w:val="both"/>
        <w:spacing w:before="0" w:after="0"/>
        <w:rPr>
          <w:bCs/>
          <w:lang w:eastAsia="en-US"/>
        </w:rPr>
      </w:pPr>
      <w:r>
        <w:rPr>
          <w:bCs/>
          <w:lang w:eastAsia="en-US"/>
        </w:rPr>
      </w:r>
      <w:r/>
    </w:p>
    <w:p>
      <w:pPr>
        <w:pStyle w:val="940"/>
        <w:ind w:firstLine="708"/>
        <w:jc w:val="both"/>
      </w:pPr>
      <w:r>
        <w:rPr>
          <w:lang w:eastAsia="en-US"/>
        </w:rPr>
        <w:t xml:space="preserve">Задание 17 с развернутым ответом проверяло способность использовать знания в практической деятельности и повседневной жизни, умение строить и исследовать математические модели. Это – текстовая задача с экономическим содержанием (задача на кредиты). </w:t>
      </w:r>
      <w:r>
        <w:rPr>
          <w:bCs/>
          <w:lang w:eastAsia="en-US"/>
        </w:rPr>
        <w:t xml:space="preserve">Частично или полностью справились с решением данной задачи 15,46%, что значительно лучше, чем в прошлом году (6,44%).</w:t>
      </w:r>
      <w:r>
        <w:rPr>
          <w:lang w:eastAsia="en-US"/>
        </w:rPr>
        <w:t xml:space="preserve"> Типичные ошибки связаны в первую очередь с неверным составлением модели задачи (непонимание взаимосвязи величин) и вычислительными ошибками. </w:t>
      </w:r>
      <w:r/>
    </w:p>
    <w:p>
      <w:pPr>
        <w:pStyle w:val="940"/>
        <w:ind w:firstLine="708"/>
        <w:jc w:val="both"/>
        <w:rPr>
          <w:bCs/>
          <w:lang w:eastAsia="en-US"/>
        </w:rPr>
      </w:pPr>
      <w:r>
        <w:rPr>
          <w:bCs/>
          <w:lang w:eastAsia="en-US"/>
        </w:rPr>
        <w:t xml:space="preserve">Основные ошибки, допущенные в работах участников экзамена при выполнении задания 17:</w:t>
      </w:r>
      <w:r/>
    </w:p>
    <w:p>
      <w:pPr>
        <w:pStyle w:val="940"/>
        <w:numPr>
          <w:ilvl w:val="0"/>
          <w:numId w:val="5"/>
        </w:numPr>
        <w:contextualSpacing/>
        <w:ind w:left="0" w:firstLine="0"/>
        <w:jc w:val="both"/>
        <w:spacing w:before="0" w:after="0"/>
        <w:rPr>
          <w:bCs/>
          <w:lang w:eastAsia="en-US"/>
        </w:rPr>
      </w:pPr>
      <w:r>
        <w:rPr>
          <w:bCs/>
          <w:lang w:eastAsia="en-US"/>
        </w:rPr>
        <w:t xml:space="preserve">неверное прочтение условия задачи;</w:t>
      </w:r>
      <w:r/>
    </w:p>
    <w:p>
      <w:pPr>
        <w:pStyle w:val="940"/>
        <w:numPr>
          <w:ilvl w:val="0"/>
          <w:numId w:val="5"/>
        </w:numPr>
        <w:contextualSpacing/>
        <w:ind w:left="0" w:firstLine="0"/>
        <w:jc w:val="both"/>
        <w:spacing w:before="0" w:after="0"/>
        <w:rPr>
          <w:bCs/>
          <w:lang w:eastAsia="en-US"/>
        </w:rPr>
      </w:pPr>
      <w:r>
        <w:rPr>
          <w:bCs/>
          <w:lang w:eastAsia="en-US"/>
        </w:rPr>
        <w:t xml:space="preserve">составление математической модели, не удовлетворяющей условию;</w:t>
      </w:r>
      <w:r/>
    </w:p>
    <w:p>
      <w:pPr>
        <w:pStyle w:val="940"/>
        <w:numPr>
          <w:ilvl w:val="0"/>
          <w:numId w:val="5"/>
        </w:numPr>
        <w:contextualSpacing/>
        <w:ind w:left="0" w:firstLine="0"/>
        <w:jc w:val="both"/>
        <w:spacing w:before="0" w:after="0"/>
        <w:rPr>
          <w:bCs/>
          <w:lang w:eastAsia="en-US"/>
        </w:rPr>
      </w:pPr>
      <w:r>
        <w:rPr>
          <w:bCs/>
          <w:lang w:eastAsia="en-US"/>
        </w:rPr>
        <w:t xml:space="preserve">недостаточно обоснованное решение;</w:t>
      </w:r>
      <w:r/>
    </w:p>
    <w:p>
      <w:pPr>
        <w:pStyle w:val="940"/>
        <w:numPr>
          <w:ilvl w:val="0"/>
          <w:numId w:val="5"/>
        </w:numPr>
        <w:contextualSpacing/>
        <w:ind w:left="0" w:firstLine="0"/>
        <w:jc w:val="both"/>
        <w:spacing w:before="0" w:after="0"/>
        <w:rPr>
          <w:bCs/>
          <w:lang w:eastAsia="en-US"/>
        </w:rPr>
      </w:pPr>
      <w:r>
        <w:rPr>
          <w:bCs/>
          <w:lang w:eastAsia="en-US"/>
        </w:rPr>
        <w:t xml:space="preserve">вычислительные ошибки.</w:t>
      </w:r>
      <w:r/>
    </w:p>
    <w:p>
      <w:pPr>
        <w:pStyle w:val="940"/>
        <w:jc w:val="both"/>
      </w:pPr>
      <w:r>
        <w:rPr>
          <w:bCs/>
          <w:lang w:eastAsia="en-US"/>
        </w:rPr>
        <w:tab/>
        <w:t xml:space="preserve">Геометрическая задача 14 (стереометрия) повышенного уровня сложности имеет низкий процент выполнения (средний процент выполнения </w:t>
      </w:r>
      <w:r>
        <w:rPr>
          <w:lang w:eastAsia="en-US"/>
        </w:rPr>
        <w:t xml:space="preserve">– 4,42% в этом году и 0,4% в 2020 году), что свидетельствует о несформированности у большинства выпускников умения строить изображения многогранников и</w:t>
      </w:r>
      <w:r>
        <w:rPr>
          <w:lang w:eastAsia="en-US"/>
        </w:rPr>
        <w:t xml:space="preserve"> сечения многогранников плоскостями, комбинировать различные методы решения задач с использованием свойств фигур. Особо следует отметить массовые логические ошибки при доказательстве геометрических фактов. В основном задание выполнено на один балл из двух.</w:t>
      </w:r>
      <w:r/>
    </w:p>
    <w:p>
      <w:pPr>
        <w:pStyle w:val="940"/>
        <w:ind w:firstLine="708"/>
        <w:jc w:val="both"/>
        <w:rPr>
          <w:bCs/>
          <w:lang w:eastAsia="en-US"/>
        </w:rPr>
      </w:pPr>
      <w:r>
        <w:rPr>
          <w:bCs/>
          <w:lang w:eastAsia="en-US"/>
        </w:rPr>
        <w:t xml:space="preserve">Основные ошибки, допущенные в работах участников экзамена при выполнении задания 14:</w:t>
      </w:r>
      <w:r/>
    </w:p>
    <w:p>
      <w:pPr>
        <w:pStyle w:val="940"/>
        <w:numPr>
          <w:ilvl w:val="0"/>
          <w:numId w:val="5"/>
        </w:numPr>
        <w:contextualSpacing/>
        <w:ind w:left="0" w:firstLine="0"/>
        <w:jc w:val="both"/>
        <w:spacing w:before="0" w:after="0"/>
        <w:rPr>
          <w:bCs/>
          <w:lang w:eastAsia="en-US"/>
        </w:rPr>
      </w:pPr>
      <w:r>
        <w:rPr>
          <w:bCs/>
          <w:lang w:eastAsia="en-US"/>
        </w:rPr>
        <w:t xml:space="preserve">неверное доказательство параллельности прямых или его отсутствие;</w:t>
      </w:r>
      <w:r/>
    </w:p>
    <w:p>
      <w:pPr>
        <w:pStyle w:val="940"/>
        <w:numPr>
          <w:ilvl w:val="0"/>
          <w:numId w:val="5"/>
        </w:numPr>
        <w:contextualSpacing/>
        <w:ind w:left="0" w:firstLine="0"/>
        <w:jc w:val="both"/>
        <w:spacing w:before="0" w:after="0"/>
        <w:rPr>
          <w:bCs/>
          <w:lang w:eastAsia="en-US"/>
        </w:rPr>
      </w:pPr>
      <w:r>
        <w:rPr>
          <w:bCs/>
          <w:lang w:eastAsia="en-US"/>
        </w:rPr>
        <w:t xml:space="preserve">неверно определяли высоту пирамиды, объем которой необходимо было найти;</w:t>
      </w:r>
      <w:r/>
    </w:p>
    <w:p>
      <w:pPr>
        <w:pStyle w:val="940"/>
        <w:numPr>
          <w:ilvl w:val="0"/>
          <w:numId w:val="5"/>
        </w:numPr>
        <w:contextualSpacing/>
        <w:ind w:left="0" w:firstLine="0"/>
        <w:jc w:val="both"/>
        <w:spacing w:before="0" w:after="0"/>
        <w:rPr>
          <w:bCs/>
          <w:lang w:eastAsia="en-US"/>
        </w:rPr>
      </w:pPr>
      <w:r>
        <w:rPr>
          <w:bCs/>
          <w:lang w:eastAsia="en-US"/>
        </w:rPr>
        <w:t xml:space="preserve">вычислительные ошибки.</w:t>
      </w:r>
      <w:r/>
    </w:p>
    <w:p>
      <w:pPr>
        <w:pStyle w:val="940"/>
        <w:ind w:firstLine="708"/>
        <w:jc w:val="both"/>
      </w:pPr>
      <w:r>
        <w:rPr>
          <w:bCs/>
          <w:lang w:eastAsia="en-US"/>
        </w:rPr>
        <w:t xml:space="preserve">В этом году планиметрическое задание 16 </w:t>
      </w:r>
      <w:r>
        <w:rPr>
          <w:lang w:eastAsia="en-US"/>
        </w:rPr>
        <w:t xml:space="preserve">выполнялось значительно хуже стереометрического задания. Типичные ошибки связаны в первую очередь с неверным пониманием логики построения доказательства. </w:t>
      </w:r>
      <w:r>
        <w:rPr>
          <w:bCs/>
          <w:lang w:eastAsia="en-US"/>
        </w:rPr>
        <w:t xml:space="preserve">Это задание — первое из трёхбалл</w:t>
      </w:r>
      <w:r>
        <w:rPr>
          <w:bCs/>
          <w:lang w:eastAsia="en-US"/>
        </w:rPr>
        <w:t xml:space="preserve">ьных. Выполнение задания 16 является границей, разделяющий высокий и повышенный уровень подготовки участников ЕГЭ. В этом году процент выполнения этого задания 0,98% (5,19 % в 2020 году), что также показывает низкий уровень знаний выпускников по геометрии.</w:t>
      </w:r>
      <w:r/>
    </w:p>
    <w:p>
      <w:pPr>
        <w:pStyle w:val="940"/>
        <w:ind w:firstLine="708"/>
        <w:jc w:val="both"/>
        <w:rPr>
          <w:bCs/>
          <w:lang w:eastAsia="en-US"/>
        </w:rPr>
      </w:pPr>
      <w:r>
        <w:rPr>
          <w:bCs/>
          <w:lang w:eastAsia="en-US"/>
        </w:rPr>
        <w:t xml:space="preserve">Основные ошибки, допущенные в работах выпускников при выполнении данного задания: </w:t>
      </w:r>
      <w:r/>
    </w:p>
    <w:p>
      <w:pPr>
        <w:pStyle w:val="940"/>
        <w:numPr>
          <w:ilvl w:val="0"/>
          <w:numId w:val="8"/>
        </w:numPr>
        <w:contextualSpacing/>
        <w:ind w:left="0" w:firstLine="0"/>
        <w:jc w:val="both"/>
        <w:spacing w:before="0" w:after="0"/>
        <w:rPr>
          <w:bCs/>
          <w:lang w:eastAsia="en-US"/>
        </w:rPr>
      </w:pPr>
      <w:r>
        <w:rPr>
          <w:bCs/>
          <w:lang w:eastAsia="en-US"/>
        </w:rPr>
        <w:t xml:space="preserve">построенный чертёж не соответствовал условию задачи;</w:t>
      </w:r>
      <w:r/>
    </w:p>
    <w:p>
      <w:pPr>
        <w:pStyle w:val="940"/>
        <w:numPr>
          <w:ilvl w:val="0"/>
          <w:numId w:val="8"/>
        </w:numPr>
        <w:contextualSpacing/>
        <w:ind w:left="0" w:firstLine="0"/>
        <w:jc w:val="both"/>
        <w:spacing w:before="0" w:after="0"/>
        <w:rPr>
          <w:bCs/>
          <w:lang w:eastAsia="en-US"/>
        </w:rPr>
      </w:pPr>
      <w:r>
        <w:rPr>
          <w:bCs/>
          <w:lang w:eastAsia="en-US"/>
        </w:rPr>
        <w:t xml:space="preserve">трудности при оформлении доказательства;</w:t>
      </w:r>
      <w:r/>
    </w:p>
    <w:p>
      <w:pPr>
        <w:pStyle w:val="940"/>
        <w:numPr>
          <w:ilvl w:val="0"/>
          <w:numId w:val="8"/>
        </w:numPr>
        <w:contextualSpacing/>
        <w:ind w:left="0" w:firstLine="0"/>
        <w:jc w:val="both"/>
        <w:spacing w:before="0" w:after="0"/>
        <w:rPr>
          <w:bCs/>
          <w:lang w:eastAsia="en-US"/>
        </w:rPr>
      </w:pPr>
      <w:r>
        <w:rPr>
          <w:bCs/>
          <w:lang w:eastAsia="en-US"/>
        </w:rPr>
        <w:t xml:space="preserve">неверный ход решения.</w:t>
      </w:r>
      <w:r/>
    </w:p>
    <w:p>
      <w:pPr>
        <w:pStyle w:val="940"/>
        <w:ind w:firstLine="708"/>
        <w:jc w:val="both"/>
        <w:rPr>
          <w:lang w:eastAsia="en-US"/>
        </w:rPr>
      </w:pPr>
      <w:r>
        <w:rPr>
          <w:lang w:eastAsia="en-US"/>
        </w:rPr>
        <w:t xml:space="preserve">Задачи 14 и 16 по геометрии решают только наиболее подготовленные участники. У большинства участников экзамена трудности начинаютс</w:t>
      </w:r>
      <w:r>
        <w:rPr>
          <w:lang w:eastAsia="en-US"/>
        </w:rPr>
        <w:t xml:space="preserve">я уже при построении и чтении чертежа: слабо развиты навыки поиска соотношений между элементами чертежа, выпускники очень часто совершают ошибки в решении прямоугольных треугольников, отсутствуют необходимые навыки поиска нужных дополнительных построений. </w:t>
      </w:r>
      <w:r/>
    </w:p>
    <w:p>
      <w:pPr>
        <w:pStyle w:val="940"/>
        <w:ind w:firstLine="708"/>
        <w:jc w:val="both"/>
      </w:pPr>
      <w:r>
        <w:rPr>
          <w:lang w:eastAsia="en-US"/>
        </w:rPr>
        <w:t xml:space="preserve">К заданиям высокого уровня сложности отно</w:t>
      </w:r>
      <w:r>
        <w:rPr>
          <w:lang w:eastAsia="en-US"/>
        </w:rPr>
        <w:t xml:space="preserve">сились задания второй части 18 и 19 с развернутым ответом. Эти задания предназначены для конкурсного отбора в вузы с повышенными требованиями к математической подготовке абитуриентов. Задания высокого уровня сложности – это задания не на применение одного </w:t>
      </w:r>
      <w:r>
        <w:rPr>
          <w:lang w:eastAsia="en-US"/>
        </w:rPr>
        <w:t xml:space="preserve">метода решения, а на комбинацию различных методов. Задание 18 проверяло умение решать уравнения и неравенства. Это задание –  не только первое из двух сложных, четырёх балльных заданий, но по факту – и самое сложное из них. Для успешного выполнения задания</w:t>
      </w:r>
      <w:r>
        <w:rPr>
          <w:lang w:eastAsia="en-US"/>
        </w:rPr>
        <w:t xml:space="preserve"> 18 необходим, кроме прочных математических знаний, также высокий уровень математической культуры. В этом году – это задание на исследование уравнения с параметром. Построение адекватной геометрической или алгебраической модели позволяет выставить 1 балл и</w:t>
      </w:r>
      <w:r>
        <w:rPr>
          <w:lang w:eastAsia="en-US"/>
        </w:rPr>
        <w:t xml:space="preserve">з четырех. Существенное продвижение (быть может, не до конца) в выбранной модели даёт 2 балла. Продвижение, при котором имеются минимальные неточности или описки позволяет выставить 3 балла. За обоснованно полученный верный ответ участник получает 4 балла.</w:t>
      </w:r>
      <w:r>
        <w:rPr>
          <w:bCs/>
          <w:lang w:eastAsia="en-US"/>
        </w:rPr>
        <w:t xml:space="preserve"> Частично или полностью справились с решением данной задачи всего 1,05% учащихся. Как и в прошлом году (1,44%) это очень низкий результат.</w:t>
      </w:r>
      <w:r>
        <w:rPr>
          <w:lang w:eastAsia="en-US"/>
        </w:rPr>
        <w:t xml:space="preserve"> Основной проблемой оказалось неумелое применение графического метода решения, который, как показали работы, недостат</w:t>
      </w:r>
      <w:r>
        <w:rPr>
          <w:lang w:eastAsia="en-US"/>
        </w:rPr>
        <w:t xml:space="preserve">очно сформирован у участников экзамена. Об этом свидетельствует массовое отсутствие описаний сделанных чертежей и конструкций, а также значительное число работ, в которых ответ на поставленный вопрос отсутствует, несмотря на обилие всевозможных построений.</w:t>
      </w:r>
      <w:r/>
    </w:p>
    <w:p>
      <w:pPr>
        <w:pStyle w:val="940"/>
        <w:ind w:firstLine="708"/>
        <w:jc w:val="both"/>
        <w:rPr>
          <w:bCs/>
          <w:lang w:eastAsia="en-US"/>
        </w:rPr>
      </w:pPr>
      <w:r>
        <w:rPr>
          <w:bCs/>
          <w:lang w:eastAsia="en-US"/>
        </w:rPr>
        <w:t xml:space="preserve">Основные ошибки:</w:t>
      </w:r>
      <w:r/>
    </w:p>
    <w:p>
      <w:pPr>
        <w:pStyle w:val="940"/>
        <w:numPr>
          <w:ilvl w:val="0"/>
          <w:numId w:val="6"/>
        </w:numPr>
        <w:contextualSpacing/>
        <w:ind w:left="0" w:firstLine="0"/>
        <w:jc w:val="both"/>
        <w:spacing w:before="0" w:after="0"/>
        <w:rPr>
          <w:bCs/>
          <w:lang w:eastAsia="en-US"/>
        </w:rPr>
      </w:pPr>
      <w:r>
        <w:rPr>
          <w:bCs/>
          <w:lang w:eastAsia="en-US"/>
        </w:rPr>
        <w:t xml:space="preserve">непонимание условия задания;</w:t>
      </w:r>
      <w:r/>
    </w:p>
    <w:p>
      <w:pPr>
        <w:pStyle w:val="940"/>
        <w:numPr>
          <w:ilvl w:val="0"/>
          <w:numId w:val="6"/>
        </w:numPr>
        <w:contextualSpacing/>
        <w:ind w:left="0" w:firstLine="0"/>
        <w:jc w:val="both"/>
        <w:spacing w:before="0" w:after="0"/>
        <w:rPr>
          <w:bCs/>
          <w:lang w:eastAsia="en-US"/>
        </w:rPr>
      </w:pPr>
      <w:r>
        <w:rPr>
          <w:bCs/>
          <w:lang w:eastAsia="en-US"/>
        </w:rPr>
        <w:t xml:space="preserve">рассмотрены не все возможные случаи;</w:t>
      </w:r>
      <w:r/>
    </w:p>
    <w:p>
      <w:pPr>
        <w:pStyle w:val="940"/>
        <w:numPr>
          <w:ilvl w:val="0"/>
          <w:numId w:val="6"/>
        </w:numPr>
        <w:contextualSpacing/>
        <w:ind w:left="0" w:firstLine="0"/>
        <w:jc w:val="both"/>
        <w:spacing w:before="0" w:after="0"/>
        <w:rPr>
          <w:bCs/>
          <w:lang w:eastAsia="en-US"/>
        </w:rPr>
      </w:pPr>
      <w:r>
        <w:rPr>
          <w:bCs/>
          <w:lang w:eastAsia="en-US"/>
        </w:rPr>
        <w:t xml:space="preserve">недостаточно обоснованное решение.</w:t>
      </w:r>
      <w:r/>
    </w:p>
    <w:p>
      <w:pPr>
        <w:pStyle w:val="940"/>
        <w:ind w:firstLine="708"/>
        <w:jc w:val="both"/>
      </w:pPr>
      <w:r>
        <w:rPr>
          <w:lang w:eastAsia="en-US"/>
        </w:rPr>
        <w:t xml:space="preserve">Задание 19 проверяло умение строить и исследовать простейшие математические модели, умение осуществлять поиск решения, выбирая различные подходы из числа известных. </w:t>
      </w:r>
      <w:r>
        <w:rPr>
          <w:bCs/>
          <w:lang w:eastAsia="en-US"/>
        </w:rPr>
        <w:t xml:space="preserve">Содержательно задание 19 проверяет в первую очередь не уровень математической (школьной) образов</w:t>
      </w:r>
      <w:r>
        <w:rPr>
          <w:bCs/>
          <w:lang w:eastAsia="en-US"/>
        </w:rPr>
        <w:t xml:space="preserve">анности, а уровень математической культуры. Это задание традиционно самое сложное и для многих трудное, требующее от учащихся владения навыками исследовательской деятельности. Решение задачи этого типа всегда требует творческого применения полученных знани</w:t>
      </w:r>
      <w:r>
        <w:rPr>
          <w:bCs/>
          <w:lang w:eastAsia="en-US"/>
        </w:rPr>
        <w:t xml:space="preserve">й, а не просто умения формально производить вычисления. С заданием полностью или частично справились 11,3% учащихся, что немного хуже результатов прошлого года (15,52%). Успешность выполнения этого задания оказалась сравнима с выполнением задания 15, котор</w:t>
      </w:r>
      <w:r>
        <w:rPr>
          <w:bCs/>
          <w:lang w:eastAsia="en-US"/>
        </w:rPr>
        <w:t xml:space="preserve">ое традиционно выполняется участниками экзамена лучше. Связано это прежде всего с тематикой задания: задача на свойства натуральных чисел, что хорошо понимается учащимися. Многие учащиеся выполнили это задание, как минимум, на 1 или 2 первичных балла из 4.</w:t>
      </w:r>
      <w:r>
        <w:rPr>
          <w:lang w:eastAsia="en-US"/>
        </w:rPr>
        <w:t xml:space="preserve"> </w:t>
      </w:r>
      <w:r/>
    </w:p>
    <w:p>
      <w:pPr>
        <w:pStyle w:val="940"/>
        <w:ind w:firstLine="708"/>
        <w:jc w:val="both"/>
        <w:rPr>
          <w:bCs/>
          <w:lang w:eastAsia="en-US"/>
        </w:rPr>
      </w:pPr>
      <w:r>
        <w:rPr>
          <w:bCs/>
          <w:lang w:eastAsia="en-US"/>
        </w:rPr>
        <w:t xml:space="preserve">Основные ошибки выпускников при выполнении задания 19: </w:t>
      </w:r>
      <w:r/>
    </w:p>
    <w:p>
      <w:pPr>
        <w:pStyle w:val="940"/>
        <w:numPr>
          <w:ilvl w:val="0"/>
          <w:numId w:val="3"/>
        </w:numPr>
        <w:contextualSpacing/>
        <w:ind w:left="0" w:firstLine="0"/>
        <w:jc w:val="both"/>
        <w:spacing w:before="0" w:after="0"/>
        <w:rPr>
          <w:bCs/>
          <w:lang w:eastAsia="en-US"/>
        </w:rPr>
      </w:pPr>
      <w:r>
        <w:rPr>
          <w:bCs/>
          <w:lang w:eastAsia="en-US"/>
        </w:rPr>
        <w:t xml:space="preserve">непонимание условия задания;</w:t>
      </w:r>
      <w:r/>
    </w:p>
    <w:p>
      <w:pPr>
        <w:pStyle w:val="940"/>
        <w:numPr>
          <w:ilvl w:val="0"/>
          <w:numId w:val="3"/>
        </w:numPr>
        <w:contextualSpacing/>
        <w:ind w:left="0" w:firstLine="0"/>
        <w:jc w:val="both"/>
        <w:spacing w:before="0" w:after="0"/>
        <w:rPr>
          <w:bCs/>
          <w:lang w:eastAsia="en-US"/>
        </w:rPr>
      </w:pPr>
      <w:r>
        <w:rPr>
          <w:bCs/>
          <w:lang w:eastAsia="en-US"/>
        </w:rPr>
        <w:t xml:space="preserve">отсутствие оценки полученных значений; </w:t>
      </w:r>
      <w:r/>
    </w:p>
    <w:p>
      <w:pPr>
        <w:pStyle w:val="940"/>
        <w:numPr>
          <w:ilvl w:val="0"/>
          <w:numId w:val="3"/>
        </w:numPr>
        <w:contextualSpacing/>
        <w:ind w:left="0" w:firstLine="0"/>
        <w:jc w:val="both"/>
        <w:spacing w:before="0" w:after="0"/>
        <w:rPr>
          <w:bCs/>
          <w:lang w:eastAsia="en-US"/>
        </w:rPr>
      </w:pPr>
      <w:r>
        <w:rPr>
          <w:bCs/>
          <w:lang w:eastAsia="en-US"/>
        </w:rPr>
        <w:t xml:space="preserve">отсутствие полноценного исследования ситуации, предлагаемой в условии; </w:t>
      </w:r>
      <w:r/>
    </w:p>
    <w:p>
      <w:pPr>
        <w:pStyle w:val="940"/>
        <w:numPr>
          <w:ilvl w:val="0"/>
          <w:numId w:val="3"/>
        </w:numPr>
        <w:contextualSpacing/>
        <w:ind w:left="0" w:firstLine="0"/>
        <w:jc w:val="both"/>
        <w:spacing w:before="0" w:after="0"/>
        <w:rPr>
          <w:bCs/>
          <w:lang w:eastAsia="en-US"/>
        </w:rPr>
      </w:pPr>
      <w:r>
        <w:rPr>
          <w:bCs/>
          <w:lang w:eastAsia="en-US"/>
        </w:rPr>
        <w:t xml:space="preserve">вычислительные ошибки.</w:t>
      </w:r>
      <w:r/>
    </w:p>
    <w:p>
      <w:pPr>
        <w:pStyle w:val="943"/>
        <w:numPr>
          <w:ilvl w:val="0"/>
          <w:numId w:val="0"/>
        </w:numPr>
        <w:ind w:left="852" w:firstLine="0"/>
      </w:pPr>
      <w:r>
        <w:rPr>
          <w:rFonts w:ascii="Times New Roman" w:hAnsi="Times New Roman" w:cs="Times New Roman"/>
          <w:bCs w:val="0"/>
          <w:lang w:val="ru-RU"/>
        </w:rPr>
        <w:t xml:space="preserve">3.2.3.</w:t>
      </w:r>
      <w:r>
        <w:rPr>
          <w:rFonts w:ascii="Times New Roman" w:hAnsi="Times New Roman" w:cs="Times New Roman"/>
          <w:b w:val="0"/>
          <w:bCs w:val="0"/>
          <w:lang w:val="ru-RU"/>
        </w:rPr>
        <w:t xml:space="preserve"> </w:t>
      </w:r>
      <w:r>
        <w:rPr>
          <w:rFonts w:ascii="Times New Roman" w:hAnsi="Times New Roman" w:cs="Times New Roman"/>
          <w:b w:val="0"/>
          <w:bCs w:val="0"/>
        </w:rPr>
        <w:t xml:space="preserve">Выводы об итогах анализа выполнения заданий, групп заданий: </w:t>
      </w:r>
      <w:r/>
    </w:p>
    <w:p>
      <w:pPr>
        <w:pStyle w:val="940"/>
        <w:ind w:firstLine="708"/>
        <w:jc w:val="both"/>
        <w:rPr>
          <w:i/>
        </w:rPr>
      </w:pPr>
      <w:r>
        <w:rPr>
          <w:i/>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pPr>
      <w:r>
        <w:t xml:space="preserve">По итогам экзамена по математике </w:t>
      </w:r>
      <w:r>
        <w:rPr>
          <w:bCs/>
        </w:rPr>
        <w:t xml:space="preserve">(профильный уровень)</w:t>
      </w:r>
      <w:r>
        <w:t xml:space="preserve"> задания с кратким ответом выполнялись значительно лучше заданий с развернутым ответом.</w:t>
      </w:r>
      <w:r/>
    </w:p>
    <w:p>
      <w:pPr>
        <w:pStyle w:val="940"/>
        <w:jc w:val="both"/>
      </w:pPr>
      <w:r>
        <w:t xml:space="preserve">Высокие показатели успешности продемонстрированы при решении первых пяти заданий базового уровня – выше 90%, что свидетельствует о сформированности</w:t>
      </w:r>
      <w:r>
        <w:t xml:space="preserve"> у участников экзамена базовых математических компетенций за курс математики основной и средней общеобразовательной школы. Эти задания проверяли умения использовать приобретенные знания и умения в практической деятельности и повседневной жизни; выполнять д</w:t>
      </w:r>
      <w:r>
        <w:t xml:space="preserve">ействия с геометрическими фигурами; исследовать простейшие математические модели; решать уравнения. Задания этого блока включали в себя следующее предметное содержание: действия с целыми числами; табличное и графическое представление данных – чтение диагра</w:t>
      </w:r>
      <w:r>
        <w:t xml:space="preserve">мм и применение математических методов для решения содержательных задач из практики; вычисление площади треугольника, параллелограмма, трапеции; вычисление вероятности события, решение показательных, логарифмических, иррациональных, рациональных уравнений.</w:t>
      </w:r>
      <w:r/>
    </w:p>
    <w:p>
      <w:pPr>
        <w:pStyle w:val="940"/>
        <w:ind w:firstLine="708"/>
        <w:jc w:val="both"/>
        <w:rPr>
          <w:i/>
        </w:rPr>
      </w:pPr>
      <w:r>
        <w:rPr>
          <w:i/>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pPr>
      <w:r>
        <w:t xml:space="preserve">Успешность выполнения заданий базового уровня сложности составляет 58– 96%.  По-прежнему значительные трудности вызывают как базовые задания по стереометрии и математическому анализу, так и задания повышенного уровня сложности.</w:t>
      </w:r>
      <w:r/>
    </w:p>
    <w:p>
      <w:pPr>
        <w:pStyle w:val="940"/>
        <w:ind w:firstLine="708"/>
        <w:jc w:val="both"/>
      </w:pPr>
      <w:r>
        <w:t xml:space="preserve">К повышенному уровню относятся задание 13 (6,6% участников получили 1 балл, полный балл получили 29,3 %) – уравнение с отбором корней; задание 15 (22,2% получили хотя бы 1 балл) – неравенство; задание 17 (максимальный балл –14,1%) – задача с экономическим </w:t>
      </w:r>
      <w:r>
        <w:t xml:space="preserve">содержанием. К заданиям высокого уровня относятся задания 18 (2,5% получили хотя бы 1 балл, максимальный балл –0,4%) и 19 (24,3% получили 1 балл, максимальный балл – 0,4%) задача с параметром и задание на умение строить и исследовать математические модели.</w:t>
      </w:r>
      <w:r/>
    </w:p>
    <w:p>
      <w:pPr>
        <w:pStyle w:val="940"/>
        <w:ind w:firstLine="708"/>
        <w:jc w:val="both"/>
      </w:pPr>
      <w:r>
        <w:t xml:space="preserve">Задания по геометрии относятся к повышенному уровню. Задание 14 (8,2% получили хотя бы 1 балл) – стереометрическая задача. Задание 16 (2,1% получили хотя бы 1 балл) – планиметрическая задача.</w:t>
      </w:r>
      <w:r/>
    </w:p>
    <w:p>
      <w:pPr>
        <w:pStyle w:val="940"/>
        <w:ind w:firstLine="708"/>
        <w:jc w:val="both"/>
      </w:pPr>
      <w:r>
        <w:t xml:space="preserve">Доминирование подготовки по алгебре над геометрией проявляется у подавляющего большинства участников ЕГЭ. Таким образом, нельзя говорить об успешности выполнения заданий с развернутым ответом, что</w:t>
      </w:r>
      <w:r>
        <w:t xml:space="preserve"> свидетельствует о том, что большинство участников экзамена не владеют на хорошем уровне программой по математике за курс основной и старшей школы, особенно это касается геометрического материала, и не могут письменно оформить результаты своих рассуждений.</w:t>
      </w:r>
      <w:r/>
    </w:p>
    <w:p>
      <w:pPr>
        <w:pStyle w:val="940"/>
        <w:ind w:firstLine="708"/>
        <w:jc w:val="both"/>
        <w:rPr>
          <w:i/>
        </w:rPr>
      </w:pPr>
      <w:r>
        <w:rPr>
          <w:i/>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708"/>
        <w:jc w:val="both"/>
      </w:pPr>
      <w:r>
        <w:t xml:space="preserve">Задания 1-5 были выполнены со средним результатом выше 90% (от 90% до 95,8%); задания 6-12 вы</w:t>
      </w:r>
      <w:r>
        <w:t xml:space="preserve">ше 56% (от 56,1% до 84,7%). Почти по всем заданиям с 1 по 12 отмечается положительная динамика успешности выполнения. Незначительное снижение процента выполнения по заданиям 2, 5, 8. Наибольший процент выполнения из группы заданий 6-12 в этом году задания </w:t>
      </w:r>
      <w:r>
        <w:t xml:space="preserve">10 (84,7%). Это задача с физическим содержанием, проверяет умение использовать приобретенные знания и умения в практической деятельности и повседневной жизни. Снижение успешности выполнения отмечается в задании 6. Если в 2020 году оно было выполнено на 66,</w:t>
      </w:r>
      <w:r>
        <w:t xml:space="preserve">3%, то в это году на 57,8%. Задание геометрическое, на применение свойств прямоугольного треугольника. Самый низкий процент традиционно при выполнении задания 12. В этом году с ним справились 56,1% участников экзамена, что выше, чем в прошлом году (47,7%).</w:t>
      </w:r>
      <w:r/>
    </w:p>
    <w:p>
      <w:pPr>
        <w:pStyle w:val="940"/>
        <w:ind w:firstLine="708"/>
        <w:jc w:val="both"/>
        <w:rPr>
          <w:i/>
        </w:rPr>
      </w:pPr>
      <w:r>
        <w:rPr>
          <w:i/>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jc w:val="both"/>
      </w:pPr>
      <w:r>
        <w:tab/>
        <w:t xml:space="preserve">Изменений в структуре и содержании КИМ ЕГЭ по математике профильного уровня в 2021 году не было.</w:t>
      </w:r>
      <w:r/>
    </w:p>
    <w:p>
      <w:pPr>
        <w:pStyle w:val="940"/>
        <w:ind w:firstLine="708"/>
        <w:jc w:val="both"/>
        <w:rPr>
          <w:i/>
        </w:rPr>
      </w:pPr>
      <w:r>
        <w:rPr>
          <w:i/>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708"/>
        <w:jc w:val="both"/>
      </w:pPr>
      <w:r>
        <w:t xml:space="preserve">Динамика результатов практически не наблюдается. Есть небольшое повышение среднего балла в сравнении с 2020 годом.</w:t>
      </w:r>
      <w:r/>
    </w:p>
    <w:p>
      <w:pPr>
        <w:pStyle w:val="940"/>
        <w:ind w:firstLine="708"/>
        <w:jc w:val="both"/>
        <w:rPr>
          <w:i/>
        </w:rPr>
      </w:pPr>
      <w:r>
        <w:rPr>
          <w:i/>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jc w:val="both"/>
      </w:pPr>
      <w:r>
        <w:t xml:space="preserve">Мероприятия, которые были предложены для включения в дорожную карту в 2020 году, также способствовали стабильности результатов, которые оказались сравнимы за последние три года, несмотря на изменившиеся условия подготовки выпускников к ЕГЭ.</w:t>
      </w:r>
      <w:r/>
    </w:p>
    <w:p>
      <w:pPr>
        <w:pStyle w:val="940"/>
        <w:ind w:firstLine="708"/>
        <w:jc w:val="both"/>
        <w:rPr>
          <w:i/>
        </w:rPr>
      </w:pPr>
      <w:r>
        <w:rPr>
          <w:i/>
        </w:rPr>
        <w:t xml:space="preserve">Прочие выводы</w:t>
      </w:r>
      <w:r/>
    </w:p>
    <w:p>
      <w:pPr>
        <w:pStyle w:val="940"/>
        <w:ind w:firstLine="708"/>
        <w:jc w:val="both"/>
      </w:pPr>
      <w:r>
        <w:t xml:space="preserve">Анализируя результаты ЕГЭ, можно сделать вывод, что основные ошибки учащихся в заданиях базового уровня – это простейшие ари</w:t>
      </w:r>
      <w:r>
        <w:t xml:space="preserve">фметические ошибки или неверно прочитанное условие, когда ученик правильно решает задачу, но с другими исходными данными, в результате чего получает неверный ответ. Недостаток вычислительной культуры не только сказывается на выполнении заданий по алгебре, </w:t>
      </w:r>
      <w:r>
        <w:t xml:space="preserve">но и приводит к неверным ответам в других заданиях 1 части и потере баллов за выполнение заданий 2 части. Учителям следует обратить внимание на отработку безошибочного выполнения несложных преобразований и вычислений (в том числе, на умение найти ошибку). </w:t>
      </w:r>
      <w:r/>
    </w:p>
    <w:p>
      <w:pPr>
        <w:pStyle w:val="940"/>
        <w:ind w:firstLine="708"/>
        <w:jc w:val="both"/>
      </w:pPr>
      <w:r>
        <w:t xml:space="preserve">Особое внимание следует уделять изучению стереометрии: по результатам ЕГЭ 2021 года большая часть выпускников не справились ни с одной задачей по стереометрии. Отчасти это след</w:t>
      </w:r>
      <w:r>
        <w:t xml:space="preserve">ствие того, что вместо изучения стереометрии в старших классах львиная доля времени уделяется решению простейших задач по планиметрии, обеспечивающих выпускникам удовлетворительные баллы. Нужно органично включать повторение планиметрии в курс стереометрии.</w:t>
      </w:r>
      <w:r/>
    </w:p>
    <w:p>
      <w:pPr>
        <w:pStyle w:val="940"/>
        <w:ind w:firstLine="708"/>
        <w:jc w:val="both"/>
      </w:pPr>
      <w:r>
        <w:t xml:space="preserve">Необходимым условием успешной подготовки выпускников к сдаче Е</w:t>
      </w:r>
      <w:r>
        <w:t xml:space="preserve">ГЭ является, в первую очередь для учителя, изучение и осмысление нормативных документов: «Кодификатора элементов содержания КИМ» и «Спецификации экзаменационной работы по математике ЕГЭ». Эти документы публикуются вместе с демонстрационными вариантами ЕГЭ.</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4. РЕКОМЕНДАЦИИ ДЛЯ СИСТЕМЫ ОБРАЗОВАНИЯ СУБЪЕКТА РОССИЙСКОЙ ФЕДЕРАЦИИ</w:t>
      </w:r>
      <w:r/>
    </w:p>
    <w:p>
      <w:pPr>
        <w:pStyle w:val="940"/>
        <w:rPr>
          <w:b/>
          <w:bCs/>
          <w:i/>
          <w:sz w:val="28"/>
          <w:szCs w:val="28"/>
        </w:rPr>
      </w:pPr>
      <w:r>
        <w:rPr>
          <w:b/>
          <w:bCs/>
          <w:i/>
          <w:sz w:val="28"/>
          <w:szCs w:val="28"/>
        </w:rPr>
      </w:r>
      <w:r/>
    </w:p>
    <w:p>
      <w:pPr>
        <w:pStyle w:val="940"/>
        <w:numPr>
          <w:ilvl w:val="1"/>
          <w:numId w:val="50"/>
        </w:numPr>
        <w:ind w:left="0" w:firstLine="0"/>
        <w:jc w:val="both"/>
        <w:keepLines/>
        <w:keepNext/>
        <w:spacing w:before="200" w:after="0"/>
      </w:pPr>
      <w:r>
        <w:rPr>
          <w:rFonts w:eastAsia="Times New Roman"/>
          <w:b/>
          <w:bCs/>
          <w:sz w:val="28"/>
        </w:rPr>
        <w:t xml:space="preserve">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3"/>
        <w:jc w:val="both"/>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4.1.1.</w:t>
      </w:r>
      <w:r>
        <w:rPr>
          <w:rFonts w:ascii="Times New Roman" w:hAnsi="Times New Roman" w:cs="Times New Roman"/>
          <w:b w:val="0"/>
          <w:bCs w:val="0"/>
          <w:lang w:val="ru-RU"/>
        </w:rPr>
        <w:t xml:space="preserve"> по совершенствованию преподавания учебного предмета всем обучающимся</w:t>
      </w:r>
      <w:r/>
    </w:p>
    <w:p>
      <w:pPr>
        <w:pStyle w:val="940"/>
        <w:ind w:firstLine="708"/>
        <w:jc w:val="both"/>
      </w:pPr>
      <w:r>
        <w:t xml:space="preserve">Основное внимание при подготовке обучающихся к итоговой аттестации должно быть сосредоточено на подготовке именно к выполнению заданий с кратким ответом экзаменационной работы. И дело </w:t>
      </w:r>
      <w:r>
        <w:t xml:space="preserve">не в том, что успешное выполнение заданий этой части обеспечивает получение удовлетворительного (выполнение всех заданий с кратким ответом соответствовало в этом году 62 тестовым баллам) тестового балла, а в том, что это дает возможность обеспечить повторе</w:t>
      </w:r>
      <w:r>
        <w:t xml:space="preserve">ние значительно большего объема материала, сосредоточить внимание обучающихся на обсуждении подходов к решению тех или иных задач, выбору способов их решения и сопоставлению этих способов, проверке полученных ответов.  При этом следует ориентироваться не т</w:t>
      </w:r>
      <w:r>
        <w:t xml:space="preserve">олько на демонстрационные варианты, но и на открытый банк заданий, который содержательно соответствует минимальному уровню требований к подготовке учащихся. Но в процессе такой подготовки акцент должен быть сделан не на «натаскивание» обучающихся на «получ</w:t>
      </w:r>
      <w:r>
        <w:t xml:space="preserve">ение правильного ответа в определенной форме», а на достижение осознанности знаний учащихся, на формирование умения применить полученные знания в практической деятельности, умения анализировать, сопоставлять, делать выводы, подчас в нестандартной ситуации.</w:t>
      </w:r>
      <w:r/>
    </w:p>
    <w:p>
      <w:pPr>
        <w:pStyle w:val="940"/>
        <w:ind w:firstLine="708"/>
        <w:jc w:val="both"/>
      </w:pPr>
      <w:r>
        <w:t xml:space="preserve">Таким образом, не следует в процессе обучения</w:t>
      </w:r>
      <w:r>
        <w:t xml:space="preserve"> злоупотреблять тестовой формой контроля, необходимо, чтобы обучающийся предъявлял свои рассуждения как материал для дальнейшего их анализа и обсуждения. Эти требования к преподаванию математики не являются новыми, но, к сожалению, в значительной степени о</w:t>
      </w:r>
      <w:r>
        <w:t xml:space="preserve">стаются декларацией, которая плохо соотносится с действительностью. Безусловно, перестройка в подходе к процессу обучения требует перестройки в сознании не только обучающихся, но и учителей, а значит, потребует определенного (весьма значительного) времени.</w:t>
      </w:r>
      <w:r/>
    </w:p>
    <w:p>
      <w:pPr>
        <w:pStyle w:val="940"/>
        <w:ind w:firstLine="708"/>
        <w:jc w:val="both"/>
      </w:pPr>
      <w:r>
        <w:t xml:space="preserve">Анализируя результаты ЕГЭ, можно сделать вывод, что основные ошибки учащихся в заданиях базового уровня – это простейшие ари</w:t>
      </w:r>
      <w:r>
        <w:t xml:space="preserve">фметические ошибки или неверно прочитанное условие, когда ученик правильно решает задачу, но с другими исходными данными, в результате чего получает неверный ответ. Недостаток вычислительной культуры не только сказывается на выполнении заданий по алгебре, </w:t>
      </w:r>
      <w:r>
        <w:t xml:space="preserve">но и приводит к неверным ответам в других заданиях 1 части и потере баллов за выполнение заданий 2 части. Учителям следует обратить внимание на отработку безошибочного выполнения несложных преобразований и вычислений (в том числе, на умение найти ошибку). </w:t>
      </w:r>
      <w:r/>
    </w:p>
    <w:p>
      <w:pPr>
        <w:pStyle w:val="940"/>
        <w:ind w:firstLine="708"/>
        <w:jc w:val="both"/>
      </w:pPr>
      <w:r>
        <w:t xml:space="preserve">Особое внимание следует уделять изучению стереометрии: по результатам ЕГЭ 2021 года большая часть выпускников не справились ни с одной задачей по стереометрии. Отчасти это след</w:t>
      </w:r>
      <w:r>
        <w:t xml:space="preserve">ствие того, что вместо изучения стереометрии в старших классах львиная доля времени уделяется решению простейших задач по планиметрии, обеспечивающих выпускникам удовлетворительные баллы. Нужно органично включать повторение планиметрии в курс стереометрии.</w:t>
      </w:r>
      <w:r/>
    </w:p>
    <w:p>
      <w:pPr>
        <w:pStyle w:val="940"/>
        <w:ind w:firstLine="708"/>
        <w:jc w:val="both"/>
      </w:pPr>
      <w:r>
        <w:t xml:space="preserve">Необходимым условием успешной подготовки выпускников к сдаче Е</w:t>
      </w:r>
      <w:r>
        <w:t xml:space="preserve">ГЭ является, в первую очередь для учителя, изучение и осмысление нормативных документов: «Кодификатора элементов содержания КИМ» и «Спецификации экзаменационной работы по математике ЕГЭ». Эти документы публикуются вместе с демонстрационными вариантами ЕГЭ.</w:t>
      </w:r>
      <w:r/>
    </w:p>
    <w:p>
      <w:pPr>
        <w:pStyle w:val="943"/>
        <w:jc w:val="both"/>
      </w:pP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4.1.2. по организации дифференцированного обучения школьников с разными уровнями предметной подготовки</w:t>
      </w:r>
      <w:r/>
    </w:p>
    <w:p>
      <w:pPr>
        <w:pStyle w:val="940"/>
        <w:ind w:firstLine="708"/>
        <w:jc w:val="both"/>
        <w:rPr>
          <w:lang w:eastAsia="en-US"/>
        </w:rPr>
      </w:pPr>
      <w:r>
        <w:rPr>
          <w:lang w:eastAsia="en-US"/>
        </w:rPr>
        <w:t xml:space="preserve">Для успешного выполнения заданий повышенного и высокого уровня сл</w:t>
      </w:r>
      <w:r>
        <w:rPr>
          <w:lang w:eastAsia="en-US"/>
        </w:rPr>
        <w:t xml:space="preserve">ожности необходим дифференцированный подход в работе с наиболее подготовленными выпускниками. Это относится и к работе на уроке, и к дифференциации домашних заданий и заданий, предлагающихся обучающимся на контрольных, проверочных, диагностических работах.</w:t>
      </w:r>
      <w:r/>
    </w:p>
    <w:p>
      <w:pPr>
        <w:pStyle w:val="940"/>
        <w:ind w:firstLine="708"/>
        <w:jc w:val="both"/>
        <w:rPr>
          <w:lang w:eastAsia="en-US"/>
        </w:rPr>
      </w:pPr>
      <w:r>
        <w:rPr>
          <w:lang w:eastAsia="en-US"/>
        </w:rPr>
        <w:t xml:space="preserve">Необходимо обратить самое серьезное внимание на </w:t>
      </w:r>
      <w:r>
        <w:rPr>
          <w:lang w:eastAsia="en-US"/>
        </w:rPr>
        <w:t xml:space="preserve">изучение геометрии с 7 класса, в котором начинается систематическое изучение этого предмета. Причем речь идет не о «натаскивании» на решение конкретных задач, предлагавшихся в различных вариантах ЕГЭ, а именно о серьезном систематическом изучении предмета.</w:t>
      </w:r>
      <w:r/>
    </w:p>
    <w:p>
      <w:pPr>
        <w:pStyle w:val="940"/>
        <w:ind w:firstLine="708"/>
        <w:jc w:val="both"/>
        <w:rPr>
          <w:color w:val="000000"/>
          <w:lang w:eastAsia="en-US"/>
        </w:rPr>
      </w:pPr>
      <w:r>
        <w:rPr>
          <w:color w:val="000000"/>
          <w:lang w:eastAsia="en-US"/>
        </w:rPr>
        <w:t xml:space="preserve">Следует, как можно раньше начинать работу с текстом на уроках математики, учащиеся должны уметь его проанализировать и сделать выводы. Такая работа должна вестись с 5-го по 11 класс ― это поможет при решении задач № 17 и 19.</w:t>
      </w:r>
      <w:r/>
    </w:p>
    <w:p>
      <w:pPr>
        <w:pStyle w:val="940"/>
        <w:ind w:firstLine="708"/>
        <w:jc w:val="both"/>
        <w:rPr>
          <w:lang w:eastAsia="en-US"/>
        </w:rPr>
      </w:pPr>
      <w:r>
        <w:rPr>
          <w:lang w:eastAsia="en-US"/>
        </w:rPr>
        <w:t xml:space="preserve">Подготовить даже очень сильных обучающихся к выполнению заданий 18 и 19 в условиях базовой школы не представляется возможным. Для этого необходима серьезная кружковая, факультативная и т.п. работа под руководством специально подготовленных преподавателей.</w:t>
      </w:r>
      <w:r/>
    </w:p>
    <w:p>
      <w:pPr>
        <w:pStyle w:val="940"/>
        <w:ind w:firstLine="708"/>
        <w:jc w:val="both"/>
        <w:rPr>
          <w:lang w:eastAsia="en-US"/>
        </w:rPr>
      </w:pPr>
      <w:r>
        <w:rPr>
          <w:lang w:eastAsia="en-US"/>
        </w:rPr>
        <w:t xml:space="preserve">Основная проблема, связанная с преподаванием математики – формализм в преподавании предмета. Единый государственный экзамен, с одной стороны, помог явно обозначить эту проблему, а с другой с</w:t>
      </w:r>
      <w:r>
        <w:rPr>
          <w:lang w:eastAsia="en-US"/>
        </w:rPr>
        <w:t xml:space="preserve">тороны, сама эта форма проведения экзамена данную проблему усугубляет. Вместо формирования осознанных знаний по предмету происходит механическое «натаскивание» на решение задач, причем речь идет о задачах, решение которых основано на простейших алгоритмах.</w:t>
      </w:r>
      <w:r/>
    </w:p>
    <w:p>
      <w:pPr>
        <w:pStyle w:val="940"/>
        <w:ind w:firstLine="708"/>
        <w:jc w:val="both"/>
        <w:rPr>
          <w:lang w:eastAsia="en-US"/>
        </w:rPr>
      </w:pPr>
      <w:r>
        <w:rPr>
          <w:lang w:eastAsia="en-US"/>
        </w:rPr>
        <w:t xml:space="preserve">Учитель, заинтересованный в первую очередь, чтобы его выпускники написали ЕГЭ выше «нижнего порога», основное внимание </w:t>
      </w:r>
      <w:r>
        <w:rPr>
          <w:lang w:eastAsia="en-US"/>
        </w:rPr>
        <w:t xml:space="preserve">уделяет решению наиболее простых заданий части 1 (материал 5–8 классов), успешное выполнение которых на самом деле никак не позволяет судить ни о какой бы то ни было математической подготовке учащихся, ни о готовности получения ими дальнейшего образования.</w:t>
      </w:r>
      <w:r/>
    </w:p>
    <w:p>
      <w:pPr>
        <w:pStyle w:val="940"/>
        <w:ind w:firstLine="708"/>
        <w:jc w:val="both"/>
        <w:rPr>
          <w:lang w:eastAsia="en-US"/>
        </w:rPr>
      </w:pPr>
      <w:r>
        <w:rPr>
          <w:lang w:eastAsia="en-US"/>
        </w:rPr>
        <w:t xml:space="preserve">Экзаменуемые с трудом справляются с заданиями, в которых необходимо применить хорошо известный им алгоритм в чуть изменившейся ситуации. Самые низкие результаты, учащиеся показали при решении задач, которые труднее всего поддаются алгоритмиз</w:t>
      </w:r>
      <w:r>
        <w:rPr>
          <w:lang w:eastAsia="en-US"/>
        </w:rPr>
        <w:t xml:space="preserve">ации: задачи по геометрии и задачи «прикладного» содержания. В процессе подготовки к экзамену необходимо использовать имеющиеся в достаточном количестве дополнительные материалы, а не только механически «прорешивать» задачи из открытого банка заданий ФИПИ.</w:t>
      </w:r>
      <w:r/>
    </w:p>
    <w:p>
      <w:pPr>
        <w:pStyle w:val="940"/>
        <w:ind w:firstLine="708"/>
        <w:jc w:val="both"/>
        <w:rPr>
          <w:color w:val="000000"/>
          <w:lang w:eastAsia="en-US"/>
        </w:rPr>
      </w:pPr>
      <w:r>
        <w:rPr>
          <w:color w:val="000000"/>
          <w:lang w:eastAsia="en-US"/>
        </w:rPr>
        <w:t xml:space="preserve">До катастрофически низкого уровня упала доля выполнения практически всех задач с геометрическим содержанием, в первую очередь со стереометрическим. Это лишний раз указывает на все более ухудша</w:t>
      </w:r>
      <w:r>
        <w:rPr>
          <w:color w:val="000000"/>
          <w:lang w:eastAsia="en-US"/>
        </w:rPr>
        <w:t xml:space="preserve">ющееся состояние дел в преподавании школьной геометрии, особенно в 10-м и 11-м классах, где в ущерб изучению программного материала идет повторение планиметрии (на очень невысоком уровне) и «натаскивание» учащихся на решение простейших задач первой части Е</w:t>
      </w:r>
      <w:r>
        <w:rPr>
          <w:color w:val="000000"/>
          <w:lang w:eastAsia="en-US"/>
        </w:rPr>
        <w:t xml:space="preserve">ГЭ (зачастую даже не геометрических). Методика обучения старшеклассников решению стереометрических задач должна меняться за счет более широкого использования задач на построение, на доказательство на основе уверенного владения материалом курса планиметрии.</w:t>
      </w:r>
      <w:r/>
    </w:p>
    <w:p>
      <w:pPr>
        <w:pStyle w:val="940"/>
        <w:ind w:firstLine="708"/>
        <w:jc w:val="both"/>
        <w:rPr>
          <w:lang w:eastAsia="en-US"/>
        </w:rPr>
      </w:pPr>
      <w:r>
        <w:rPr>
          <w:lang w:eastAsia="en-US"/>
        </w:rPr>
        <w:t xml:space="preserve">Повышение успешности решения типовых вычислительных геометрических задач существенно опережает рост решения задач, требующих «видения геометрических фигур», развития геометрической интуиции. Это является следствием пер</w:t>
      </w:r>
      <w:r>
        <w:rPr>
          <w:lang w:eastAsia="en-US"/>
        </w:rPr>
        <w:t xml:space="preserve">екоса акцентов в преподавании геометрии в основной и старшей школе на заучивание определений и решение большого количества технических вычислительных задач, вместо решения содержательных геометрических задач, развивающих видение геометрических конструкций.</w:t>
      </w:r>
      <w:r/>
    </w:p>
    <w:p>
      <w:pPr>
        <w:pStyle w:val="940"/>
        <w:ind w:firstLine="708"/>
        <w:jc w:val="both"/>
        <w:rPr>
          <w:lang w:eastAsia="en-US"/>
        </w:rPr>
      </w:pPr>
      <w:r>
        <w:rPr>
          <w:lang w:eastAsia="en-US"/>
        </w:rPr>
        <w:t xml:space="preserve">Практика показывает, что прорешивание открытых вариантов ЕГЭ прошлых лет не дает ожидаемого эффекта. </w:t>
      </w:r>
      <w:r>
        <w:rPr>
          <w:lang w:eastAsia="en-US"/>
        </w:rPr>
        <w:t xml:space="preserve">Разобрав вариант в классе, учитель дает аналогичный вариант для домашнего разбора. После удачного разбора в классе домашний вариант не представляет большого труда, у обучающегося и учителя складывается ложное впечатление, что подготовка идет эффективно и ц</w:t>
      </w:r>
      <w:r>
        <w:rPr>
          <w:lang w:eastAsia="en-US"/>
        </w:rPr>
        <w:t xml:space="preserve">ель достигнута. Многократное повторение этих манипуляций не улучшает ситуацию. Когда участник на ЕГЭ получает свой вариант, он обнаруживает, что этот вариант он с учителем не решал. Привычка повторять разобранные ранее варианты часто идет во вред обучению.</w:t>
      </w:r>
      <w:r/>
    </w:p>
    <w:p>
      <w:pPr>
        <w:pStyle w:val="940"/>
        <w:ind w:firstLine="708"/>
        <w:jc w:val="both"/>
        <w:rPr>
          <w:lang w:eastAsia="en-US"/>
        </w:rPr>
      </w:pPr>
      <w:r>
        <w:rPr>
          <w:lang w:eastAsia="en-US"/>
        </w:rPr>
        <w:t xml:space="preserve">Правильным подходом является систематическое изучение материала, решение большого к</w:t>
      </w:r>
      <w:r>
        <w:rPr>
          <w:lang w:eastAsia="en-US"/>
        </w:rPr>
        <w:t xml:space="preserve">оличества разнообразных задач по каждой теме — от простых к сложным, изучение методов решения задач. Варианты из подготовительных сборников, открытые варианты прошедших экзаменов можно и нужно использовать, но их решение не должно становиться главной целью</w:t>
      </w:r>
      <w:r>
        <w:rPr>
          <w:lang w:eastAsia="en-US"/>
        </w:rPr>
        <w:t xml:space="preserve">, они дают возможность иллюстрировать и отрабатывать методы, проверять степень готовности учащихся, но не являются основным инструментом подготовки к экзамену. При проведении диагностических работ следует подбирать задачи, прямые аналоги которых в классе н</w:t>
      </w:r>
      <w:r>
        <w:rPr>
          <w:lang w:eastAsia="en-US"/>
        </w:rPr>
        <w:t xml:space="preserve">е разбирались. Только так учитель может составить верное представление об уровне знаний и умений своих учеников. Также на этой основе каждый учитель может совершенствовать свою методическую систему обучения, вносить коррективы в отдельные аспекты обучения.</w:t>
      </w:r>
      <w:r/>
    </w:p>
    <w:p>
      <w:pPr>
        <w:pStyle w:val="940"/>
        <w:ind w:firstLine="708"/>
        <w:jc w:val="both"/>
        <w:rPr>
          <w:color w:val="000000"/>
          <w:lang w:eastAsia="en-US"/>
        </w:rPr>
      </w:pPr>
      <w:r>
        <w:rPr>
          <w:color w:val="000000"/>
          <w:lang w:eastAsia="en-US"/>
        </w:rPr>
        <w:t xml:space="preserve">Основной проблемой математического образования, как и в прошлые годы, остается низкая мотивация учащихся к приобретению математических знаний, которая связана с общественной недооценкой значимости математического образования.</w:t>
      </w:r>
      <w:r/>
    </w:p>
    <w:p>
      <w:pPr>
        <w:pStyle w:val="940"/>
        <w:ind w:firstLine="708"/>
        <w:jc w:val="both"/>
        <w:rPr>
          <w:color w:val="000000"/>
          <w:lang w:eastAsia="en-US"/>
        </w:rPr>
      </w:pPr>
      <w:r>
        <w:rPr>
          <w:color w:val="000000"/>
          <w:lang w:eastAsia="en-US"/>
        </w:rPr>
        <w:t xml:space="preserve">К окончанию 9 класса значительная часть учащихся по сформированности учебных компетенций остается на уровне 5–7 классов. До половины выпускников основной школы не готовы к дальнейшему обучению. Перейдя в старшую школу, они факти</w:t>
      </w:r>
      <w:r>
        <w:rPr>
          <w:color w:val="000000"/>
          <w:lang w:eastAsia="en-US"/>
        </w:rPr>
        <w:t xml:space="preserve">чески не занимаются математикой, поскольку не имеют ни необходимого фундамента, ни мотивации. Многие технические ВУЗы вынуждены зачислять на первый курс выпускников, едва перешагнувших аттестационный рубеж государственной итоговой аттестации по математике.</w:t>
      </w:r>
      <w:r/>
    </w:p>
    <w:p>
      <w:pPr>
        <w:pStyle w:val="940"/>
        <w:ind w:firstLine="708"/>
        <w:jc w:val="both"/>
        <w:rPr>
          <w:color w:val="000000"/>
          <w:lang w:eastAsia="en-US"/>
        </w:rPr>
      </w:pPr>
      <w:r>
        <w:rPr>
          <w:color w:val="000000"/>
          <w:lang w:eastAsia="en-US"/>
        </w:rPr>
        <w:t xml:space="preserve">Итоги ЕГЭ по математике выявляют ключевые проблемы, определяющие недостаточное количество выпускников с уровнем подготовки, достаточным для успешного продолжения образования в профильных ВУЗах:</w:t>
      </w:r>
      <w:r/>
    </w:p>
    <w:p>
      <w:pPr>
        <w:pStyle w:val="940"/>
        <w:numPr>
          <w:ilvl w:val="0"/>
          <w:numId w:val="11"/>
        </w:numPr>
        <w:ind w:left="0" w:firstLine="0"/>
        <w:jc w:val="both"/>
        <w:rPr>
          <w:lang w:eastAsia="en-US"/>
        </w:rPr>
      </w:pPr>
      <w:r>
        <w:rPr>
          <w:lang w:eastAsia="en-US"/>
        </w:rPr>
        <w:t xml:space="preserve">несформированность базовой логической культуры;</w:t>
      </w:r>
      <w:r/>
    </w:p>
    <w:p>
      <w:pPr>
        <w:pStyle w:val="940"/>
        <w:numPr>
          <w:ilvl w:val="0"/>
          <w:numId w:val="11"/>
        </w:numPr>
        <w:ind w:left="0" w:firstLine="0"/>
        <w:jc w:val="both"/>
        <w:rPr>
          <w:lang w:eastAsia="en-US"/>
        </w:rPr>
      </w:pPr>
      <w:r>
        <w:rPr>
          <w:lang w:eastAsia="en-US"/>
        </w:rPr>
        <w:t xml:space="preserve">недостаточные геометрические знания, графическая культура;</w:t>
      </w:r>
      <w:r/>
    </w:p>
    <w:p>
      <w:pPr>
        <w:pStyle w:val="940"/>
        <w:numPr>
          <w:ilvl w:val="0"/>
          <w:numId w:val="11"/>
        </w:numPr>
        <w:ind w:left="0" w:firstLine="0"/>
        <w:jc w:val="both"/>
      </w:pPr>
      <w:r>
        <w:rPr>
          <w:color w:val="000000"/>
          <w:lang w:eastAsia="en-US"/>
        </w:rPr>
        <w:t xml:space="preserve">неумение проводить анализ условия, искать пути решения, применять известные алгоритмы в измененной ситуации</w:t>
      </w:r>
      <w:r>
        <w:rPr>
          <w:lang w:eastAsia="en-US"/>
        </w:rPr>
        <w:t xml:space="preserve">;</w:t>
      </w:r>
      <w:r/>
    </w:p>
    <w:p>
      <w:pPr>
        <w:pStyle w:val="940"/>
        <w:numPr>
          <w:ilvl w:val="0"/>
          <w:numId w:val="11"/>
        </w:numPr>
        <w:ind w:left="0" w:firstLine="0"/>
        <w:jc w:val="both"/>
      </w:pPr>
      <w:r>
        <w:rPr>
          <w:color w:val="000000"/>
          <w:lang w:eastAsia="en-US"/>
        </w:rPr>
        <w:t xml:space="preserve">неразвитость регулятивных умений: находить и исправлять собственные ошибки</w:t>
      </w:r>
      <w:r>
        <w:rPr>
          <w:lang w:eastAsia="en-US"/>
        </w:rPr>
        <w:t xml:space="preserve">.</w:t>
      </w:r>
      <w:r/>
    </w:p>
    <w:p>
      <w:pPr>
        <w:pStyle w:val="940"/>
        <w:ind w:firstLine="708"/>
        <w:jc w:val="both"/>
        <w:rPr>
          <w:lang w:eastAsia="en-US"/>
        </w:rPr>
      </w:pPr>
      <w:r>
        <w:rPr>
          <w:lang w:eastAsia="en-US"/>
        </w:rPr>
        <w:t xml:space="preserve">Хотелось бы подчеркнуть, что гла</w:t>
      </w:r>
      <w:r>
        <w:rPr>
          <w:lang w:eastAsia="en-US"/>
        </w:rPr>
        <w:t xml:space="preserve">вной основой успешной сдачи экзамена по математике является качественное системное изучение математики, отсутствие пробелов в базовых математических знаниях. Нельзя забывать о том, что подготовка к ЕГЭ может быть успешной только на фоне хорошего общего зна</w:t>
      </w:r>
      <w:r>
        <w:rPr>
          <w:lang w:eastAsia="en-US"/>
        </w:rPr>
        <w:t xml:space="preserve">ния математики. Подготовка к ЕГЭ, как и к любому экзамену, — заключительная часть этапа обучения, а не цель обучения.  Отметим, что учителями математики в связи с ЕГЭ уже накоплен значительный положительный опыт, который целесообразно активно использовать.</w:t>
      </w:r>
      <w:r/>
    </w:p>
    <w:p>
      <w:pPr>
        <w:pStyle w:val="940"/>
        <w:ind w:firstLine="708"/>
        <w:jc w:val="both"/>
      </w:pPr>
      <w:r>
        <w:rPr>
          <w:lang w:eastAsia="en-US"/>
        </w:rPr>
        <w:t xml:space="preserve">Методическую  помощь учителям и обучающимся при подготовке к ЕГЭ могут оказать материалы с сайта ФИПИ (</w:t>
      </w:r>
      <w:hyperlink r:id="rId16" w:tooltip="http://www.fipi.ru/" w:history="1">
        <w:r>
          <w:rPr>
            <w:rStyle w:val="1382"/>
            <w:lang w:val="en-US" w:eastAsia="en-US"/>
          </w:rPr>
          <w:t xml:space="preserve">www</w:t>
        </w:r>
        <w:r>
          <w:rPr>
            <w:rStyle w:val="1382"/>
            <w:lang w:eastAsia="en-US"/>
          </w:rPr>
          <w:t xml:space="preserve">.</w:t>
        </w:r>
        <w:r>
          <w:rPr>
            <w:rStyle w:val="1382"/>
            <w:lang w:val="en-US" w:eastAsia="en-US"/>
          </w:rPr>
          <w:t xml:space="preserve">fipi</w:t>
        </w:r>
        <w:r>
          <w:rPr>
            <w:rStyle w:val="1382"/>
            <w:lang w:eastAsia="en-US"/>
          </w:rPr>
          <w:t xml:space="preserve">.</w:t>
        </w:r>
        <w:r>
          <w:rPr>
            <w:rStyle w:val="1382"/>
            <w:lang w:val="en-US" w:eastAsia="en-US"/>
          </w:rPr>
          <w:t xml:space="preserve">ru</w:t>
        </w:r>
      </w:hyperlink>
      <w:r>
        <w:rPr>
          <w:lang w:eastAsia="en-US"/>
        </w:rPr>
        <w:t xml:space="preserve">):</w:t>
      </w:r>
      <w:r/>
    </w:p>
    <w:p>
      <w:pPr>
        <w:pStyle w:val="940"/>
        <w:numPr>
          <w:ilvl w:val="0"/>
          <w:numId w:val="9"/>
        </w:numPr>
        <w:ind w:left="0" w:firstLine="0"/>
        <w:jc w:val="both"/>
        <w:rPr>
          <w:lang w:eastAsia="en-US"/>
        </w:rPr>
      </w:pPr>
      <w:r>
        <w:rPr>
          <w:lang w:eastAsia="en-US"/>
        </w:rPr>
        <w:t xml:space="preserve">документы, определяющие структуру и содержание КИМ ЕГЭ;</w:t>
      </w:r>
      <w:r/>
    </w:p>
    <w:p>
      <w:pPr>
        <w:pStyle w:val="940"/>
        <w:numPr>
          <w:ilvl w:val="0"/>
          <w:numId w:val="9"/>
        </w:numPr>
        <w:ind w:left="0" w:firstLine="0"/>
        <w:jc w:val="both"/>
        <w:rPr>
          <w:lang w:eastAsia="en-US"/>
        </w:rPr>
      </w:pPr>
      <w:r>
        <w:rPr>
          <w:lang w:eastAsia="en-US"/>
        </w:rPr>
        <w:t xml:space="preserve">открытый банк заданий ЕГЭ;</w:t>
      </w:r>
      <w:r/>
    </w:p>
    <w:p>
      <w:pPr>
        <w:pStyle w:val="940"/>
        <w:numPr>
          <w:ilvl w:val="0"/>
          <w:numId w:val="9"/>
        </w:numPr>
        <w:ind w:left="0" w:firstLine="0"/>
        <w:jc w:val="both"/>
        <w:rPr>
          <w:lang w:eastAsia="en-US"/>
        </w:rPr>
      </w:pPr>
      <w:r>
        <w:rPr>
          <w:lang w:eastAsia="en-US"/>
        </w:rPr>
        <w:t xml:space="preserve">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w:t>
      </w:r>
      <w:r/>
    </w:p>
    <w:p>
      <w:pPr>
        <w:pStyle w:val="940"/>
        <w:numPr>
          <w:ilvl w:val="0"/>
          <w:numId w:val="9"/>
        </w:numPr>
        <w:ind w:left="0" w:firstLine="0"/>
        <w:jc w:val="both"/>
        <w:rPr>
          <w:lang w:eastAsia="en-US"/>
        </w:rPr>
      </w:pPr>
      <w:r>
        <w:rPr>
          <w:lang w:eastAsia="en-US"/>
        </w:rPr>
        <w:t xml:space="preserve">методические рекомендации на основе анализа типичных ошибок участников ЕГЭ прошлых лет (2015-2020);</w:t>
      </w:r>
      <w:r/>
    </w:p>
    <w:p>
      <w:pPr>
        <w:pStyle w:val="940"/>
        <w:numPr>
          <w:ilvl w:val="0"/>
          <w:numId w:val="9"/>
        </w:numPr>
        <w:ind w:left="0" w:firstLine="0"/>
        <w:jc w:val="both"/>
        <w:rPr>
          <w:lang w:eastAsia="en-US"/>
        </w:rPr>
      </w:pPr>
      <w:r>
        <w:rPr>
          <w:lang w:eastAsia="en-US"/>
        </w:rPr>
        <w:t xml:space="preserve">журнал «Педагогические измерения».</w:t>
      </w:r>
      <w:r/>
    </w:p>
    <w:p>
      <w:pPr>
        <w:pStyle w:val="940"/>
      </w:pPr>
      <w:r/>
      <w:r/>
    </w:p>
    <w:p>
      <w:pPr>
        <w:pStyle w:val="943"/>
        <w:jc w:val="both"/>
      </w:pPr>
      <w:r>
        <w:rPr>
          <w:rFonts w:ascii="Times New Roman" w:hAnsi="Times New Roman" w:cs="Times New Roman"/>
          <w:lang w:val="ru-RU"/>
        </w:rPr>
        <w:t xml:space="preserve">4.2. </w:t>
      </w:r>
      <w:r>
        <w:rPr>
          <w:rFonts w:ascii="Times New Roman" w:hAnsi="Times New Roman" w:cs="Times New Roman"/>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ind w:firstLine="708"/>
        <w:jc w:val="both"/>
        <w:rPr>
          <w:lang w:val="en-US"/>
        </w:rPr>
      </w:pPr>
      <w:r>
        <w:rPr>
          <w:lang w:val="en-US"/>
        </w:rPr>
        <w:t xml:space="preserve">Результаты ЕГЭ по математике позволили выявить ряд проблем, на которые необходимо сделать акцент в обучении математике. Нельзя считать достаточным освоение обучающимися с разным уровнем</w:t>
      </w:r>
      <w:r>
        <w:rPr>
          <w:lang w:val="en-US"/>
        </w:rPr>
        <w:t xml:space="preserve"> подготовки умений решать иррациональные, тригонометрические, логарифмические и показательные уравнения и неравенства, сложные задачи по планиметрии и стереометрии, выполнять решение практико-ориентированных задач и задач вероятностно-статистической линии.</w:t>
      </w:r>
      <w:r/>
    </w:p>
    <w:p>
      <w:pPr>
        <w:pStyle w:val="940"/>
        <w:ind w:firstLine="708"/>
        <w:jc w:val="both"/>
      </w:pPr>
      <w:r>
        <w:rPr>
          <w:lang w:val="en-US"/>
        </w:rPr>
        <w:t xml:space="preserve">В целях совершенствования преподавания математики и достижения высокого уровня подготовки выпускников к государственной итоговой аттестации в форме ЕГЭ по математике можно предложить следующие рекомендации: </w:t>
      </w:r>
      <w:r/>
    </w:p>
    <w:p>
      <w:pPr>
        <w:pStyle w:val="940"/>
        <w:ind w:firstLine="708"/>
        <w:jc w:val="both"/>
        <w:rPr>
          <w:lang w:val="en-US"/>
        </w:rPr>
      </w:pPr>
      <w:r>
        <w:rPr>
          <w:lang w:val="en-US"/>
        </w:rPr>
        <w:t xml:space="preserve">1.Продолжать практику проведения семинаров учителей математики с участием экспертов предметной комиссии ЕГЭ, учителей школ, показавших высокие результаты на ЕГЭ-2021 для использования их опыта при подготовке обучающихся к ЕГЭ по математике. </w:t>
      </w:r>
      <w:r/>
    </w:p>
    <w:p>
      <w:pPr>
        <w:pStyle w:val="940"/>
        <w:ind w:firstLine="708"/>
        <w:jc w:val="both"/>
        <w:rPr>
          <w:lang w:val="en-US"/>
        </w:rPr>
      </w:pPr>
      <w:r>
        <w:rPr>
          <w:lang w:val="en-US"/>
        </w:rPr>
        <w:t xml:space="preserve">2. Эффективно реализовывать уровневую дифференциацию в процессе преподавания математики: уделить особое внимание преподавателей на формирование базовых знаний и умений обуч</w:t>
      </w:r>
      <w:r>
        <w:rPr>
          <w:lang w:val="en-US"/>
        </w:rPr>
        <w:t xml:space="preserve">ающихся, которые не ориентированы на более глубокое изучение математики при продолжении образования, а также обеспечение продвижения обучающихся, которые имеют высокую учебную мотивацию и возможности для изучения математики на повышенном и высоком уровне. </w:t>
      </w:r>
      <w:r/>
    </w:p>
    <w:p>
      <w:pPr>
        <w:pStyle w:val="940"/>
        <w:ind w:firstLine="708"/>
        <w:jc w:val="both"/>
        <w:rPr>
          <w:lang w:val="en-US"/>
        </w:rPr>
      </w:pPr>
      <w:r>
        <w:rPr>
          <w:lang w:val="en-US"/>
        </w:rPr>
        <w:t xml:space="preserve">3. Своевременно знакомиться и работать с документацией по ЕГЭ (документы, определяющие структуру и содержание КИМ ЕГЭ, открытый банк зада</w:t>
      </w:r>
      <w:r>
        <w:rPr>
          <w:lang w:val="en-US"/>
        </w:rPr>
        <w:t xml:space="preserve">ний ЕГЭ, 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 Необходимую информацию можно найти на сайтах: www.fipi.ru, www.ege.edu.ru . </w:t>
      </w:r>
      <w:r/>
    </w:p>
    <w:p>
      <w:pPr>
        <w:pStyle w:val="940"/>
        <w:ind w:firstLine="708"/>
        <w:jc w:val="both"/>
        <w:rPr>
          <w:lang w:val="en-US"/>
        </w:rPr>
      </w:pPr>
      <w:r>
        <w:rPr>
          <w:lang w:val="en-US"/>
        </w:rPr>
        <w:t xml:space="preserve">4. Особое внимание обратить на выбор уровня экзамена, рекомендуя обучающимся, которые неуверенно решают 6 заданий с кратким ответом, сдачу экзамена на базовом уровне. </w:t>
      </w:r>
      <w:r/>
    </w:p>
    <w:p>
      <w:pPr>
        <w:pStyle w:val="940"/>
        <w:ind w:firstLine="708"/>
        <w:jc w:val="both"/>
      </w:pPr>
      <w:r>
        <w:rPr>
          <w:lang w:val="en-US"/>
        </w:rPr>
        <w:t xml:space="preserve">5. При подготовке к ЕГЭ необходимо донести до выпускников информацию о наличии Открытого б</w:t>
      </w:r>
      <w:r>
        <w:rPr>
          <w:lang w:val="en-US"/>
        </w:rPr>
        <w:t xml:space="preserve">анка заданий по математике (www.mathege.ru), главная задача которого – дать представление о том, какие задания будут в вариантах Единого государственного экзамена по математике в 2021-2022 учебном году и оказать помощь выпускникам в подготовке к экзамену. </w:t>
      </w:r>
      <w:r/>
    </w:p>
    <w:p>
      <w:pPr>
        <w:pStyle w:val="940"/>
        <w:ind w:firstLine="708"/>
        <w:jc w:val="both"/>
        <w:rPr>
          <w:lang w:val="en-US"/>
        </w:rPr>
      </w:pPr>
      <w:r>
        <w:rPr>
          <w:lang w:val="en-US"/>
        </w:rPr>
        <w:t xml:space="preserve">6. При подготовке к ЕГЭ использовать демоверсию варианта 2022 года, проект которой будет выложен на сайтах www.ege.edu.ru , www.fipi.ru , www.alexlarin.net. </w:t>
      </w:r>
      <w:r/>
    </w:p>
    <w:p>
      <w:pPr>
        <w:pStyle w:val="940"/>
        <w:ind w:firstLine="708"/>
        <w:jc w:val="both"/>
      </w:pPr>
      <w:r>
        <w:rPr>
          <w:lang w:val="en-US"/>
        </w:rPr>
        <w:t xml:space="preserve">7. Для своевременной ликвидации пробелов необходимо внедрение механизмов дополнительного математического образования, как в виде очных занятий, так и посредством интернет</w:t>
      </w:r>
      <w:r>
        <w:t xml:space="preserve">-</w:t>
      </w:r>
      <w:r>
        <w:rPr>
          <w:lang w:val="en-US"/>
        </w:rPr>
        <w:t xml:space="preserve">курсов.</w:t>
      </w:r>
      <w:r/>
    </w:p>
    <w:p>
      <w:pPr>
        <w:pStyle w:val="940"/>
        <w:ind w:firstLine="708"/>
        <w:jc w:val="both"/>
        <w:rPr>
          <w:lang w:val="en-US"/>
        </w:rPr>
      </w:pPr>
      <w:r>
        <w:rPr>
          <w:lang w:val="en-US"/>
        </w:rPr>
        <w:t xml:space="preserve">8. Следует организовывать процесс обучения математике так, чтобы сформировать у обучающихся положительное отношение к предмету. Для этого необходимо разнообразить форму проведения урока, активно использовать ЭОР.  </w:t>
      </w:r>
      <w:r/>
    </w:p>
    <w:p>
      <w:pPr>
        <w:pStyle w:val="940"/>
        <w:ind w:firstLine="708"/>
        <w:jc w:val="both"/>
        <w:rPr>
          <w:lang w:val="en-US"/>
        </w:rPr>
      </w:pPr>
      <w:r>
        <w:rPr>
          <w:lang w:val="en-US"/>
        </w:rPr>
        <w:t xml:space="preserve">9. Обратить особое внимание на изучение геометрии, начиная с 7 класса. Причем речь идет не об отработке умений обучающихся при решении конкретных задач, предлагавшихся в различных вариантах ЕГЭ, а именно о серьезном систематическом изучении предмета. </w:t>
      </w:r>
      <w:r/>
    </w:p>
    <w:p>
      <w:pPr>
        <w:pStyle w:val="940"/>
        <w:ind w:firstLine="708"/>
        <w:jc w:val="both"/>
        <w:rPr>
          <w:lang w:val="en-US"/>
        </w:rPr>
      </w:pPr>
      <w:r>
        <w:rPr>
          <w:lang w:val="en-US"/>
        </w:rPr>
        <w:t xml:space="preserve">10. Для успешного выполнения заданий повышенного уровня сло</w:t>
      </w:r>
      <w:r>
        <w:rPr>
          <w:lang w:val="en-US"/>
        </w:rPr>
        <w:t xml:space="preserve">жности необходим дифференцированный подход в работе с наиболее подготовленными обучающимися. Это относится и к работе на уроке, и к дифференциации домашних заданий и заданий, предлагающихся обучающимся на контрольных, проверочных, диагностических работах. </w:t>
      </w:r>
      <w:r/>
    </w:p>
    <w:p>
      <w:pPr>
        <w:pStyle w:val="940"/>
        <w:ind w:firstLine="708"/>
        <w:jc w:val="both"/>
      </w:pPr>
      <w:r>
        <w:rPr>
          <w:lang w:val="en-US"/>
        </w:rPr>
        <w:t xml:space="preserve">11. Необходима серьезная факультативная внеурочная работа под руководством подготовленных преподавателей (как в виде очных занятий, так и посредством интернет</w:t>
      </w:r>
      <w:r>
        <w:t xml:space="preserve">-</w:t>
      </w:r>
      <w:r>
        <w:rPr>
          <w:lang w:val="en-US"/>
        </w:rPr>
        <w:t xml:space="preserve">курсов). </w:t>
      </w:r>
      <w:r/>
    </w:p>
    <w:p>
      <w:pPr>
        <w:pStyle w:val="940"/>
        <w:ind w:firstLine="708"/>
        <w:jc w:val="both"/>
        <w:rPr>
          <w:lang w:val="en-US"/>
        </w:rPr>
      </w:pPr>
      <w:r>
        <w:rPr>
          <w:lang w:val="en-US"/>
        </w:rPr>
        <w:t xml:space="preserve">12. В процессе обучения следует особенное внимание уделять формированию умений выделять в условии задания главное, уст</w:t>
      </w:r>
      <w:r>
        <w:rPr>
          <w:lang w:val="en-US"/>
        </w:rPr>
        <w:t xml:space="preserve">анавливать причинно-следственные связи между отдельными элементами содержания. Необходимо добиваться понимания обучающимися того, что успешное выполнение любого задания предполагает тщательный анализ его условия и выбор верной последовательности действий. </w:t>
      </w:r>
      <w:r/>
    </w:p>
    <w:p>
      <w:pPr>
        <w:pStyle w:val="940"/>
        <w:ind w:firstLine="708"/>
        <w:jc w:val="both"/>
      </w:pPr>
      <w:r>
        <w:rPr>
          <w:lang w:val="en-US"/>
        </w:rPr>
        <w:t xml:space="preserve">13. Полезно время от времени проходить пробное тестирование, оно всегда доступно в Интернете, например: http://www.res</w:t>
      </w:r>
      <w:r>
        <w:rPr>
          <w:lang w:val="en-US"/>
        </w:rPr>
        <w:t xml:space="preserve">olventa.ru/demo/training.htm. Также имеется большое число сайтов с полезной для подготовки к ЕГЭ литературой и вариантами заданий, например: http://www.mathege.ru, http://www.alleng.ru, http://www.alexlarin.net, http://ege-study.ru, http://www.mathus.ru/. </w:t>
      </w:r>
      <w:r/>
    </w:p>
    <w:p>
      <w:pPr>
        <w:pStyle w:val="940"/>
        <w:ind w:firstLine="708"/>
        <w:jc w:val="both"/>
        <w:rPr>
          <w:lang w:val="en-US"/>
        </w:rPr>
      </w:pPr>
      <w:r>
        <w:rPr>
          <w:lang w:val="en-US"/>
        </w:rPr>
        <w:t xml:space="preserve">14. На курсах повышения квалификации учителей математики целесообразно больше уделять внимание рассмотрению особенностей выполнения заданий повышенного и высокого уровней при проведении ЕГЭ.</w:t>
      </w:r>
      <w:r/>
    </w:p>
    <w:p>
      <w:pPr>
        <w:pStyle w:val="940"/>
        <w:ind w:firstLine="708"/>
        <w:jc w:val="both"/>
        <w:rPr>
          <w:lang w:val="en-US"/>
        </w:rPr>
      </w:pPr>
      <w:r>
        <w:rPr>
          <w:lang w:val="en-US"/>
        </w:rPr>
        <w:t xml:space="preserve">При планировании работы МО по подготовке к ЕГЭ представляется целесообразным выносить на заседания методического объединения рассмотрение следующих вопросов:</w:t>
      </w:r>
      <w:r/>
    </w:p>
    <w:p>
      <w:pPr>
        <w:pStyle w:val="940"/>
        <w:ind w:firstLine="708"/>
        <w:jc w:val="both"/>
        <w:rPr>
          <w:lang w:val="en-US"/>
        </w:rPr>
      </w:pPr>
      <w:r>
        <w:rPr>
          <w:lang w:val="en-US"/>
        </w:rPr>
        <w:t xml:space="preserve">- Анализ итогов ЕГЭ по предмету и задачи МО по совершенствованию качества учебного процесса по математике. </w:t>
      </w:r>
      <w:r/>
    </w:p>
    <w:p>
      <w:pPr>
        <w:pStyle w:val="940"/>
        <w:ind w:firstLine="708"/>
        <w:jc w:val="both"/>
        <w:rPr>
          <w:lang w:val="en-US"/>
        </w:rPr>
      </w:pPr>
      <w:r>
        <w:rPr>
          <w:lang w:val="en-US"/>
        </w:rPr>
        <w:t xml:space="preserve">- Анализ типичных ошибок, допущенных выпускниками в ходе ЕГЭ по математике.</w:t>
      </w:r>
      <w:r/>
    </w:p>
    <w:p>
      <w:pPr>
        <w:pStyle w:val="940"/>
        <w:ind w:firstLine="708"/>
        <w:jc w:val="both"/>
        <w:rPr>
          <w:lang w:val="en-US"/>
        </w:rPr>
      </w:pPr>
      <w:r>
        <w:rPr>
          <w:lang w:val="en-US"/>
        </w:rPr>
        <w:t xml:space="preserve">- Осуществление корректировки учебно-тематического планирования в соответствии с результатами ЕГЭ по математике. </w:t>
      </w:r>
      <w:r/>
    </w:p>
    <w:p>
      <w:pPr>
        <w:pStyle w:val="940"/>
        <w:ind w:firstLine="708"/>
        <w:jc w:val="both"/>
        <w:rPr>
          <w:lang w:val="en-US"/>
        </w:rPr>
      </w:pPr>
      <w:r>
        <w:rPr>
          <w:lang w:val="en-US"/>
        </w:rPr>
        <w:t xml:space="preserve">- Разработка системы мер по профилактике типичных учебных затруднений обучающихся по темам, выносимым на ЕГЭ по математике. </w:t>
      </w:r>
      <w:r/>
    </w:p>
    <w:p>
      <w:pPr>
        <w:pStyle w:val="940"/>
        <w:ind w:firstLine="708"/>
        <w:jc w:val="both"/>
        <w:rPr>
          <w:lang w:val="en-US"/>
        </w:rPr>
      </w:pPr>
      <w:r>
        <w:rPr>
          <w:lang w:val="en-US"/>
        </w:rPr>
        <w:t xml:space="preserve">- Повышение эффективности работы с базовыми понятиями учебного курса «Математика». </w:t>
      </w:r>
      <w:r/>
    </w:p>
    <w:p>
      <w:pPr>
        <w:pStyle w:val="940"/>
        <w:ind w:firstLine="708"/>
        <w:jc w:val="both"/>
        <w:rPr>
          <w:lang w:val="en-US"/>
        </w:rPr>
      </w:pPr>
      <w:r>
        <w:rPr>
          <w:lang w:val="en-US"/>
        </w:rPr>
        <w:t xml:space="preserve">- Использование тестовой формы контроля знаний, умений и навыков по математике. </w:t>
      </w:r>
      <w:r/>
    </w:p>
    <w:p>
      <w:pPr>
        <w:pStyle w:val="940"/>
        <w:ind w:firstLine="708"/>
        <w:jc w:val="both"/>
        <w:rPr>
          <w:lang w:val="en-US"/>
        </w:rPr>
      </w:pPr>
      <w:r>
        <w:rPr>
          <w:lang w:val="en-US"/>
        </w:rPr>
        <w:t xml:space="preserve">- Организация обмена опытом по подготовке обучающихся к ЕГЭ внутри методического объединения, в рамках образовательной организации.</w:t>
      </w:r>
      <w:r/>
    </w:p>
    <w:p>
      <w:pPr>
        <w:pStyle w:val="940"/>
        <w:ind w:firstLine="708"/>
        <w:jc w:val="both"/>
        <w:rPr>
          <w:lang w:val="en-US"/>
        </w:rPr>
      </w:pPr>
      <w:r>
        <w:rPr>
          <w:lang w:val="en-US"/>
        </w:rPr>
        <w:t xml:space="preserve">- Изучение опыта работы методических объединений других школ по подготовке к ЕГЭ. </w:t>
      </w:r>
      <w:r/>
    </w:p>
    <w:p>
      <w:pPr>
        <w:pStyle w:val="940"/>
        <w:ind w:firstLine="708"/>
        <w:jc w:val="both"/>
        <w:rPr>
          <w:lang w:val="en-US"/>
        </w:rPr>
      </w:pPr>
      <w:r>
        <w:rPr>
          <w:lang w:val="en-US"/>
        </w:rPr>
        <w:t xml:space="preserve">- Разработка системы разноуровневых заданий по наиболее сложным темам курса. </w:t>
      </w:r>
      <w:r/>
    </w:p>
    <w:p>
      <w:pPr>
        <w:pStyle w:val="940"/>
        <w:ind w:firstLine="708"/>
        <w:jc w:val="both"/>
        <w:rPr>
          <w:lang w:val="en-US"/>
        </w:rPr>
      </w:pPr>
      <w:r>
        <w:rPr>
          <w:lang w:val="en-US"/>
        </w:rPr>
        <w:t xml:space="preserve">- Разработка проблематики тематических консультаций для выпускников при подготовке к ЕГЭ по математике.  </w:t>
      </w:r>
      <w:r/>
    </w:p>
    <w:p>
      <w:pPr>
        <w:pStyle w:val="940"/>
        <w:ind w:firstLine="708"/>
        <w:jc w:val="both"/>
        <w:rPr>
          <w:lang w:val="en-US"/>
        </w:rPr>
      </w:pPr>
      <w:r>
        <w:rPr>
          <w:lang w:val="en-US"/>
        </w:rPr>
        <w:t xml:space="preserve">- Использование заданий в тестовой форме в ходе различных видов контроля качества подготовки выпускников.</w:t>
      </w:r>
      <w:r/>
    </w:p>
    <w:p>
      <w:pPr>
        <w:pStyle w:val="940"/>
        <w:ind w:firstLine="708"/>
        <w:jc w:val="both"/>
        <w:rPr>
          <w:lang w:val="en-US"/>
        </w:rPr>
      </w:pPr>
      <w:r>
        <w:rPr>
          <w:lang w:val="en-US"/>
        </w:rPr>
        <w:t xml:space="preserve">- Характеристика особенностей выполнения заданий базового (повышенного, высокого) уровня при проведении ЕГЭ. </w:t>
      </w:r>
      <w:r/>
    </w:p>
    <w:p>
      <w:pPr>
        <w:pStyle w:val="940"/>
        <w:ind w:firstLine="708"/>
        <w:jc w:val="both"/>
        <w:rPr>
          <w:lang w:val="en-US"/>
        </w:rPr>
      </w:pPr>
      <w:r>
        <w:rPr>
          <w:lang w:val="en-US"/>
        </w:rPr>
        <w:t xml:space="preserve">- Применение цифровых образовательных ресурсов и технологий при подготовке обучающихся к ЕГЭ по математике. </w:t>
      </w:r>
      <w:r/>
    </w:p>
    <w:p>
      <w:pPr>
        <w:pStyle w:val="940"/>
        <w:ind w:firstLine="708"/>
        <w:jc w:val="both"/>
        <w:rPr>
          <w:lang w:val="en-US"/>
        </w:rPr>
      </w:pPr>
      <w:r>
        <w:rPr>
          <w:lang w:val="en-US"/>
        </w:rPr>
        <w:t xml:space="preserve">Рассмотрение данных тем на заседаниях МО позволит актуализировать ряд сл</w:t>
      </w:r>
      <w:r>
        <w:rPr>
          <w:lang w:val="en-US"/>
        </w:rPr>
        <w:t xml:space="preserve">ожных методических проблем; организовать изучение педагогических, теоретических и практических аспектов ЕГЭ, раскрыть педагогическую целесообразность проведения ЕГЭ. В ходе обсуждении результатов ЕГЭ важно организовать обмен мнениями учителей математики по</w:t>
      </w:r>
      <w:r>
        <w:rPr>
          <w:lang w:val="en-US"/>
        </w:rPr>
        <w:t xml:space="preserve"> наиболее сложным вопросам, возникающим в ходе подготовки и проведении процедуры ЕГЭ, которые имеют непосредственное отношение к содержанию деятельности каждого учителя математики. Всесторонний анализ собственного опыта учителя математики в контексте требо</w:t>
      </w:r>
      <w:r>
        <w:rPr>
          <w:lang w:val="en-US"/>
        </w:rPr>
        <w:t xml:space="preserve">ваний ЕГЭ, результатов ЕГЭ за предыдущий год, оценка учебных и личностных достижений обучающихся по предмету, степени их готовности соответствовать критериям ЕГЭ помогут методическому объединению сформулировать приоритеты в методической работе с учителями.</w:t>
      </w:r>
      <w:r/>
    </w:p>
    <w:p>
      <w:pPr>
        <w:pStyle w:val="943"/>
        <w:jc w:val="both"/>
      </w:pPr>
      <w:r>
        <w:rPr>
          <w:rFonts w:ascii="Times New Roman" w:hAnsi="Times New Roman" w:cs="Times New Roman"/>
          <w:lang w:val="ru-RU"/>
        </w:rPr>
        <w:t xml:space="preserve">4.3. </w:t>
      </w:r>
      <w:r>
        <w:rPr>
          <w:rFonts w:ascii="Times New Roman" w:hAnsi="Times New Roman" w:cs="Times New Roman"/>
        </w:rPr>
        <w:t xml:space="preserve">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ascii="Times New Roman" w:hAnsi="Times New Roman" w:cs="Times New Roman"/>
          <w:lang w:val="ru-RU"/>
        </w:rPr>
        <w:t xml:space="preserve">ом</w:t>
      </w:r>
      <w:r>
        <w:rPr>
          <w:rFonts w:ascii="Times New Roman" w:hAnsi="Times New Roman" w:cs="Times New Roman"/>
        </w:rPr>
        <w:t xml:space="preserve"> отчет</w:t>
      </w:r>
      <w:r>
        <w:rPr>
          <w:rFonts w:ascii="Times New Roman" w:hAnsi="Times New Roman" w:cs="Times New Roman"/>
          <w:lang w:val="ru-RU"/>
        </w:rPr>
        <w:t xml:space="preserve">е</w:t>
      </w:r>
      <w:r>
        <w:rPr>
          <w:rFonts w:ascii="Times New Roman" w:hAnsi="Times New Roman" w:cs="Times New Roman"/>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cs="Times New Roman"/>
          <w:lang w:val="ru-RU"/>
        </w:rPr>
        <w:t xml:space="preserve">.</w:t>
      </w:r>
      <w:r/>
    </w:p>
    <w:p>
      <w:pPr>
        <w:pStyle w:val="940"/>
      </w:pPr>
      <w:r/>
      <w:r/>
    </w:p>
    <w:p>
      <w:pPr>
        <w:pStyle w:val="940"/>
        <w:rPr>
          <w:sz w:val="28"/>
          <w:szCs w:val="28"/>
        </w:rPr>
      </w:pPr>
      <w:r/>
      <w:hyperlink r:id="rId17"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rPr>
          <w:sz w:val="28"/>
          <w:szCs w:val="28"/>
        </w:rPr>
      </w:pPr>
      <w:r>
        <w:rPr>
          <w:sz w:val="28"/>
          <w:szCs w:val="28"/>
        </w:rPr>
      </w:r>
      <w:r/>
    </w:p>
    <w:p>
      <w:pPr>
        <w:pStyle w:val="940"/>
        <w:rPr>
          <w:sz w:val="28"/>
          <w:szCs w:val="28"/>
        </w:rPr>
      </w:pPr>
      <w:r>
        <w:rPr>
          <w:sz w:val="28"/>
          <w:szCs w:val="28"/>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1"/>
        <w:rPr>
          <w:rFonts w:ascii="Times New Roman" w:hAnsi="Times New Roman" w:cs="Times New Roman"/>
        </w:rPr>
      </w:pPr>
      <w:r>
        <w:rPr>
          <w:rFonts w:ascii="Times New Roman" w:hAnsi="Times New Roman" w:cs="Times New Roman"/>
        </w:rPr>
        <w:t xml:space="preserve">Раздел 5. Предложения в ДОРОЖНУЮ КАРТУ по развитию региональной системы образования</w:t>
      </w:r>
      <w:r/>
    </w:p>
    <w:p>
      <w:pPr>
        <w:pStyle w:val="943"/>
        <w:numPr>
          <w:ilvl w:val="0"/>
          <w:numId w:val="0"/>
        </w:numPr>
        <w:ind w:left="0" w:firstLine="0"/>
        <w:jc w:val="both"/>
      </w:pPr>
      <w:r>
        <w:rPr>
          <w:rFonts w:ascii="Times New Roman" w:hAnsi="Times New Roman" w:cs="Times New Roman"/>
          <w:lang w:val="ru-RU"/>
        </w:rPr>
        <w:t xml:space="preserve">5.1. </w:t>
      </w:r>
      <w:r>
        <w:rPr>
          <w:rFonts w:ascii="Times New Roman" w:hAnsi="Times New Roman" w:cs="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r/>
    </w:p>
    <w:p>
      <w:pPr>
        <w:pStyle w:val="940"/>
        <w:rPr>
          <w:lang w:val="en-US"/>
        </w:rPr>
      </w:pPr>
      <w:r>
        <w:rPr>
          <w:lang w:val="en-US"/>
        </w:rPr>
      </w:r>
      <w:r/>
    </w:p>
    <w:p>
      <w:pPr>
        <w:pStyle w:val="940"/>
        <w:jc w:val="right"/>
        <w:keepNext/>
        <w:spacing w:before="0" w:after="200"/>
        <w:rPr>
          <w:bCs/>
          <w:i/>
          <w:sz w:val="18"/>
          <w:szCs w:val="18"/>
          <w:lang w:val="en-US"/>
        </w:rPr>
      </w:pPr>
      <w:r>
        <w:rPr>
          <w:bCs/>
          <w:i/>
          <w:sz w:val="18"/>
          <w:szCs w:val="18"/>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2021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(математика)</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математики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ЕГЭ – 11</w:t>
            </w:r>
            <w:r>
              <w:rPr>
                <w:lang w:eastAsia="en-US"/>
              </w:rPr>
              <w:t xml:space="preserve"> в 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математике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математике  .</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математике  .</w:t>
            </w:r>
            <w:r/>
          </w:p>
          <w:p>
            <w:pPr>
              <w:pStyle w:val="940"/>
            </w:pPr>
            <w:r>
              <w:t xml:space="preserve">Разработаны рекомендации по изменению программы повышения квалификации учителей математики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w:t>
            </w:r>
            <w:r>
              <w:t xml:space="preserve">изация семинаров и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Как перестать бояться итоговых аттестаций по математике: решение трудных задач по алгебре и геометрии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53 человек, вебинар, учителя математики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restart"/>
            <w:textDirection w:val="lrTb"/>
            <w:noWrap w:val="false"/>
          </w:tcPr>
          <w:p>
            <w:pPr>
              <w:pStyle w:val="940"/>
            </w:pPr>
            <w:r>
              <w:t xml:space="preserve">Участники вебинаров и семинаров по математике освоили методы и</w:t>
            </w:r>
            <w:r>
              <w:t xml:space="preserve"> приемы подготовки обучающихся к выполнению заданий с кратким ответом экзаменационной работы; а также дифференцированный подход в работе с наиболее подготовленными выпускниками по их подготовке к выполнению заданий повышенного и высокого уровня сложности.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Подготовка к ГИА по математике 2020: ОГЭ, ЕГЭ</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93 человек, 4 часа, семинар, учителя математики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Логарифмические и показательные функции в школьном курсе математики и итоговой аттестации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15 человек, семинар, учителя математики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3.5</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ООО  (математика)</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pPr>
            <w:r>
              <w:rPr>
                <w:lang w:eastAsia="en-US"/>
              </w:rPr>
              <w:t xml:space="preserve">61</w:t>
            </w:r>
            <w:r>
              <w:rPr>
                <w:sz w:val="22"/>
                <w:szCs w:val="22"/>
                <w:lang w:eastAsia="en-US"/>
              </w:rPr>
              <w:t xml:space="preserve"> </w:t>
            </w:r>
            <w:r>
              <w:rPr>
                <w:lang w:eastAsia="en-US"/>
              </w:rPr>
              <w:t xml:space="preserve">человек</w:t>
            </w:r>
            <w:r>
              <w:rPr>
                <w:sz w:val="22"/>
                <w:szCs w:val="22"/>
                <w:lang w:eastAsia="en-US"/>
              </w:rPr>
              <w:t xml:space="preserve"> </w:t>
            </w:r>
            <w:r>
              <w:rPr>
                <w:lang w:eastAsia="en-US"/>
              </w:rPr>
              <w:t xml:space="preserve">семинар, члены предметной комиссии, учителя математики</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w:t>
            </w:r>
            <w:r>
              <w:rPr>
                <w:lang w:eastAsia="en-US"/>
              </w:rPr>
              <w:t xml:space="preserve">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математике;</w:t>
            </w:r>
            <w:r/>
          </w:p>
          <w:p>
            <w:pPr>
              <w:pStyle w:val="940"/>
              <w:jc w:val="both"/>
              <w:spacing w:before="0" w:after="160" w:line="254" w:lineRule="auto"/>
            </w:pPr>
            <w:r>
              <w:rPr>
                <w:lang w:eastAsia="en-US"/>
              </w:rPr>
              <w:t xml:space="preserve">•</w:t>
            </w:r>
            <w:r>
              <w:rPr>
                <w:lang w:eastAsia="en-US"/>
              </w:rPr>
              <w:tab/>
              <w:t xml:space="preserve">формированию у них представления о структуре и содержании  КИМ по математике;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2021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математики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вкл</w:t>
            </w:r>
            <w:r>
              <w:t xml:space="preserve">ючают вопросы обновления технологий и содержания обучения русскому языку и литературе/ истории/ обществознанию/ географии/ математике/ математике   и астрономии/ химии и др. в соответствии с концепциями преподавания учебных предметов (предметных областей).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5.Включение в повестки дня заседаний предметных секций регионального учебно-методического объединения учителей вопросов, связанных с организаций учебных занятий, ориентированных на подготовку выпускников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5.1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Современный нелинейный урок по математике для 5 класса</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42 человека, учителя математики</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Включен</w:t>
            </w:r>
            <w:r>
              <w:t xml:space="preserve">ие в повестки дня заседаний предметных секций регионального учебно-методического объединения учителей вопросов, связанных с организаций учебных занятий, ориентированных на подготовку выпускников к ЕГЭ позволило развить соответствующие компетенции учителей.</w:t>
            </w:r>
            <w:r/>
          </w:p>
        </w:tc>
      </w:tr>
    </w:tbl>
    <w:p>
      <w:pPr>
        <w:pStyle w:val="1400"/>
        <w:contextualSpacing/>
        <w:ind w:left="0" w:right="0" w:firstLine="0"/>
        <w:keepLines/>
        <w:keepNext/>
        <w:spacing w:before="200" w:after="0" w:line="240" w:lineRule="auto"/>
        <w:rPr>
          <w:rFonts w:ascii="Times New Roman" w:hAnsi="Times New Roman" w:cs="Times New Roman" w:eastAsia="SimSun;宋体"/>
          <w:b/>
          <w:bCs/>
          <w:vanish/>
          <w:sz w:val="28"/>
          <w:szCs w:val="24"/>
          <w:lang w:eastAsia="ru-RU"/>
        </w:rPr>
      </w:pPr>
      <w:r>
        <w:rPr>
          <w:rFonts w:ascii="Times New Roman" w:hAnsi="Times New Roman" w:cs="Times New Roman" w:eastAsia="SimSun;宋体"/>
          <w:b/>
          <w:bCs/>
          <w:sz w:val="28"/>
          <w:szCs w:val="24"/>
          <w:lang w:eastAsia="ru-RU"/>
        </w:rPr>
        <w:t xml:space="preserve">5.2. </w:t>
      </w:r>
      <w:r/>
    </w:p>
    <w:p>
      <w:pPr>
        <w:pStyle w:val="940"/>
        <w:numPr>
          <w:ilvl w:val="1"/>
          <w:numId w:val="23"/>
        </w:numPr>
        <w:keepLines/>
        <w:keepNext/>
        <w:spacing w:before="200" w:after="0"/>
        <w:rPr>
          <w:rFonts w:eastAsia="SimSun;宋体"/>
          <w:b/>
          <w:bCs/>
          <w:sz w:val="28"/>
          <w:lang w:val="en-US"/>
        </w:rPr>
      </w:pPr>
      <w:r>
        <w:rPr>
          <w:rFonts w:eastAsia="SimSun;宋体"/>
          <w:b/>
          <w:bCs/>
          <w:sz w:val="28"/>
          <w:lang w:val="en-US"/>
        </w:rPr>
        <w:t xml:space="preserve">Предложения в дорожную карту на 2021-2022 учебный год</w:t>
      </w:r>
      <w:r/>
    </w:p>
    <w:p>
      <w:pPr>
        <w:pStyle w:val="940"/>
        <w:numPr>
          <w:ilvl w:val="2"/>
          <w:numId w:val="23"/>
        </w:numPr>
        <w:ind w:left="426" w:firstLine="0"/>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математики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(в том числе учителей математики )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математики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lang w:val="en-US"/>
        </w:rPr>
      </w:pPr>
      <w:r>
        <w:rPr>
          <w:bCs/>
          <w:sz w:val="18"/>
          <w:szCs w:val="18"/>
          <w:lang w:val="en-US"/>
        </w:rPr>
      </w:r>
      <w:r/>
    </w:p>
    <w:p>
      <w:pPr>
        <w:pStyle w:val="940"/>
        <w:numPr>
          <w:ilvl w:val="2"/>
          <w:numId w:val="23"/>
        </w:numPr>
        <w:ind w:left="426" w:firstLine="0"/>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78"/>
        <w:gridCol w:w="7965"/>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Проведение открытых заседаний предметных секций рег</w:t>
            </w:r>
            <w:r>
              <w:t xml:space="preserve">ионального учебно-методического объединения с участием председателей предметных комиссий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78"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jc w:val="both"/>
              <w:rPr>
                <w:lang w:eastAsia="en-US"/>
              </w:rPr>
            </w:pPr>
            <w:r>
              <w:rPr>
                <w:lang w:eastAsia="en-US"/>
              </w:rPr>
              <w:t xml:space="preserve">Обновление содержания обучения математике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октябрь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«Анализ типичных затруднений выпускников при выполнения задания ЕГЭ – 2021»</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4.1</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Сентябрь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«Решение наиболее трудных задач по планиметрии из ОГЭ и ЕГЭ по математике»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4.2</w:t>
            </w:r>
            <w:r/>
          </w:p>
        </w:tc>
        <w:tc>
          <w:tcPr>
            <w:tcBorders>
              <w:top w:val="single" w:color="000000" w:sz="4" w:space="0"/>
              <w:left w:val="single" w:color="000000" w:sz="4" w:space="0"/>
              <w:bottom w:val="single" w:color="000000" w:sz="4" w:space="0"/>
            </w:tcBorders>
            <w:tcW w:w="1178" w:type="dxa"/>
            <w:textDirection w:val="lrTb"/>
            <w:noWrap w:val="false"/>
          </w:tcPr>
          <w:p>
            <w:pPr>
              <w:pStyle w:val="940"/>
              <w:contextualSpacing/>
              <w:spacing w:before="0" w:after="0"/>
            </w:pPr>
            <w:r>
              <w:t xml:space="preserve">Октябрь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65" w:type="dxa"/>
            <w:textDirection w:val="lrTb"/>
            <w:noWrap w:val="false"/>
          </w:tcPr>
          <w:p>
            <w:pPr>
              <w:pStyle w:val="940"/>
              <w:contextualSpacing/>
              <w:spacing w:before="0" w:after="0"/>
            </w:pPr>
            <w:r>
              <w:t xml:space="preserve">«Эффективные приёмы обучения элементам теории пределов и дифференциального исчисления в 11-м классе»</w:t>
            </w:r>
            <w:r/>
          </w:p>
        </w:tc>
      </w:tr>
    </w:tbl>
    <w:p>
      <w:pPr>
        <w:pStyle w:val="940"/>
        <w:keepNext/>
        <w:spacing w:before="0" w:after="200"/>
        <w:rPr>
          <w:bCs/>
          <w:sz w:val="18"/>
          <w:szCs w:val="18"/>
        </w:rPr>
      </w:pPr>
      <w:r>
        <w:rPr>
          <w:bCs/>
          <w:sz w:val="18"/>
          <w:szCs w:val="18"/>
        </w:rPr>
      </w:r>
      <w:r/>
    </w:p>
    <w:p>
      <w:pPr>
        <w:pStyle w:val="940"/>
        <w:numPr>
          <w:ilvl w:val="2"/>
          <w:numId w:val="23"/>
        </w:numPr>
        <w:ind w:left="567" w:firstLine="0"/>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rPr>
          <w:rFonts w:eastAsia="SimSun;宋体"/>
          <w:bCs/>
          <w:lang w:val="en-US"/>
        </w:rPr>
      </w:pPr>
      <w:r>
        <w:rPr>
          <w:rFonts w:eastAsia="SimSun;宋体"/>
          <w:bCs/>
          <w:lang w:val="en-US"/>
        </w:rPr>
        <w:t xml:space="preserve">Не планируются</w:t>
      </w:r>
      <w:r/>
    </w:p>
    <w:p>
      <w:pPr>
        <w:pStyle w:val="940"/>
        <w:numPr>
          <w:ilvl w:val="2"/>
          <w:numId w:val="23"/>
        </w:numPr>
        <w:ind w:left="567" w:firstLine="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13"/>
        <w:gridCol w:w="803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pPr>
            <w:r>
              <w:rPr>
                <w:sz w:val="23"/>
                <w:szCs w:val="23"/>
              </w:rPr>
              <w:t xml:space="preserve">Проведение вебинаров и видеоконференций с участием председателя предметной комиссий ЕГЭ по математике,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pPr>
            <w:r>
              <w:rPr>
                <w:sz w:val="23"/>
                <w:szCs w:val="23"/>
              </w:rPr>
              <w:t xml:space="preserve">Выступления учителей математики,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математики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Ноябрь</w:t>
            </w:r>
            <w:r/>
          </w:p>
          <w:p>
            <w:pPr>
              <w:pStyle w:val="940"/>
              <w:contextualSpacing/>
              <w:spacing w:before="0" w:after="0"/>
              <w:rPr>
                <w:sz w:val="23"/>
                <w:szCs w:val="23"/>
              </w:rPr>
            </w:pPr>
            <w:r>
              <w:rPr>
                <w:sz w:val="23"/>
                <w:szCs w:val="23"/>
              </w:rPr>
              <w:t xml:space="preserve">2021,</w:t>
            </w:r>
            <w:r/>
          </w:p>
          <w:p>
            <w:pPr>
              <w:pStyle w:val="940"/>
              <w:contextualSpacing/>
              <w:spacing w:before="0" w:after="0"/>
              <w:rPr>
                <w:sz w:val="23"/>
                <w:szCs w:val="23"/>
              </w:rPr>
            </w:pPr>
            <w:r>
              <w:rPr>
                <w:sz w:val="23"/>
                <w:szCs w:val="23"/>
              </w:rPr>
              <w:t xml:space="preserve">март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«Подготовка обучающихся к ЕГЭ по математике: из опыта работы»</w:t>
            </w:r>
            <w:r/>
          </w:p>
        </w:tc>
      </w:tr>
    </w:tbl>
    <w:p>
      <w:pPr>
        <w:pStyle w:val="940"/>
        <w:keepNext/>
        <w:spacing w:before="0" w:after="200"/>
        <w:rPr>
          <w:bCs/>
          <w:sz w:val="18"/>
          <w:szCs w:val="18"/>
        </w:rPr>
      </w:pPr>
      <w:r>
        <w:rPr>
          <w:bCs/>
          <w:sz w:val="18"/>
          <w:szCs w:val="18"/>
        </w:rPr>
      </w:r>
      <w:r/>
    </w:p>
    <w:p>
      <w:pPr>
        <w:pStyle w:val="940"/>
        <w:numPr>
          <w:ilvl w:val="2"/>
          <w:numId w:val="23"/>
        </w:numPr>
        <w:ind w:left="709"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ind w:firstLine="708"/>
        <w:jc w:val="both"/>
        <w:rPr>
          <w:lang w:eastAsia="en-US"/>
        </w:rPr>
      </w:pPr>
      <w:r>
        <w:rPr>
          <w:lang w:eastAsia="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 </w:t>
      </w:r>
      <w:r>
        <w:rPr>
          <w:lang w:eastAsia="en-US"/>
        </w:rPr>
        <w:t xml:space="preserve">№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«Математика»</w:t>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tbl>
      <w:tblPr>
        <w:tblW w:w="10029" w:type="dxa"/>
        <w:tblInd w:w="-299" w:type="dxa"/>
        <w:tblLayout w:type="fixed"/>
        <w:tblCellMar>
          <w:left w:w="108" w:type="dxa"/>
          <w:top w:w="0" w:type="dxa"/>
          <w:right w:w="108" w:type="dxa"/>
          <w:bottom w:w="0" w:type="dxa"/>
        </w:tblCellMar>
        <w:tblLook w:val="04A0" w:firstRow="1" w:lastRow="0" w:firstColumn="1" w:lastColumn="0" w:noHBand="0" w:noVBand="1"/>
      </w:tblPr>
      <w:tblGrid>
        <w:gridCol w:w="396"/>
        <w:gridCol w:w="3204"/>
        <w:gridCol w:w="3204"/>
        <w:gridCol w:w="3225"/>
      </w:tblGrid>
      <w:tr>
        <w:trPr>
          <w:trHeight w:val="1038"/>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highlight w:val="yellow"/>
              </w:rPr>
            </w:pPr>
            <w:r>
              <w:rPr>
                <w:iCs/>
              </w:rPr>
              <w:t xml:space="preserve">1.</w:t>
            </w:r>
            <w:r/>
          </w:p>
        </w:tc>
        <w:tc>
          <w:tcPr>
            <w:tcBorders>
              <w:top w:val="single" w:color="000000" w:sz="4" w:space="0"/>
              <w:left w:val="single" w:color="000000" w:sz="4" w:space="0"/>
              <w:bottom w:val="single" w:color="000000" w:sz="4" w:space="0"/>
            </w:tcBorders>
            <w:tcW w:w="3204" w:type="dxa"/>
            <w:textDirection w:val="lrTb"/>
            <w:noWrap w:val="false"/>
          </w:tcPr>
          <w:p>
            <w:pPr>
              <w:pStyle w:val="940"/>
            </w:pPr>
            <w:r>
              <w:rPr>
                <w:iCs/>
              </w:rPr>
              <w:t xml:space="preserve">Председатель предметной комиссии</w:t>
            </w:r>
            <w:r/>
          </w:p>
        </w:tc>
        <w:tc>
          <w:tcPr>
            <w:tcBorders>
              <w:top w:val="single" w:color="000000" w:sz="4" w:space="0"/>
              <w:left w:val="single" w:color="000000" w:sz="4" w:space="0"/>
              <w:bottom w:val="single" w:color="000000" w:sz="4" w:space="0"/>
            </w:tcBorders>
            <w:tcW w:w="3204" w:type="dxa"/>
            <w:textDirection w:val="lrTb"/>
            <w:noWrap w:val="false"/>
          </w:tcPr>
          <w:p>
            <w:pPr>
              <w:pStyle w:val="940"/>
              <w:rPr>
                <w:iCs/>
              </w:rPr>
            </w:pPr>
            <w:r>
              <w:rPr>
                <w:iCs/>
              </w:rPr>
              <w:t xml:space="preserve">Ратникова Светлана Сергеевна, ГБОУ АО «АТЛ», учитель математики</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«Математика»</w:t>
            </w:r>
            <w:r/>
          </w:p>
        </w:tc>
      </w:tr>
      <w:tr>
        <w:trPr>
          <w:trHeight w:val="1038"/>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rPr>
                <w:iCs/>
              </w:rPr>
            </w:pPr>
            <w:r>
              <w:rPr>
                <w:iCs/>
              </w:rPr>
              <w:t xml:space="preserve">1.</w:t>
            </w:r>
            <w:r/>
          </w:p>
        </w:tc>
        <w:tc>
          <w:tcPr>
            <w:tcBorders>
              <w:top w:val="single" w:color="000000" w:sz="4" w:space="0"/>
              <w:left w:val="single" w:color="000000" w:sz="4" w:space="0"/>
              <w:bottom w:val="single" w:color="000000" w:sz="4" w:space="0"/>
            </w:tcBorders>
            <w:tcW w:w="3204" w:type="dxa"/>
            <w:textDirection w:val="lrTb"/>
            <w:noWrap w:val="false"/>
          </w:tcPr>
          <w:p>
            <w:pPr>
              <w:pStyle w:val="940"/>
            </w:pPr>
            <w:r>
              <w:rPr>
                <w:iCs/>
              </w:rPr>
              <w:t xml:space="preserve">Сопредседатель секции учителей информатики                       и математики</w:t>
            </w:r>
            <w:r/>
          </w:p>
        </w:tc>
        <w:tc>
          <w:tcPr>
            <w:tcBorders>
              <w:top w:val="single" w:color="000000" w:sz="4" w:space="0"/>
              <w:left w:val="single" w:color="000000" w:sz="4" w:space="0"/>
              <w:bottom w:val="single" w:color="000000" w:sz="4" w:space="0"/>
            </w:tcBorders>
            <w:tcW w:w="3204" w:type="dxa"/>
            <w:textDirection w:val="lrTb"/>
            <w:noWrap w:val="false"/>
          </w:tcPr>
          <w:p>
            <w:pPr>
              <w:pStyle w:val="940"/>
            </w:pPr>
            <w:r>
              <w:rPr>
                <w:iCs/>
              </w:rPr>
              <w:t xml:space="preserve">Тяпкина Наталья Павловна, МБОУ г. Астрахани «СОШ № 37», учитель математики</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jc w:val="both"/>
            </w:pPr>
            <w:r>
              <w:rPr>
                <w:iCs/>
              </w:rPr>
              <w:t xml:space="preserve">2.</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jc w:val="both"/>
            </w:pPr>
            <w:r>
              <w:rPr>
                <w:iCs/>
              </w:rPr>
              <w:t xml:space="preserve">3.</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204"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jc w:val="both"/>
            </w:pPr>
            <w:r>
              <w:rPr>
                <w:iCs/>
              </w:rPr>
              <w:t xml:space="preserve">4.</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204"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r>
            <w:r/>
          </w:p>
        </w:tc>
      </w:tr>
      <w:tr>
        <w:trPr>
          <w:trHeight w:val="255"/>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204"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204"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25" w:type="dxa"/>
            <w:textDirection w:val="lrTb"/>
            <w:noWrap w:val="false"/>
          </w:tcPr>
          <w:p>
            <w:pPr>
              <w:pStyle w:val="940"/>
              <w:jc w:val="both"/>
              <w:rPr>
                <w:i/>
                <w:iCs/>
              </w:rPr>
            </w:pPr>
            <w:r>
              <w:rPr>
                <w:i/>
                <w:iCs/>
              </w:rPr>
            </w:r>
            <w:r/>
          </w:p>
        </w:tc>
      </w:tr>
    </w:tbl>
    <w:p>
      <w:pPr>
        <w:sectPr>
          <w:footerReference w:type="default" r:id="rId9"/>
          <w:footnotePr>
            <w:numFmt w:val="decimal"/>
          </w:footnotePr>
          <w:endnotePr/>
          <w:type w:val="nextPage"/>
          <w:pgSz w:w="11906" w:h="16838" w:orient="portrait"/>
          <w:pgMar w:top="709" w:right="567" w:bottom="1134" w:left="1701" w:header="0" w:footer="709" w:gutter="0"/>
          <w:cols w:num="1" w:sep="0" w:space="1701" w:equalWidth="1"/>
          <w:docGrid w:linePitch="360"/>
        </w:sectPr>
      </w:pPr>
      <w:r/>
      <w:r/>
    </w:p>
    <w:p>
      <w:pPr>
        <w:pStyle w:val="941"/>
      </w:pPr>
      <w:r>
        <w:rPr>
          <w:rFonts w:ascii="Times New Roman" w:hAnsi="Times New Roman" w:cs="Times New Roman"/>
        </w:rPr>
        <w:t xml:space="preserve">Методический анализ результатов ЕГЭ</w:t>
        <w:br/>
      </w:r>
      <w:r>
        <w:rPr>
          <w:rStyle w:val="1378"/>
          <w:rFonts w:ascii="Times New Roman" w:hAnsi="Times New Roman" w:cs="Times New Roman"/>
          <w:b w:val="0"/>
          <w:bCs w:val="0"/>
          <w:sz w:val="32"/>
        </w:rPr>
        <w:t xml:space="preserve">по </w:t>
      </w:r>
      <w:r>
        <w:rPr>
          <w:rStyle w:val="1378"/>
          <w:rFonts w:ascii="Times New Roman" w:hAnsi="Times New Roman" w:cs="Times New Roman"/>
          <w:b w:val="0"/>
          <w:bCs w:val="0"/>
          <w:sz w:val="32"/>
          <w:u w:val="single"/>
          <w:lang w:val="ru-RU"/>
        </w:rPr>
        <w:t xml:space="preserve">Физике</w:t>
      </w:r>
      <w:r>
        <w:rPr>
          <w:rStyle w:val="1378"/>
          <w:rFonts w:ascii="Times New Roman" w:hAnsi="Times New Roman" w:cs="Times New Roman"/>
          <w:b w:val="0"/>
          <w:bCs w:val="0"/>
          <w:sz w:val="32"/>
        </w:rPr>
        <w:br/>
      </w:r>
      <w:r>
        <w:rPr>
          <w:rStyle w:val="1378"/>
          <w:rFonts w:ascii="Times New Roman" w:hAnsi="Times New Roman" w:cs="Times New Roman"/>
          <w:b w:val="0"/>
          <w:bCs w:val="0"/>
          <w:sz w:val="24"/>
          <w:szCs w:val="22"/>
          <w:lang w:val="ru-RU"/>
        </w:rPr>
        <w:t xml:space="preserve">  </w:t>
      </w:r>
      <w:r>
        <w:rPr>
          <w:rStyle w:val="1378"/>
          <w:rFonts w:ascii="Times New Roman" w:hAnsi="Times New Roman" w:cs="Times New Roman"/>
          <w:b w:val="0"/>
          <w:bCs w:val="0"/>
          <w:sz w:val="24"/>
          <w:szCs w:val="22"/>
        </w:rPr>
        <w:t xml:space="preserve">(учебный предмет)</w:t>
      </w:r>
      <w:r/>
    </w:p>
    <w:p>
      <w:pPr>
        <w:pStyle w:val="940"/>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0"/>
        <w:jc w:val="both"/>
        <w:rPr>
          <w:b/>
          <w:bCs/>
          <w:sz w:val="28"/>
          <w:szCs w:val="28"/>
        </w:rPr>
      </w:pPr>
      <w:r>
        <w:rPr>
          <w:b/>
          <w:bCs/>
          <w:sz w:val="28"/>
          <w:szCs w:val="28"/>
        </w:rPr>
      </w:r>
      <w:r/>
    </w:p>
    <w:p>
      <w:pPr>
        <w:pStyle w:val="943"/>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rPr>
          <w:b/>
          <w:lang w:val="en-US" w:eastAsia="en-US"/>
        </w:rPr>
      </w:pPr>
      <w:r>
        <w:t xml:space="preserve">Таблица 2</w:t>
        <w:noBreakHyphen/>
        <w:t xml:space="preserve">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276"/>
        <w:gridCol w:w="1841"/>
        <w:gridCol w:w="1415"/>
        <w:gridCol w:w="1841"/>
        <w:gridCol w:w="1558"/>
        <w:gridCol w:w="1728"/>
      </w:tblGrid>
      <w:tr>
        <w:trPr/>
        <w:tc>
          <w:tcPr>
            <w:gridSpan w:val="2"/>
            <w:tcBorders>
              <w:top w:val="single" w:color="000000" w:sz="4" w:space="0"/>
              <w:left w:val="single" w:color="000000" w:sz="4" w:space="0"/>
              <w:bottom w:val="single" w:color="000000" w:sz="4" w:space="0"/>
            </w:tcBorders>
            <w:tcW w:w="311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56"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286"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7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41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76" w:type="dxa"/>
            <w:vAlign w:val="center"/>
            <w:textDirection w:val="lrTb"/>
            <w:noWrap w:val="false"/>
          </w:tcPr>
          <w:p>
            <w:pPr>
              <w:pStyle w:val="940"/>
              <w:ind w:right="-1" w:firstLine="0"/>
              <w:jc w:val="center"/>
              <w:spacing w:before="0" w:after="160" w:line="254" w:lineRule="auto"/>
              <w:rPr>
                <w:lang w:eastAsia="en-US"/>
              </w:rPr>
            </w:pPr>
            <w:r>
              <w:rPr>
                <w:lang w:eastAsia="en-US"/>
              </w:rPr>
              <w:t xml:space="preserve">1128</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ind w:right="-1" w:firstLine="0"/>
              <w:jc w:val="center"/>
              <w:spacing w:before="0" w:after="160" w:line="254" w:lineRule="auto"/>
              <w:rPr>
                <w:lang w:eastAsia="en-US"/>
              </w:rPr>
            </w:pPr>
            <w:r>
              <w:rPr>
                <w:lang w:eastAsia="en-US"/>
              </w:rPr>
              <w:t xml:space="preserve">26,1</w:t>
            </w:r>
            <w:r/>
          </w:p>
        </w:tc>
        <w:tc>
          <w:tcPr>
            <w:tcBorders>
              <w:top w:val="single" w:color="000000" w:sz="4" w:space="0"/>
              <w:left w:val="single" w:color="000000" w:sz="4" w:space="0"/>
              <w:bottom w:val="single" w:color="000000" w:sz="4" w:space="0"/>
            </w:tcBorders>
            <w:tcW w:w="1415" w:type="dxa"/>
            <w:vAlign w:val="center"/>
            <w:textDirection w:val="lrTb"/>
            <w:noWrap w:val="false"/>
          </w:tcPr>
          <w:p>
            <w:pPr>
              <w:pStyle w:val="940"/>
              <w:jc w:val="center"/>
            </w:pPr>
            <w:r>
              <w:t xml:space="preserve">1004</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pPr>
            <w:r>
              <w:t xml:space="preserve">24,7</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pPr>
            <w:r>
              <w:t xml:space="preserve">972</w:t>
            </w: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940"/>
              <w:jc w:val="center"/>
            </w:pPr>
            <w:r>
              <w:t xml:space="preserve">23,8</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pPr>
      <w:r>
        <w:rPr>
          <w:rFonts w:ascii="Times New Roman" w:hAnsi="Times New Roman" w:cs="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276"/>
        <w:gridCol w:w="989"/>
        <w:gridCol w:w="1841"/>
        <w:gridCol w:w="1276"/>
        <w:gridCol w:w="1556"/>
        <w:gridCol w:w="1130"/>
        <w:gridCol w:w="1591"/>
      </w:tblGrid>
      <w:tr>
        <w:trPr/>
        <w:tc>
          <w:tcPr>
            <w:tcBorders>
              <w:top w:val="single" w:color="000000" w:sz="4" w:space="0"/>
              <w:left w:val="single" w:color="000000" w:sz="4" w:space="0"/>
              <w:bottom w:val="single" w:color="000000" w:sz="4" w:space="0"/>
            </w:tcBorders>
            <w:tcW w:w="1276"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830"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832"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721"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276"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98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27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5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13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59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76"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989" w:type="dxa"/>
            <w:vAlign w:val="center"/>
            <w:textDirection w:val="lrTb"/>
            <w:noWrap w:val="false"/>
          </w:tcPr>
          <w:p>
            <w:pPr>
              <w:pStyle w:val="940"/>
              <w:jc w:val="center"/>
              <w:spacing w:before="0" w:after="160" w:line="254" w:lineRule="auto"/>
              <w:rPr>
                <w:lang w:eastAsia="en-US"/>
              </w:rPr>
            </w:pPr>
            <w:r>
              <w:rPr>
                <w:lang w:eastAsia="en-US"/>
              </w:rPr>
              <w:t xml:space="preserve">242</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spacing w:before="0" w:after="160" w:line="254" w:lineRule="auto"/>
              <w:rPr>
                <w:lang w:eastAsia="en-US"/>
              </w:rPr>
            </w:pPr>
            <w:r>
              <w:rPr>
                <w:lang w:eastAsia="en-US"/>
              </w:rPr>
              <w:t xml:space="preserve">21,5</w:t>
            </w:r>
            <w:r/>
          </w:p>
        </w:tc>
        <w:tc>
          <w:tcPr>
            <w:tcBorders>
              <w:top w:val="single" w:color="000000" w:sz="4" w:space="0"/>
              <w:left w:val="single" w:color="000000" w:sz="4" w:space="0"/>
              <w:bottom w:val="single" w:color="000000" w:sz="4" w:space="0"/>
            </w:tcBorders>
            <w:tcW w:w="1276" w:type="dxa"/>
            <w:vAlign w:val="center"/>
            <w:textDirection w:val="lrTb"/>
            <w:noWrap w:val="false"/>
          </w:tcPr>
          <w:p>
            <w:pPr>
              <w:pStyle w:val="940"/>
              <w:jc w:val="center"/>
            </w:pPr>
            <w:r>
              <w:t xml:space="preserve">240</w:t>
            </w:r>
            <w:r/>
          </w:p>
        </w:tc>
        <w:tc>
          <w:tcPr>
            <w:tcBorders>
              <w:top w:val="single" w:color="000000" w:sz="4" w:space="0"/>
              <w:left w:val="single" w:color="000000" w:sz="4" w:space="0"/>
              <w:bottom w:val="single" w:color="000000" w:sz="4" w:space="0"/>
            </w:tcBorders>
            <w:tcW w:w="1556" w:type="dxa"/>
            <w:vAlign w:val="center"/>
            <w:textDirection w:val="lrTb"/>
            <w:noWrap w:val="false"/>
          </w:tcPr>
          <w:p>
            <w:pPr>
              <w:pStyle w:val="940"/>
              <w:jc w:val="center"/>
            </w:pPr>
            <w:r>
              <w:t xml:space="preserve">23,9</w:t>
            </w:r>
            <w:r/>
          </w:p>
        </w:tc>
        <w:tc>
          <w:tcPr>
            <w:tcBorders>
              <w:top w:val="single" w:color="000000" w:sz="4" w:space="0"/>
              <w:left w:val="single" w:color="000000" w:sz="4" w:space="0"/>
              <w:bottom w:val="single" w:color="000000" w:sz="4" w:space="0"/>
            </w:tcBorders>
            <w:tcW w:w="1130" w:type="dxa"/>
            <w:vAlign w:val="center"/>
            <w:textDirection w:val="lrTb"/>
            <w:noWrap w:val="false"/>
          </w:tcPr>
          <w:p>
            <w:pPr>
              <w:pStyle w:val="940"/>
              <w:jc w:val="center"/>
            </w:pPr>
            <w:r>
              <w:t xml:space="preserve">201</w:t>
            </w:r>
            <w:r/>
          </w:p>
        </w:tc>
        <w:tc>
          <w:tcPr>
            <w:tcBorders>
              <w:top w:val="single" w:color="000000" w:sz="4" w:space="0"/>
              <w:left w:val="single" w:color="000000" w:sz="4" w:space="0"/>
              <w:bottom w:val="single" w:color="000000" w:sz="4" w:space="0"/>
              <w:right w:val="single" w:color="000000" w:sz="4" w:space="0"/>
            </w:tcBorders>
            <w:tcW w:w="1591" w:type="dxa"/>
            <w:vAlign w:val="center"/>
            <w:textDirection w:val="lrTb"/>
            <w:noWrap w:val="false"/>
          </w:tcPr>
          <w:p>
            <w:pPr>
              <w:pStyle w:val="940"/>
              <w:jc w:val="center"/>
            </w:pPr>
            <w:r>
              <w:t xml:space="preserve">20,7</w:t>
            </w:r>
            <w:r/>
          </w:p>
        </w:tc>
      </w:tr>
      <w:tr>
        <w:trPr/>
        <w:tc>
          <w:tcPr>
            <w:tcBorders>
              <w:top w:val="single" w:color="000000" w:sz="4" w:space="0"/>
              <w:left w:val="single" w:color="000000" w:sz="4" w:space="0"/>
              <w:bottom w:val="single" w:color="000000" w:sz="4" w:space="0"/>
            </w:tcBorders>
            <w:tcW w:w="1276"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989" w:type="dxa"/>
            <w:vAlign w:val="center"/>
            <w:textDirection w:val="lrTb"/>
            <w:noWrap w:val="false"/>
          </w:tcPr>
          <w:p>
            <w:pPr>
              <w:pStyle w:val="940"/>
              <w:jc w:val="center"/>
              <w:spacing w:before="0" w:after="160" w:line="254" w:lineRule="auto"/>
              <w:rPr>
                <w:lang w:eastAsia="en-US"/>
              </w:rPr>
            </w:pPr>
            <w:r>
              <w:rPr>
                <w:lang w:eastAsia="en-US"/>
              </w:rPr>
              <w:t xml:space="preserve">886</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spacing w:before="0" w:after="160" w:line="254" w:lineRule="auto"/>
              <w:rPr>
                <w:lang w:eastAsia="en-US"/>
              </w:rPr>
            </w:pPr>
            <w:r>
              <w:rPr>
                <w:lang w:eastAsia="en-US"/>
              </w:rPr>
              <w:t xml:space="preserve">78,5</w:t>
            </w:r>
            <w:r/>
          </w:p>
        </w:tc>
        <w:tc>
          <w:tcPr>
            <w:tcBorders>
              <w:top w:val="single" w:color="000000" w:sz="4" w:space="0"/>
              <w:left w:val="single" w:color="000000" w:sz="4" w:space="0"/>
              <w:bottom w:val="single" w:color="000000" w:sz="4" w:space="0"/>
            </w:tcBorders>
            <w:tcW w:w="1276" w:type="dxa"/>
            <w:vAlign w:val="center"/>
            <w:textDirection w:val="lrTb"/>
            <w:noWrap w:val="false"/>
          </w:tcPr>
          <w:p>
            <w:pPr>
              <w:pStyle w:val="940"/>
              <w:jc w:val="center"/>
            </w:pPr>
            <w:r>
              <w:t xml:space="preserve">764</w:t>
            </w:r>
            <w:r/>
          </w:p>
        </w:tc>
        <w:tc>
          <w:tcPr>
            <w:tcBorders>
              <w:top w:val="single" w:color="000000" w:sz="4" w:space="0"/>
              <w:left w:val="single" w:color="000000" w:sz="4" w:space="0"/>
              <w:bottom w:val="single" w:color="000000" w:sz="4" w:space="0"/>
            </w:tcBorders>
            <w:tcW w:w="1556" w:type="dxa"/>
            <w:vAlign w:val="center"/>
            <w:textDirection w:val="lrTb"/>
            <w:noWrap w:val="false"/>
          </w:tcPr>
          <w:p>
            <w:pPr>
              <w:pStyle w:val="940"/>
              <w:jc w:val="center"/>
            </w:pPr>
            <w:r>
              <w:t xml:space="preserve">76,1</w:t>
            </w:r>
            <w:r/>
          </w:p>
        </w:tc>
        <w:tc>
          <w:tcPr>
            <w:tcBorders>
              <w:top w:val="single" w:color="000000" w:sz="4" w:space="0"/>
              <w:left w:val="single" w:color="000000" w:sz="4" w:space="0"/>
              <w:bottom w:val="single" w:color="000000" w:sz="4" w:space="0"/>
            </w:tcBorders>
            <w:tcW w:w="1130" w:type="dxa"/>
            <w:vAlign w:val="center"/>
            <w:textDirection w:val="lrTb"/>
            <w:noWrap w:val="false"/>
          </w:tcPr>
          <w:p>
            <w:pPr>
              <w:pStyle w:val="940"/>
              <w:jc w:val="center"/>
            </w:pPr>
            <w:r>
              <w:t xml:space="preserve">771</w:t>
            </w:r>
            <w:r/>
          </w:p>
        </w:tc>
        <w:tc>
          <w:tcPr>
            <w:tcBorders>
              <w:top w:val="single" w:color="000000" w:sz="4" w:space="0"/>
              <w:left w:val="single" w:color="000000" w:sz="4" w:space="0"/>
              <w:bottom w:val="single" w:color="000000" w:sz="4" w:space="0"/>
              <w:right w:val="single" w:color="000000" w:sz="4" w:space="0"/>
            </w:tcBorders>
            <w:tcW w:w="1591" w:type="dxa"/>
            <w:vAlign w:val="center"/>
            <w:textDirection w:val="lrTb"/>
            <w:noWrap w:val="false"/>
          </w:tcPr>
          <w:p>
            <w:pPr>
              <w:pStyle w:val="940"/>
              <w:jc w:val="center"/>
            </w:pPr>
            <w:r>
              <w:t xml:space="preserve">79,3</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101"/>
        <w:gridCol w:w="2558"/>
      </w:tblGrid>
      <w:tr>
        <w:trPr>
          <w:trHeight w:val="272"/>
        </w:trPr>
        <w:tc>
          <w:tcPr>
            <w:tcBorders>
              <w:top w:val="single" w:color="000000" w:sz="4" w:space="0"/>
              <w:left w:val="single" w:color="000000" w:sz="4" w:space="0"/>
              <w:bottom w:val="single" w:color="000000" w:sz="4" w:space="0"/>
            </w:tcBorders>
            <w:tcW w:w="7101"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972</w:t>
            </w:r>
            <w:r/>
          </w:p>
        </w:tc>
      </w:tr>
      <w:tr>
        <w:trPr>
          <w:trHeight w:val="545"/>
        </w:trPr>
        <w:tc>
          <w:tcPr>
            <w:tcBorders>
              <w:top w:val="single" w:color="000000" w:sz="4" w:space="0"/>
              <w:left w:val="single" w:color="000000" w:sz="4" w:space="0"/>
              <w:bottom w:val="single" w:color="000000" w:sz="4" w:space="0"/>
            </w:tcBorders>
            <w:tcW w:w="7101"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5"/>
              <w:t xml:space="preserve">*</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924</w:t>
            </w:r>
            <w:r/>
          </w:p>
        </w:tc>
      </w:tr>
      <w:tr>
        <w:trPr>
          <w:trHeight w:val="298"/>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w:t>
            </w:r>
            <w:r/>
          </w:p>
        </w:tc>
      </w:tr>
      <w:tr>
        <w:trPr>
          <w:trHeight w:val="285"/>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32</w:t>
            </w:r>
            <w:r/>
          </w:p>
        </w:tc>
      </w:tr>
      <w:tr>
        <w:trPr>
          <w:trHeight w:val="285"/>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1</w:t>
            </w:r>
            <w:r/>
          </w:p>
        </w:tc>
      </w:tr>
      <w:tr>
        <w:trPr>
          <w:trHeight w:val="298"/>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11</w:t>
            </w:r>
            <w:r/>
          </w:p>
        </w:tc>
      </w:tr>
      <w:tr>
        <w:trPr>
          <w:trHeight w:val="285"/>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1</w:t>
            </w:r>
            <w:r/>
          </w:p>
        </w:tc>
      </w:tr>
      <w:tr>
        <w:trPr>
          <w:trHeight w:val="298"/>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3</w:t>
            </w:r>
            <w:r/>
          </w:p>
        </w:tc>
      </w:tr>
      <w:tr>
        <w:trPr>
          <w:trHeight w:val="285"/>
        </w:trPr>
        <w:tc>
          <w:tcPr>
            <w:tcBorders>
              <w:top w:val="single" w:color="000000" w:sz="4" w:space="0"/>
              <w:left w:val="single" w:color="000000" w:sz="4" w:space="0"/>
              <w:bottom w:val="single" w:color="000000" w:sz="4" w:space="0"/>
            </w:tcBorders>
            <w:tcW w:w="710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558" w:type="dxa"/>
            <w:textDirection w:val="lrTb"/>
            <w:noWrap w:val="false"/>
          </w:tcPr>
          <w:p>
            <w:pPr>
              <w:pStyle w:val="940"/>
              <w:contextualSpacing/>
              <w:jc w:val="both"/>
              <w:spacing w:before="0" w:after="0"/>
            </w:pPr>
            <w:r>
              <w:t xml:space="preserve">1</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133"/>
        <w:gridCol w:w="2526"/>
      </w:tblGrid>
      <w:tr>
        <w:trPr>
          <w:trHeight w:val="261"/>
        </w:trPr>
        <w:tc>
          <w:tcPr>
            <w:tcBorders>
              <w:top w:val="single" w:color="000000" w:sz="4" w:space="0"/>
              <w:left w:val="single" w:color="000000" w:sz="4" w:space="0"/>
              <w:bottom w:val="single" w:color="000000" w:sz="4" w:space="0"/>
            </w:tcBorders>
            <w:tcW w:w="7133"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526" w:type="dxa"/>
            <w:textDirection w:val="lrTb"/>
            <w:noWrap w:val="false"/>
          </w:tcPr>
          <w:p>
            <w:pPr>
              <w:pStyle w:val="940"/>
              <w:contextualSpacing/>
              <w:jc w:val="both"/>
              <w:spacing w:before="0" w:after="0"/>
            </w:pPr>
            <w:r>
              <w:t xml:space="preserve">924</w:t>
            </w:r>
            <w:r/>
          </w:p>
        </w:tc>
      </w:tr>
      <w:tr>
        <w:trPr>
          <w:trHeight w:val="549"/>
        </w:trPr>
        <w:tc>
          <w:tcPr>
            <w:tcBorders>
              <w:top w:val="single" w:color="000000" w:sz="4" w:space="0"/>
              <w:left w:val="single" w:color="000000" w:sz="4" w:space="0"/>
              <w:bottom w:val="single" w:color="000000" w:sz="4" w:space="0"/>
            </w:tcBorders>
            <w:tcW w:w="7133"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526" w:type="dxa"/>
            <w:textDirection w:val="lrTb"/>
            <w:noWrap w:val="false"/>
          </w:tcPr>
          <w:p>
            <w:pPr>
              <w:pStyle w:val="940"/>
              <w:contextualSpacing/>
              <w:jc w:val="both"/>
              <w:spacing w:before="0" w:after="0"/>
            </w:pPr>
            <w:r>
              <w:t xml:space="preserve">164</w:t>
            </w:r>
            <w:r/>
          </w:p>
        </w:tc>
      </w:tr>
      <w:tr>
        <w:trPr>
          <w:trHeight w:val="274"/>
        </w:trPr>
        <w:tc>
          <w:tcPr>
            <w:tcBorders>
              <w:top w:val="single" w:color="000000" w:sz="4" w:space="0"/>
              <w:left w:val="single" w:color="000000" w:sz="4" w:space="0"/>
              <w:bottom w:val="single" w:color="000000" w:sz="4" w:space="0"/>
            </w:tcBorders>
            <w:tcW w:w="713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526" w:type="dxa"/>
            <w:textDirection w:val="lrTb"/>
            <w:noWrap w:val="false"/>
          </w:tcPr>
          <w:p>
            <w:pPr>
              <w:pStyle w:val="940"/>
              <w:contextualSpacing/>
              <w:jc w:val="both"/>
              <w:spacing w:before="0" w:after="0"/>
            </w:pPr>
            <w:r>
              <w:t xml:space="preserve">674</w:t>
            </w:r>
            <w:r/>
          </w:p>
        </w:tc>
      </w:tr>
      <w:tr>
        <w:trPr>
          <w:trHeight w:val="274"/>
        </w:trPr>
        <w:tc>
          <w:tcPr>
            <w:tcBorders>
              <w:top w:val="single" w:color="000000" w:sz="4" w:space="0"/>
              <w:left w:val="single" w:color="000000" w:sz="4" w:space="0"/>
              <w:bottom w:val="single" w:color="000000" w:sz="4" w:space="0"/>
            </w:tcBorders>
            <w:tcW w:w="713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526" w:type="dxa"/>
            <w:textDirection w:val="lrTb"/>
            <w:noWrap w:val="false"/>
          </w:tcPr>
          <w:p>
            <w:pPr>
              <w:pStyle w:val="940"/>
              <w:contextualSpacing/>
              <w:jc w:val="both"/>
              <w:spacing w:before="0" w:after="0"/>
            </w:pPr>
            <w:r>
              <w:t xml:space="preserve">-</w:t>
            </w:r>
            <w:r/>
          </w:p>
        </w:tc>
      </w:tr>
      <w:tr>
        <w:trPr>
          <w:trHeight w:val="549"/>
        </w:trPr>
        <w:tc>
          <w:tcPr>
            <w:tcBorders>
              <w:top w:val="single" w:color="000000" w:sz="4" w:space="0"/>
              <w:left w:val="single" w:color="000000" w:sz="4" w:space="0"/>
              <w:bottom w:val="single" w:color="000000" w:sz="4" w:space="0"/>
            </w:tcBorders>
            <w:tcW w:w="713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526" w:type="dxa"/>
            <w:textDirection w:val="lrTb"/>
            <w:noWrap w:val="false"/>
          </w:tcPr>
          <w:p>
            <w:pPr>
              <w:pStyle w:val="940"/>
              <w:contextualSpacing/>
              <w:jc w:val="both"/>
              <w:spacing w:before="0" w:after="0"/>
            </w:pPr>
            <w:r>
              <w:t xml:space="preserve">86</w:t>
            </w:r>
            <w:r/>
          </w:p>
        </w:tc>
      </w:tr>
    </w:tbl>
    <w:p>
      <w:pPr>
        <w:pStyle w:val="940"/>
      </w:pPr>
      <w:r/>
      <w:r/>
    </w:p>
    <w:p>
      <w:pPr>
        <w:pStyle w:val="943"/>
        <w:spacing w:before="0" w:after="0"/>
        <w:tabs>
          <w:tab w:val="left" w:pos="142" w:leader="none"/>
          <w:tab w:val="clear" w:pos="708" w:leader="none"/>
        </w:tabs>
      </w:pPr>
      <w:r>
        <w:rPr>
          <w:rFonts w:ascii="Times New Roman" w:hAnsi="Times New Roman" w:cs="Times New Roman"/>
          <w:lang w:val="ru-RU"/>
        </w:rPr>
        <w:t xml:space="preserve">1.5. К</w:t>
      </w:r>
      <w:r>
        <w:rPr>
          <w:rFonts w:ascii="Times New Roman" w:hAnsi="Times New Roman" w:cs="Times New Roman"/>
        </w:rPr>
        <w:t xml:space="preserve">оличество участников ЕГЭ по предмету по АТЕ региона</w:t>
      </w:r>
      <w:r/>
    </w:p>
    <w:p>
      <w:pPr>
        <w:pStyle w:val="1409"/>
        <w:keepNext/>
        <w:rPr>
          <w:rFonts w:eastAsia="Times New Roman"/>
          <w:color w:val="000000"/>
        </w:rPr>
      </w:pPr>
      <w:r>
        <w:t xml:space="preserve">Таблица 2</w:t>
        <w:noBreakHyphen/>
        <w:t xml:space="preserve">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544"/>
        <w:gridCol w:w="3119"/>
        <w:gridCol w:w="2996"/>
      </w:tblGrid>
      <w:tr>
        <w:trPr>
          <w:trHeight w:val="934"/>
        </w:trPr>
        <w:tc>
          <w:tcPr>
            <w:shd w:val="clear" w:color="auto" w:fill="ffffff"/>
            <w:tcBorders>
              <w:top w:val="single" w:color="000000" w:sz="4" w:space="0"/>
              <w:left w:val="single" w:color="000000" w:sz="4" w:space="0"/>
              <w:bottom w:val="single" w:color="000000" w:sz="4" w:space="0"/>
            </w:tcBorders>
            <w:tcW w:w="3544"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физике</w:t>
            </w:r>
            <w:r/>
          </w:p>
        </w:tc>
        <w:tc>
          <w:tcPr>
            <w:shd w:val="clear" w:color="auto" w:fill="ffffff"/>
            <w:tcBorders>
              <w:top w:val="single" w:color="000000" w:sz="4" w:space="0"/>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422</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43,4</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212</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21,8</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68</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7,0</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29</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3,0</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0,5</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2,2</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20</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230"/>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30</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r>
      <w:tr>
        <w:trPr>
          <w:trHeight w:val="338"/>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49</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5,0</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32</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3,3</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119"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0,1</w:t>
            </w:r>
            <w:r/>
          </w:p>
        </w:tc>
      </w:tr>
      <w:tr>
        <w:trPr>
          <w:trHeight w:val="311"/>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119"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3</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0,3</w:t>
            </w:r>
            <w:r/>
          </w:p>
        </w:tc>
      </w:tr>
      <w:tr>
        <w:trPr>
          <w:trHeight w:val="622"/>
        </w:trPr>
        <w:tc>
          <w:tcPr>
            <w:shd w:val="clear" w:color="auto" w:fill="ffffff"/>
            <w:tcBorders>
              <w:left w:val="single" w:color="000000" w:sz="4" w:space="0"/>
              <w:bottom w:val="single" w:color="000000" w:sz="4" w:space="0"/>
            </w:tcBorders>
            <w:tcW w:w="3544"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119"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1</w:t>
            </w:r>
            <w:r/>
          </w:p>
        </w:tc>
        <w:tc>
          <w:tcPr>
            <w:shd w:val="clear" w:color="auto" w:fill="ffffff"/>
            <w:tcBorders>
              <w:left w:val="single" w:color="000000" w:sz="4" w:space="0"/>
              <w:bottom w:val="single" w:color="000000" w:sz="4" w:space="0"/>
              <w:right w:val="single" w:color="000000" w:sz="4" w:space="0"/>
            </w:tcBorders>
            <w:tcW w:w="2996" w:type="dxa"/>
            <w:vAlign w:val="center"/>
            <w:textDirection w:val="lrTb"/>
            <w:noWrap w:val="false"/>
          </w:tcPr>
          <w:p>
            <w:pPr>
              <w:pStyle w:val="940"/>
              <w:jc w:val="center"/>
              <w:rPr>
                <w:rFonts w:eastAsia="Times New Roman"/>
                <w:color w:val="000000"/>
              </w:rPr>
            </w:pPr>
            <w:r>
              <w:rPr>
                <w:rFonts w:eastAsia="Times New Roman"/>
                <w:color w:val="000000"/>
              </w:rPr>
              <w:t xml:space="preserve">0,1</w:t>
            </w:r>
            <w:r/>
          </w:p>
        </w:tc>
      </w:tr>
    </w:tbl>
    <w:p>
      <w:pPr>
        <w:pStyle w:val="940"/>
        <w:jc w:val="both"/>
        <w:rPr>
          <w:rFonts w:eastAsia="Times New Roman"/>
          <w:b/>
        </w:rPr>
      </w:pPr>
      <w:r>
        <w:rPr>
          <w:rFonts w:eastAsia="Times New Roman"/>
          <w:b/>
        </w:rPr>
      </w:r>
      <w:r/>
    </w:p>
    <w:p>
      <w:pPr>
        <w:pStyle w:val="943"/>
        <w:numPr>
          <w:ilvl w:val="0"/>
          <w:numId w:val="0"/>
        </w:numPr>
        <w:ind w:left="0" w:firstLine="0"/>
        <w:jc w:val="both"/>
        <w:rPr>
          <w:rFonts w:eastAsia="Times New Roman"/>
          <w:b w:val="0"/>
          <w:lang w:val="ru-RU"/>
        </w:rPr>
      </w:pPr>
      <w:r>
        <w:rPr>
          <w:rFonts w:eastAsia="Times New Roman"/>
          <w:b w:val="0"/>
          <w:lang w:val="ru-RU"/>
        </w:rPr>
      </w:r>
      <w:r/>
    </w:p>
    <w:p>
      <w:pPr>
        <w:pStyle w:val="940"/>
        <w:rPr>
          <w:lang w:val="ru-RU"/>
        </w:rPr>
      </w:pPr>
      <w:r>
        <w:rPr>
          <w:lang w:val="ru-RU"/>
        </w:rPr>
      </w:r>
      <w:r/>
    </w:p>
    <w:p>
      <w:pPr>
        <w:pStyle w:val="943"/>
        <w:jc w:val="both"/>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1409"/>
        <w:keepNext/>
        <w:rPr>
          <w:sz w:val="24"/>
          <w:szCs w:val="24"/>
        </w:rPr>
      </w:pPr>
      <w:r>
        <w:rPr>
          <w:sz w:val="24"/>
          <w:szCs w:val="24"/>
        </w:rPr>
        <w:t xml:space="preserve">Таблица 2</w:t>
        <w:noBreakHyphen/>
        <w:t xml:space="preserve">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09"/>
        <w:gridCol w:w="5217"/>
        <w:gridCol w:w="3733"/>
      </w:tblGrid>
      <w:tr>
        <w:trPr>
          <w:cantSplit/>
          <w:trHeight w:val="751"/>
          <w:tblHeader/>
        </w:trPr>
        <w:tc>
          <w:tcPr>
            <w:tcBorders>
              <w:top w:val="single" w:color="000000" w:sz="4" w:space="0"/>
              <w:left w:val="single" w:color="000000" w:sz="4" w:space="0"/>
              <w:bottom w:val="single" w:color="000000" w:sz="4" w:space="0"/>
            </w:tcBorders>
            <w:tcW w:w="709"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521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733"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процент ОО, в которых использовался данный УМК / другие пособия</w:t>
            </w:r>
            <w:r/>
          </w:p>
        </w:tc>
      </w:tr>
      <w:tr>
        <w:trPr>
          <w:cantSplit/>
          <w:trHeight w:val="620"/>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5217" w:type="dxa"/>
            <w:textDirection w:val="lrTb"/>
            <w:noWrap w:val="false"/>
          </w:tcPr>
          <w:p>
            <w:pPr>
              <w:pStyle w:val="940"/>
            </w:pPr>
            <w:r>
              <w:t xml:space="preserve">Линия УМК Г. Я. Мякишева. Физика (10-11), 2018</w:t>
            </w:r>
            <w:r/>
          </w:p>
        </w:tc>
        <w:tc>
          <w:tcPr>
            <w:tcBorders>
              <w:top w:val="single" w:color="000000" w:sz="4" w:space="0"/>
              <w:left w:val="single" w:color="000000" w:sz="4" w:space="0"/>
              <w:bottom w:val="single" w:color="000000" w:sz="4" w:space="0"/>
              <w:right w:val="single" w:color="000000" w:sz="4" w:space="0"/>
            </w:tcBorders>
            <w:tcW w:w="3733"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r>
      <w:tr>
        <w:trPr>
          <w:cantSplit/>
          <w:trHeight w:val="417"/>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000000" w:sz="4" w:space="0"/>
              <w:left w:val="single" w:color="000000" w:sz="4" w:space="0"/>
              <w:bottom w:val="single" w:color="000000" w:sz="4" w:space="0"/>
            </w:tcBorders>
            <w:tcW w:w="5217" w:type="dxa"/>
            <w:textDirection w:val="lrTb"/>
            <w:noWrap w:val="false"/>
          </w:tcPr>
          <w:p>
            <w:pPr>
              <w:pStyle w:val="940"/>
            </w:pPr>
            <w:r>
              <w:t xml:space="preserve">УМК «Физика» Л.Э. Генденштейна, (10-11) 2014</w:t>
            </w:r>
            <w:r/>
          </w:p>
        </w:tc>
        <w:tc>
          <w:tcPr>
            <w:tcBorders>
              <w:top w:val="single" w:color="000000" w:sz="4" w:space="0"/>
              <w:left w:val="single" w:color="000000" w:sz="4" w:space="0"/>
              <w:bottom w:val="single" w:color="000000" w:sz="4" w:space="0"/>
              <w:right w:val="single" w:color="000000" w:sz="4" w:space="0"/>
            </w:tcBorders>
            <w:tcW w:w="3733"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r>
      <w:tr>
        <w:trPr>
          <w:cantSplit/>
          <w:trHeight w:val="697"/>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p>
        </w:tc>
        <w:tc>
          <w:tcPr>
            <w:tcBorders>
              <w:top w:val="single" w:color="000000" w:sz="4" w:space="0"/>
              <w:left w:val="single" w:color="000000" w:sz="4" w:space="0"/>
              <w:bottom w:val="single" w:color="000000" w:sz="4" w:space="0"/>
            </w:tcBorders>
            <w:tcW w:w="5217" w:type="dxa"/>
            <w:textDirection w:val="lrTb"/>
            <w:noWrap w:val="false"/>
          </w:tcPr>
          <w:p>
            <w:pPr>
              <w:pStyle w:val="940"/>
            </w:pPr>
            <w:r>
              <w:t xml:space="preserve">Грачёв А.В., Погожев В.А., Салецкий А.М., Боков П.Ю. Физика. 10 класс: базовый уровень, углубленный уровень. Издательский центр ВЕНТАНА-ГРАФ, 2014</w:t>
            </w:r>
            <w:r/>
          </w:p>
        </w:tc>
        <w:tc>
          <w:tcPr>
            <w:tcBorders>
              <w:top w:val="single" w:color="000000" w:sz="4" w:space="0"/>
              <w:left w:val="single" w:color="000000" w:sz="4" w:space="0"/>
              <w:bottom w:val="single" w:color="000000" w:sz="4" w:space="0"/>
              <w:right w:val="single" w:color="000000" w:sz="4" w:space="0"/>
            </w:tcBorders>
            <w:tcW w:w="3733"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r>
      <w:tr>
        <w:trPr>
          <w:cantSplit/>
          <w:trHeight w:val="697"/>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p>
        </w:tc>
        <w:tc>
          <w:tcPr>
            <w:tcBorders>
              <w:top w:val="single" w:color="000000" w:sz="4" w:space="0"/>
              <w:left w:val="single" w:color="000000" w:sz="4" w:space="0"/>
              <w:bottom w:val="single" w:color="000000" w:sz="4" w:space="0"/>
            </w:tcBorders>
            <w:tcW w:w="5217" w:type="dxa"/>
            <w:textDirection w:val="lrTb"/>
            <w:noWrap w:val="false"/>
          </w:tcPr>
          <w:p>
            <w:pPr>
              <w:pStyle w:val="940"/>
            </w:pPr>
            <w:r>
              <w:t xml:space="preserve">Хижнякова Л.С., Синявина А.А. Физика  11, Вентана Граф, 2018, 2019</w:t>
            </w:r>
            <w:r/>
          </w:p>
        </w:tc>
        <w:tc>
          <w:tcPr>
            <w:tcBorders>
              <w:top w:val="single" w:color="000000" w:sz="4" w:space="0"/>
              <w:left w:val="single" w:color="000000" w:sz="4" w:space="0"/>
              <w:bottom w:val="single" w:color="000000" w:sz="4" w:space="0"/>
              <w:right w:val="single" w:color="000000" w:sz="4" w:space="0"/>
            </w:tcBorders>
            <w:tcW w:w="3733"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r>
    </w:tbl>
    <w:p>
      <w:pPr>
        <w:pStyle w:val="940"/>
        <w:ind w:firstLine="708"/>
        <w:jc w:val="both"/>
        <w:rPr>
          <w:rFonts w:eastAsia="Times New Roman"/>
        </w:rPr>
      </w:pPr>
      <w:r>
        <w:rPr>
          <w:rFonts w:eastAsia="Times New Roman"/>
        </w:rPr>
        <w:t xml:space="preserve">Не планируются.</w:t>
      </w:r>
      <w:r/>
    </w:p>
    <w:p>
      <w:pPr>
        <w:pStyle w:val="943"/>
        <w:ind w:left="-142" w:firstLine="0"/>
        <w:jc w:val="both"/>
      </w:pPr>
      <w:r>
        <w:rPr>
          <w:rFonts w:ascii="Times New Roman" w:hAnsi="Times New Roman" w:cs="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ind w:left="-142" w:firstLine="0"/>
        <w:jc w:val="both"/>
      </w:pPr>
      <w:r/>
      <w:r/>
    </w:p>
    <w:p>
      <w:pPr>
        <w:pStyle w:val="940"/>
        <w:ind w:left="-142" w:firstLine="850"/>
        <w:jc w:val="both"/>
      </w:pPr>
      <w:r>
        <w:t xml:space="preserve">На основе прив</w:t>
      </w:r>
      <w:r>
        <w:t xml:space="preserve">еденных в разделе данных отметим, что количество участников ЕГЭ по физике ежегодно уменьшается. Так же, как и меняется соотношение юношей и девушек в пользу юношей. Теперь их почти в 4 раза больше, что обусловлено гендерными особенностями выбора профессии.</w:t>
      </w:r>
      <w:r/>
    </w:p>
    <w:p>
      <w:pPr>
        <w:pStyle w:val="940"/>
        <w:ind w:left="-142" w:firstLine="850"/>
        <w:jc w:val="both"/>
      </w:pPr>
      <w:r>
        <w:t xml:space="preserve">Наиболь</w:t>
      </w:r>
      <w:r>
        <w:t xml:space="preserve">ший процент сдававших физику приходится на выпускников текущего года, преимущественно выпускников средних общеобразовательных организаций, лицеев и гимназий. Заметно снизилось количество сдающих среди лиц с ограниченными возможностями здоровья (с 8 до 1). </w:t>
      </w:r>
      <w:r/>
    </w:p>
    <w:p>
      <w:pPr>
        <w:pStyle w:val="940"/>
        <w:ind w:left="-142" w:firstLine="850"/>
        <w:jc w:val="both"/>
      </w:pPr>
      <w:r>
        <w:t xml:space="preserve">ЕГЭ по физике сдавали во всех районах Астраханской области. Изменения в доле участников по сравнению с 2020 годом коснулись Ахтубинского района и ЗА</w:t>
      </w:r>
      <w:r>
        <w:t xml:space="preserve">ТО Знаменск. Как и в случае с математикой профильной по Ахтубинскому району причина заключается не в увеличении количества участников в 2021 году, а в уменьшении количества сдающих в 2020 в связи с возможностью сдавать ЕГЭ по месту фактического пребывания </w:t>
      </w:r>
      <w:r>
        <w:t xml:space="preserve">участника. Уменьшение количества участников в ЗАТО Знаменск связано с демографической ситуацией, в этому году в данном районе количество выпускников уменьшилось на 53 человека. Также следует отметить, что более 50% участников приходится на сельские районы.</w:t>
      </w:r>
      <w:r/>
    </w:p>
    <w:p>
      <w:pPr>
        <w:pStyle w:val="940"/>
        <w:ind w:left="-142" w:firstLine="0"/>
        <w:jc w:val="both"/>
      </w:pPr>
      <w:r/>
      <w:r/>
    </w:p>
    <w:p>
      <w:pPr>
        <w:pStyle w:val="940"/>
        <w:ind w:left="-142" w:firstLine="0"/>
        <w:jc w:val="both"/>
      </w:pPr>
      <w:r/>
      <w:r/>
    </w:p>
    <w:p>
      <w:pPr>
        <w:pStyle w:val="940"/>
        <w:ind w:left="-142" w:firstLine="0"/>
        <w:jc w:val="both"/>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0"/>
        <w:jc w:val="both"/>
        <w:spacing w:line="360" w:lineRule="auto"/>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«Физика»</w:t>
      </w:r>
      <w:r/>
    </w:p>
    <w:p>
      <w:pPr>
        <w:pStyle w:val="1400"/>
        <w:numPr>
          <w:ilvl w:val="0"/>
          <w:numId w:val="64"/>
        </w:numPr>
        <w:contextualSpacing/>
        <w:ind w:left="567" w:right="0" w:firstLine="0"/>
        <w:keepLines/>
        <w:keepNext/>
        <w:spacing w:before="200" w:after="0" w:line="240" w:lineRule="auto"/>
        <w:rPr>
          <w:rFonts w:ascii="Times New Roman" w:hAnsi="Times New Roman" w:cs="Times New Roman" w:eastAsia="SimSun;宋体"/>
          <w:b/>
          <w:vanish/>
          <w:sz w:val="28"/>
          <w:szCs w:val="24"/>
          <w:lang w:eastAsia="ru-RU"/>
        </w:rPr>
      </w:pPr>
      <w:r>
        <w:rPr>
          <w:rFonts w:ascii="Times New Roman" w:hAnsi="Times New Roman" w:cs="Times New Roman" w:eastAsia="SimSun;宋体"/>
          <w:b/>
          <w:vanish/>
          <w:sz w:val="28"/>
          <w:szCs w:val="24"/>
          <w:lang w:eastAsia="ru-RU"/>
        </w:rPr>
      </w:r>
      <w:r/>
    </w:p>
    <w:p>
      <w:pPr>
        <w:pStyle w:val="943"/>
        <w:jc w:val="both"/>
        <w:tabs>
          <w:tab w:val="left" w:pos="142" w:leader="none"/>
          <w:tab w:val="clear" w:pos="708" w:leader="none"/>
        </w:tabs>
      </w:pPr>
      <w:r>
        <w:rPr>
          <w:rFonts w:ascii="Times New Roman" w:hAnsi="Times New Roman" w:cs="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w:t>
      </w:r>
      <w:r>
        <w:rPr>
          <w:rFonts w:ascii="Times New Roman" w:hAnsi="Times New Roman" w:cs="Times New Roman"/>
          <w:lang w:val="ru-RU"/>
        </w:rPr>
        <w:t xml:space="preserve"> </w:t>
      </w:r>
      <w:r>
        <w:rPr>
          <w:rFonts w:ascii="Times New Roman" w:hAnsi="Times New Roman" w:cs="Times New Roman"/>
        </w:rPr>
        <w:t xml:space="preserve">в</w:t>
      </w:r>
      <w:r>
        <w:rPr>
          <w:rFonts w:ascii="Times New Roman" w:hAnsi="Times New Roman" w:cs="Times New Roman"/>
          <w:lang w:val="ru-RU"/>
        </w:rPr>
        <w:t xml:space="preserve"> </w:t>
      </w:r>
      <w:r>
        <w:rPr>
          <w:rFonts w:ascii="Times New Roman" w:hAnsi="Times New Roman" w:cs="Times New Roman"/>
        </w:rPr>
        <w:t xml:space="preserve">2021</w:t>
      </w:r>
      <w:r>
        <w:rPr>
          <w:rFonts w:ascii="Times New Roman" w:hAnsi="Times New Roman" w:cs="Times New Roman"/>
          <w:lang w:val="ru-RU"/>
        </w:rPr>
        <w:t xml:space="preserve"> </w:t>
      </w:r>
      <w:r>
        <w:rPr>
          <w:rFonts w:ascii="Times New Roman" w:hAnsi="Times New Roman" w:cs="Times New Roman"/>
        </w:rPr>
        <w:t xml:space="preserve">г.</w:t>
      </w:r>
      <w:r>
        <w:rPr>
          <w:lang w:val="ru-RU"/>
        </w:rPr>
        <w:t xml:space="preserve"> </w:t>
      </w:r>
      <w:r/>
    </w:p>
    <w:p>
      <w:pPr>
        <w:pStyle w:val="943"/>
        <w:jc w:val="both"/>
        <w:tabs>
          <w:tab w:val="left" w:pos="142" w:leader="none"/>
          <w:tab w:val="clear" w:pos="708" w:leader="none"/>
        </w:tabs>
        <w:rPr>
          <w:rFonts w:ascii="Times New Roman" w:hAnsi="Times New Roman" w:cs="Times New Roman"/>
          <w:b w:val="0"/>
          <w:i/>
          <w:sz w:val="24"/>
        </w:rPr>
      </w:pPr>
      <w:r>
        <w:rPr>
          <w:rFonts w:ascii="Times New Roman" w:hAnsi="Times New Roman" w:cs="Times New Roman"/>
          <w:b w:val="0"/>
          <w:i/>
          <w:sz w:val="24"/>
        </w:rPr>
        <w:t xml:space="preserve">(количество участников, получивших тот или иной тестовый балл)</w:t>
      </w:r>
      <w:r/>
    </w:p>
    <w:p>
      <w:pPr>
        <w:pStyle w:val="940"/>
        <w:rPr>
          <w:b/>
          <w:i/>
          <w:lang w:val="en-US" w:eastAsia="en-US"/>
        </w:rPr>
      </w:pPr>
      <w:r>
        <w:rPr>
          <w:b/>
          <w:i/>
          <w:lang w:val="en-US" w:eastAsia="en-US"/>
        </w:rPr>
        <mc:AlternateContent>
          <mc:Choice Requires="wpg">
            <w:drawing>
              <wp:anchor xmlns:wp="http://schemas.openxmlformats.org/drawingml/2006/wordprocessingDrawing" distT="0" distB="0" distL="114935" distR="114935" simplePos="0" relativeHeight="22" behindDoc="1" locked="0" layoutInCell="0" allowOverlap="1">
                <wp:simplePos x="0" y="0"/>
                <wp:positionH relativeFrom="column">
                  <wp:posOffset>50800</wp:posOffset>
                </wp:positionH>
                <wp:positionV relativeFrom="paragraph">
                  <wp:posOffset>127635</wp:posOffset>
                </wp:positionV>
                <wp:extent cx="6071870" cy="2310765"/>
                <wp:effectExtent l="0" t="0" r="0" b="0"/>
                <wp:wrapTight wrapText="bothSides">
                  <wp:wrapPolygon edited="1">
                    <wp:start x="-28" y="-1840"/>
                    <wp:lineTo x="-28" y="21595"/>
                    <wp:lineTo x="21629" y="21595"/>
                    <wp:lineTo x="21629" y="-1840"/>
                    <wp:lineTo x="-28" y="-1840"/>
                  </wp:wrapPolygon>
                </wp:wrapTight>
                <wp:docPr id="4" name="Image3"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hidden="0"/>
                        <pic:cNvPicPr>
                          <a:picLocks noChangeAspect="1"/>
                        </pic:cNvPicPr>
                        <pic:nvPr isPhoto="0" userDrawn="0"/>
                      </pic:nvPicPr>
                      <pic:blipFill>
                        <a:blip r:embed="rId18"/>
                        <a:srcRect l="0" t="7496" r="0" b="0"/>
                        <a:stretch/>
                      </pic:blipFill>
                      <pic:spPr bwMode="auto">
                        <a:xfrm>
                          <a:off x="0" y="0"/>
                          <a:ext cx="6071870" cy="2310765"/>
                        </a:xfrm>
                        <a:prstGeom prst="rect">
                          <a:avLst/>
                        </a:prstGeom>
                        <a:ln w="9525">
                          <a:solidFill>
                            <a:srgbClr val="000000"/>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2;o:allowoverlap:true;o:allowincell:false;mso-position-horizontal-relative:text;margin-left:4.0pt;mso-position-horizontal:absolute;mso-position-vertical-relative:text;margin-top:10.0pt;mso-position-vertical:absolute;width:478.1pt;height:181.9pt;" wrapcoords="-129 -8518 -129 99977 100134 99977 100134 -8518 -129 -8518" strokecolor="#000000" strokeweight="0.75pt">
                <v:path textboxrect="0,0,0,0"/>
                <v:imagedata r:id="rId18" o:title=""/>
              </v:shape>
            </w:pict>
          </mc:Fallback>
        </mc:AlternateContent>
      </w:r>
      <w:r/>
    </w:p>
    <w:p>
      <w:pPr>
        <w:pStyle w:val="940"/>
        <w:jc w:val="center"/>
        <w:rPr>
          <w:b/>
          <w:i/>
          <w:lang w:val="en-US" w:eastAsia="en-US"/>
        </w:rPr>
      </w:pPr>
      <w:r>
        <w:rPr>
          <w:b/>
          <w:i/>
          <w:lang w:val="en-US" w:eastAsia="en-US"/>
        </w:rPr>
      </w:r>
      <w:r/>
    </w:p>
    <w:p>
      <w:pPr>
        <w:pStyle w:val="943"/>
        <w:tabs>
          <w:tab w:val="left" w:pos="142" w:leader="none"/>
          <w:tab w:val="clear" w:pos="708" w:leader="none"/>
        </w:tabs>
      </w:pPr>
      <w:r>
        <w:rPr>
          <w:rFonts w:ascii="Times New Roman" w:hAnsi="Times New Roman" w:cs="Times New Roman"/>
          <w:lang w:val="ru-RU"/>
        </w:rPr>
        <w:t xml:space="preserve">2.2. </w:t>
      </w:r>
      <w:r>
        <w:rPr>
          <w:rFonts w:ascii="Times New Roman" w:hAnsi="Times New Roman" w:cs="Times New Roman"/>
        </w:rPr>
        <w:t xml:space="preserve">Динамика результатов ЕГЭ по предмету за последние 3 года</w:t>
      </w:r>
      <w:r/>
    </w:p>
    <w:p>
      <w:pPr>
        <w:pStyle w:val="1409"/>
        <w:keepNext/>
        <w:rPr>
          <w:rFonts w:eastAsia="MS Mincho;ＭＳ 明朝"/>
        </w:rPr>
      </w:pPr>
      <w:r>
        <w:t xml:space="preserve">Таблица 2</w:t>
        <w:noBreakHyphen/>
        <w:t xml:space="preserve">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672"/>
        <w:gridCol w:w="1544"/>
        <w:gridCol w:w="1685"/>
        <w:gridCol w:w="1758"/>
      </w:tblGrid>
      <w:tr>
        <w:trPr>
          <w:cantSplit/>
          <w:trHeight w:val="325"/>
          <w:tblHeader/>
        </w:trPr>
        <w:tc>
          <w:tcPr>
            <w:tcBorders>
              <w:top w:val="single" w:color="000000" w:sz="4" w:space="0"/>
              <w:left w:val="single" w:color="000000" w:sz="4" w:space="0"/>
              <w:bottom w:val="single" w:color="000000" w:sz="4" w:space="0"/>
            </w:tcBorders>
            <w:tcW w:w="4672"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987"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49"/>
          <w:tblHeader/>
        </w:trPr>
        <w:tc>
          <w:tcPr>
            <w:tcBorders>
              <w:top w:val="single" w:color="000000" w:sz="4" w:space="0"/>
              <w:left w:val="single" w:color="000000" w:sz="4" w:space="0"/>
              <w:bottom w:val="single" w:color="000000" w:sz="4" w:space="0"/>
            </w:tcBorders>
            <w:tcW w:w="4672"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44"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685"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758"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35"/>
        </w:trPr>
        <w:tc>
          <w:tcPr>
            <w:tcBorders>
              <w:top w:val="single" w:color="000000" w:sz="4" w:space="0"/>
              <w:left w:val="single" w:color="000000" w:sz="4" w:space="0"/>
              <w:bottom w:val="single" w:color="000000" w:sz="4" w:space="0"/>
            </w:tcBorders>
            <w:tcW w:w="4672"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44" w:type="dxa"/>
            <w:vAlign w:val="center"/>
            <w:textDirection w:val="lrTb"/>
            <w:noWrap w:val="false"/>
          </w:tcPr>
          <w:p>
            <w:pPr>
              <w:pStyle w:val="940"/>
              <w:jc w:val="center"/>
              <w:rPr>
                <w:color w:val="000000"/>
              </w:rPr>
            </w:pPr>
            <w:r>
              <w:rPr>
                <w:color w:val="000000"/>
              </w:rPr>
              <w:t xml:space="preserve">9,0</w:t>
            </w:r>
            <w:r/>
          </w:p>
        </w:tc>
        <w:tc>
          <w:tcPr>
            <w:tcBorders>
              <w:top w:val="single" w:color="000000" w:sz="4" w:space="0"/>
              <w:left w:val="single" w:color="000000" w:sz="4" w:space="0"/>
              <w:bottom w:val="single" w:color="000000" w:sz="4" w:space="0"/>
            </w:tcBorders>
            <w:tcW w:w="1685" w:type="dxa"/>
            <w:vAlign w:val="center"/>
            <w:textDirection w:val="lrTb"/>
            <w:noWrap w:val="false"/>
          </w:tcPr>
          <w:p>
            <w:pPr>
              <w:pStyle w:val="940"/>
              <w:jc w:val="center"/>
              <w:rPr>
                <w:color w:val="000000"/>
              </w:rPr>
            </w:pPr>
            <w:r>
              <w:rPr>
                <w:color w:val="000000"/>
              </w:rPr>
              <w:t xml:space="preserve">10,1</w:t>
            </w:r>
            <w:r/>
          </w:p>
        </w:tc>
        <w:tc>
          <w:tcPr>
            <w:tcBorders>
              <w:top w:val="single" w:color="000000" w:sz="4" w:space="0"/>
              <w:left w:val="single" w:color="000000" w:sz="4" w:space="0"/>
              <w:bottom w:val="single" w:color="000000" w:sz="4" w:space="0"/>
              <w:right w:val="single" w:color="000000" w:sz="4" w:space="0"/>
            </w:tcBorders>
            <w:tcW w:w="1758" w:type="dxa"/>
            <w:textDirection w:val="lrTb"/>
            <w:noWrap w:val="false"/>
          </w:tcPr>
          <w:p>
            <w:pPr>
              <w:pStyle w:val="940"/>
              <w:jc w:val="center"/>
            </w:pPr>
            <w:r>
              <w:t xml:space="preserve">11,4</w:t>
            </w:r>
            <w:r/>
          </w:p>
        </w:tc>
      </w:tr>
      <w:tr>
        <w:trPr>
          <w:cantSplit/>
          <w:trHeight w:val="340"/>
        </w:trPr>
        <w:tc>
          <w:tcPr>
            <w:tcBorders>
              <w:top w:val="single" w:color="000000" w:sz="4" w:space="0"/>
              <w:left w:val="single" w:color="000000" w:sz="4" w:space="0"/>
              <w:bottom w:val="single" w:color="000000" w:sz="4" w:space="0"/>
            </w:tcBorders>
            <w:tcW w:w="4672"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44" w:type="dxa"/>
            <w:vAlign w:val="center"/>
            <w:textDirection w:val="lrTb"/>
            <w:noWrap w:val="false"/>
          </w:tcPr>
          <w:p>
            <w:pPr>
              <w:pStyle w:val="940"/>
              <w:jc w:val="center"/>
              <w:rPr>
                <w:color w:val="000000"/>
              </w:rPr>
            </w:pPr>
            <w:r>
              <w:rPr>
                <w:color w:val="000000"/>
              </w:rPr>
              <w:t xml:space="preserve">50,0</w:t>
            </w:r>
            <w:r/>
          </w:p>
        </w:tc>
        <w:tc>
          <w:tcPr>
            <w:tcBorders>
              <w:left w:val="single" w:color="000000" w:sz="4" w:space="0"/>
              <w:bottom w:val="single" w:color="000000" w:sz="4" w:space="0"/>
            </w:tcBorders>
            <w:tcW w:w="1685" w:type="dxa"/>
            <w:vAlign w:val="center"/>
            <w:textDirection w:val="lrTb"/>
            <w:noWrap w:val="false"/>
          </w:tcPr>
          <w:p>
            <w:pPr>
              <w:pStyle w:val="940"/>
              <w:jc w:val="center"/>
              <w:rPr>
                <w:color w:val="000000"/>
              </w:rPr>
            </w:pPr>
            <w:r>
              <w:rPr>
                <w:color w:val="000000"/>
              </w:rPr>
              <w:t xml:space="preserve">50,2</w:t>
            </w:r>
            <w:r/>
          </w:p>
        </w:tc>
        <w:tc>
          <w:tcPr>
            <w:tcBorders>
              <w:top w:val="single" w:color="000000" w:sz="4" w:space="0"/>
              <w:left w:val="single" w:color="000000" w:sz="4" w:space="0"/>
              <w:bottom w:val="single" w:color="000000" w:sz="4" w:space="0"/>
              <w:right w:val="single" w:color="000000" w:sz="4" w:space="0"/>
            </w:tcBorders>
            <w:tcW w:w="1758" w:type="dxa"/>
            <w:textDirection w:val="lrTb"/>
            <w:noWrap w:val="false"/>
          </w:tcPr>
          <w:p>
            <w:pPr>
              <w:pStyle w:val="940"/>
              <w:jc w:val="center"/>
            </w:pPr>
            <w:r>
              <w:t xml:space="preserve">49,6</w:t>
            </w:r>
            <w:r/>
          </w:p>
        </w:tc>
      </w:tr>
      <w:tr>
        <w:trPr>
          <w:cantSplit/>
          <w:trHeight w:val="325"/>
        </w:trPr>
        <w:tc>
          <w:tcPr>
            <w:tcBorders>
              <w:top w:val="single" w:color="000000" w:sz="4" w:space="0"/>
              <w:left w:val="single" w:color="000000" w:sz="4" w:space="0"/>
              <w:bottom w:val="single" w:color="000000" w:sz="4" w:space="0"/>
            </w:tcBorders>
            <w:tcW w:w="4672"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44" w:type="dxa"/>
            <w:vAlign w:val="center"/>
            <w:textDirection w:val="lrTb"/>
            <w:noWrap w:val="false"/>
          </w:tcPr>
          <w:p>
            <w:pPr>
              <w:pStyle w:val="940"/>
              <w:jc w:val="center"/>
              <w:rPr>
                <w:color w:val="000000"/>
              </w:rPr>
            </w:pPr>
            <w:r>
              <w:rPr>
                <w:color w:val="000000"/>
              </w:rPr>
              <w:t xml:space="preserve">3,3</w:t>
            </w:r>
            <w:r/>
          </w:p>
        </w:tc>
        <w:tc>
          <w:tcPr>
            <w:tcBorders>
              <w:left w:val="single" w:color="000000" w:sz="4" w:space="0"/>
              <w:bottom w:val="single" w:color="000000" w:sz="4" w:space="0"/>
            </w:tcBorders>
            <w:tcW w:w="1685" w:type="dxa"/>
            <w:vAlign w:val="center"/>
            <w:textDirection w:val="lrTb"/>
            <w:noWrap w:val="false"/>
          </w:tcPr>
          <w:p>
            <w:pPr>
              <w:pStyle w:val="940"/>
              <w:jc w:val="center"/>
              <w:rPr>
                <w:color w:val="000000"/>
              </w:rPr>
            </w:pPr>
            <w:r>
              <w:rPr>
                <w:color w:val="000000"/>
              </w:rPr>
              <w:t xml:space="preserve">4,1</w:t>
            </w:r>
            <w:r/>
          </w:p>
        </w:tc>
        <w:tc>
          <w:tcPr>
            <w:tcBorders>
              <w:top w:val="single" w:color="000000" w:sz="4" w:space="0"/>
              <w:left w:val="single" w:color="000000" w:sz="4" w:space="0"/>
              <w:bottom w:val="single" w:color="000000" w:sz="4" w:space="0"/>
              <w:right w:val="single" w:color="000000" w:sz="4" w:space="0"/>
            </w:tcBorders>
            <w:tcW w:w="1758" w:type="dxa"/>
            <w:textDirection w:val="lrTb"/>
            <w:noWrap w:val="false"/>
          </w:tcPr>
          <w:p>
            <w:pPr>
              <w:pStyle w:val="940"/>
              <w:jc w:val="center"/>
            </w:pPr>
            <w:r>
              <w:t xml:space="preserve">4,5</w:t>
            </w:r>
            <w:r/>
          </w:p>
        </w:tc>
      </w:tr>
      <w:tr>
        <w:trPr>
          <w:cantSplit/>
          <w:trHeight w:val="325"/>
        </w:trPr>
        <w:tc>
          <w:tcPr>
            <w:tcBorders>
              <w:top w:val="single" w:color="000000" w:sz="4" w:space="0"/>
              <w:left w:val="single" w:color="000000" w:sz="4" w:space="0"/>
              <w:bottom w:val="single" w:color="000000" w:sz="4" w:space="0"/>
            </w:tcBorders>
            <w:tcW w:w="4672"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44" w:type="dxa"/>
            <w:vAlign w:val="center"/>
            <w:textDirection w:val="lrTb"/>
            <w:noWrap w:val="false"/>
          </w:tcPr>
          <w:p>
            <w:pPr>
              <w:pStyle w:val="940"/>
              <w:jc w:val="center"/>
              <w:rPr>
                <w:color w:val="000000"/>
              </w:rPr>
            </w:pPr>
            <w:r>
              <w:rPr>
                <w:color w:val="000000"/>
              </w:rPr>
              <w:t xml:space="preserve">0</w:t>
            </w:r>
            <w:r/>
          </w:p>
        </w:tc>
        <w:tc>
          <w:tcPr>
            <w:tcBorders>
              <w:left w:val="single" w:color="000000" w:sz="4" w:space="0"/>
              <w:bottom w:val="single" w:color="000000" w:sz="4" w:space="0"/>
            </w:tcBorders>
            <w:tcW w:w="1685" w:type="dxa"/>
            <w:vAlign w:val="center"/>
            <w:textDirection w:val="lrTb"/>
            <w:noWrap w:val="false"/>
          </w:tcPr>
          <w:p>
            <w:pPr>
              <w:pStyle w:val="940"/>
              <w:jc w:val="center"/>
              <w:rPr>
                <w:color w:val="000000"/>
              </w:rPr>
            </w:pPr>
            <w:r>
              <w:rPr>
                <w:color w:val="000000"/>
              </w:rPr>
              <w:t xml:space="preserve">1</w:t>
            </w:r>
            <w:r/>
          </w:p>
        </w:tc>
        <w:tc>
          <w:tcPr>
            <w:tcBorders>
              <w:top w:val="single" w:color="000000" w:sz="4" w:space="0"/>
              <w:left w:val="single" w:color="000000" w:sz="4" w:space="0"/>
              <w:bottom w:val="single" w:color="000000" w:sz="4" w:space="0"/>
              <w:right w:val="single" w:color="000000" w:sz="4" w:space="0"/>
            </w:tcBorders>
            <w:tcW w:w="1758" w:type="dxa"/>
            <w:textDirection w:val="lrTb"/>
            <w:noWrap w:val="false"/>
          </w:tcPr>
          <w:p>
            <w:pPr>
              <w:pStyle w:val="940"/>
              <w:jc w:val="center"/>
            </w:pPr>
            <w:r>
              <w:t xml:space="preserve">1</w:t>
            </w:r>
            <w:r/>
          </w:p>
        </w:tc>
      </w:tr>
    </w:tbl>
    <w:p>
      <w:pPr>
        <w:pStyle w:val="940"/>
        <w:jc w:val="both"/>
        <w:tabs>
          <w:tab w:val="clear" w:pos="708" w:leader="none"/>
          <w:tab w:val="left" w:pos="709" w:leader="none"/>
        </w:tabs>
      </w:pPr>
      <w:r/>
      <w:r/>
    </w:p>
    <w:p>
      <w:pPr>
        <w:pStyle w:val="943"/>
        <w:jc w:val="both"/>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подготовки:</w:t>
      </w:r>
      <w:r/>
    </w:p>
    <w:p>
      <w:pPr>
        <w:pStyle w:val="943"/>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 </w:t>
      </w:r>
      <w:r/>
    </w:p>
    <w:p>
      <w:pPr>
        <w:pStyle w:val="1409"/>
        <w:keepNext/>
        <w:rPr>
          <w:sz w:val="24"/>
          <w:szCs w:val="24"/>
        </w:rPr>
      </w:pPr>
      <w:r>
        <w:rPr>
          <w:sz w:val="24"/>
          <w:szCs w:val="24"/>
        </w:rP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701"/>
        <w:gridCol w:w="1276"/>
        <w:gridCol w:w="1134"/>
        <w:gridCol w:w="1134"/>
        <w:gridCol w:w="1134"/>
        <w:gridCol w:w="1134"/>
        <w:gridCol w:w="851"/>
        <w:gridCol w:w="1295"/>
      </w:tblGrid>
      <w:tr>
        <w:trPr>
          <w:cantSplit/>
          <w:trHeight w:val="1038"/>
          <w:tblHeader/>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13"/>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10,4</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54,5</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28,1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82"/>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70,1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45,5</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53,1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00"/>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14,9</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15,6</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3"/>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4,5</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100</w:t>
            </w:r>
            <w:r>
              <w:rPr>
                <w:rFonts w:ascii="Times New Roman" w:hAnsi="Times New Roman" w:cs="Times New Roman"/>
                <w:sz w:val="24"/>
                <w:szCs w:val="24"/>
              </w:rPr>
              <w:t xml:space="preserve">,0</w:t>
            </w:r>
            <w:r/>
          </w:p>
        </w:tc>
      </w:tr>
      <w:tr>
        <w:trPr>
          <w:cantSplit/>
          <w:trHeight w:val="534"/>
        </w:trPr>
        <w:tc>
          <w:tcPr>
            <w:tcBorders>
              <w:top w:val="single" w:color="000000" w:sz="4" w:space="0"/>
              <w:left w:val="single" w:color="000000" w:sz="4" w:space="0"/>
              <w:bottom w:val="single" w:color="000000" w:sz="4" w:space="0"/>
            </w:tcBorders>
            <w:tcW w:w="170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pPr>
      <w:r/>
      <w:r/>
    </w:p>
    <w:p>
      <w:pPr>
        <w:pStyle w:val="943"/>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1409"/>
        <w:keepNext/>
        <w:rPr>
          <w:rFonts w:eastAsia="Times New Roman"/>
        </w:rPr>
      </w:pPr>
      <w:r>
        <w:t xml:space="preserve">Таблица 2</w:t>
        <w:noBreakHyphen/>
        <w:t xml:space="preserve">9</w:t>
      </w:r>
      <w:r/>
    </w:p>
    <w:tbl>
      <w:tblPr>
        <w:tblW w:w="9874" w:type="dxa"/>
        <w:tblInd w:w="-123" w:type="dxa"/>
        <w:tblLayout w:type="fixed"/>
        <w:tblCellMar>
          <w:left w:w="108" w:type="dxa"/>
          <w:top w:w="0" w:type="dxa"/>
          <w:right w:w="108" w:type="dxa"/>
          <w:bottom w:w="0" w:type="dxa"/>
        </w:tblCellMar>
        <w:tblLook w:val="04A0" w:firstRow="1" w:lastRow="0" w:firstColumn="1" w:lastColumn="0" w:noHBand="0" w:noVBand="1"/>
      </w:tblPr>
      <w:tblGrid>
        <w:gridCol w:w="1809"/>
        <w:gridCol w:w="1708"/>
        <w:gridCol w:w="1708"/>
        <w:gridCol w:w="1500"/>
        <w:gridCol w:w="1500"/>
        <w:gridCol w:w="1649"/>
      </w:tblGrid>
      <w:tr>
        <w:trPr>
          <w:trHeight w:val="234"/>
        </w:trPr>
        <w:tc>
          <w:tcPr>
            <w:tcBorders>
              <w:top w:val="single" w:color="000000" w:sz="4" w:space="0"/>
              <w:left w:val="single" w:color="000000" w:sz="4" w:space="0"/>
              <w:bottom w:val="single" w:color="000000" w:sz="4" w:space="0"/>
            </w:tcBorders>
            <w:tcW w:w="1809" w:type="dxa"/>
            <w:vAlign w:val="center"/>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416"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49" w:type="dxa"/>
            <w:vAlign w:val="center"/>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19"/>
        </w:trPr>
        <w:tc>
          <w:tcPr>
            <w:tcBorders>
              <w:top w:val="single" w:color="000000" w:sz="4" w:space="0"/>
              <w:left w:val="single" w:color="000000" w:sz="4" w:space="0"/>
              <w:bottom w:val="single" w:color="000000" w:sz="4" w:space="0"/>
            </w:tcBorders>
            <w:tcW w:w="1809" w:type="dxa"/>
            <w:vAlign w:val="center"/>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49" w:type="dxa"/>
            <w:vAlign w:val="center"/>
            <w:vMerge w:val="continue"/>
            <w:textDirection w:val="lrTb"/>
            <w:noWrap w:val="false"/>
          </w:tcPr>
          <w:p>
            <w:pPr>
              <w:pStyle w:val="940"/>
              <w:rPr>
                <w:rFonts w:eastAsia="Times New Roman"/>
              </w:rPr>
            </w:pPr>
            <w:r>
              <w:rPr>
                <w:rFonts w:eastAsia="Times New Roman"/>
              </w:rPr>
            </w:r>
            <w:r/>
          </w:p>
        </w:tc>
      </w:tr>
      <w:tr>
        <w:trPr>
          <w:trHeight w:val="234"/>
        </w:trPr>
        <w:tc>
          <w:tcPr>
            <w:tcBorders>
              <w:left w:val="single" w:color="000000" w:sz="4" w:space="0"/>
              <w:bottom w:val="single" w:color="000000" w:sz="4" w:space="0"/>
            </w:tcBorders>
            <w:tcW w:w="1809" w:type="dxa"/>
            <w:vAlign w:val="bottom"/>
            <w:textDirection w:val="lrTb"/>
            <w:noWrap w:val="false"/>
          </w:tcPr>
          <w:p>
            <w:pPr>
              <w:pStyle w:val="940"/>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10,4</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74,6</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12,0</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2,8</w:t>
            </w:r>
            <w:r/>
          </w:p>
        </w:tc>
        <w:tc>
          <w:tcPr>
            <w:tcBorders>
              <w:left w:val="single" w:color="000000" w:sz="4" w:space="0"/>
              <w:bottom w:val="single" w:color="000000" w:sz="4" w:space="0"/>
              <w:right w:val="single" w:color="000000" w:sz="4" w:space="0"/>
            </w:tcBorders>
            <w:tcW w:w="1649" w:type="dxa"/>
            <w:vAlign w:val="bottom"/>
            <w:textDirection w:val="lrTb"/>
            <w:noWrap w:val="false"/>
          </w:tcPr>
          <w:p>
            <w:pPr>
              <w:pStyle w:val="940"/>
              <w:jc w:val="center"/>
              <w:rPr>
                <w:rFonts w:eastAsia="Times New Roman"/>
              </w:rPr>
            </w:pPr>
            <w:r>
              <w:rPr>
                <w:rFonts w:eastAsia="Times New Roman"/>
              </w:rPr>
              <w:t xml:space="preserve">1</w:t>
            </w:r>
            <w:r/>
          </w:p>
        </w:tc>
      </w:tr>
      <w:tr>
        <w:trPr>
          <w:trHeight w:val="234"/>
        </w:trPr>
        <w:tc>
          <w:tcPr>
            <w:tcBorders>
              <w:left w:val="single" w:color="000000" w:sz="4" w:space="0"/>
              <w:bottom w:val="single" w:color="000000" w:sz="4" w:space="0"/>
            </w:tcBorders>
            <w:tcW w:w="1809"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2,4</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53,7</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31,7</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12,2</w:t>
            </w:r>
            <w:r/>
          </w:p>
        </w:tc>
        <w:tc>
          <w:tcPr>
            <w:tcBorders>
              <w:top w:val="single" w:color="000000" w:sz="4" w:space="0"/>
              <w:left w:val="single" w:color="000000" w:sz="4" w:space="0"/>
              <w:bottom w:val="single" w:color="000000" w:sz="4" w:space="0"/>
              <w:right w:val="single" w:color="000000" w:sz="4" w:space="0"/>
            </w:tcBorders>
            <w:tcW w:w="1649" w:type="dxa"/>
            <w:vAlign w:val="bottom"/>
            <w:textDirection w:val="lrTb"/>
            <w:noWrap w:val="false"/>
          </w:tcPr>
          <w:p>
            <w:pPr>
              <w:pStyle w:val="940"/>
              <w:jc w:val="center"/>
              <w:rPr>
                <w:color w:val="000000"/>
              </w:rPr>
            </w:pPr>
            <w:r>
              <w:rPr>
                <w:color w:val="000000"/>
              </w:rPr>
              <w:t xml:space="preserve">0</w:t>
            </w:r>
            <w:r/>
          </w:p>
        </w:tc>
      </w:tr>
      <w:tr>
        <w:trPr>
          <w:trHeight w:val="234"/>
        </w:trPr>
        <w:tc>
          <w:tcPr>
            <w:tcBorders>
              <w:left w:val="single" w:color="000000" w:sz="4" w:space="0"/>
              <w:bottom w:val="single" w:color="000000" w:sz="4" w:space="0"/>
            </w:tcBorders>
            <w:tcW w:w="1809" w:type="dxa"/>
            <w:vAlign w:val="bottom"/>
            <w:textDirection w:val="lrTb"/>
            <w:noWrap w:val="false"/>
          </w:tcPr>
          <w:p>
            <w:pPr>
              <w:pStyle w:val="940"/>
              <w:rPr>
                <w:rFonts w:eastAsia="Times New Roman"/>
              </w:rPr>
            </w:pPr>
            <w:r>
              <w:rPr>
                <w:rFonts w:eastAsia="Times New Roman"/>
              </w:rPr>
              <w:t xml:space="preserve">О(c)ОШ</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rPr>
            </w:pPr>
            <w:r>
              <w:rPr>
                <w:rFonts w:eastAsia="Times New Roman"/>
              </w:rPr>
              <w:t xml:space="preserve">-</w:t>
            </w:r>
            <w:r/>
          </w:p>
        </w:tc>
        <w:tc>
          <w:tcPr>
            <w:tcBorders>
              <w:left w:val="single" w:color="000000" w:sz="4" w:space="0"/>
              <w:bottom w:val="single" w:color="000000" w:sz="4" w:space="0"/>
            </w:tcBorders>
            <w:tcW w:w="1708" w:type="dxa"/>
            <w:vAlign w:val="bottom"/>
            <w:textDirection w:val="lrTb"/>
            <w:noWrap w:val="false"/>
          </w:tcPr>
          <w:p>
            <w:pPr>
              <w:pStyle w:val="940"/>
              <w:jc w:val="center"/>
              <w:rPr>
                <w:rFonts w:eastAsia="Times New Roman"/>
              </w:rPr>
            </w:pPr>
            <w:r>
              <w:rPr>
                <w:rFonts w:eastAsia="Times New Roman"/>
              </w:rPr>
              <w:t xml:space="preserve">-</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rPr>
            </w:pPr>
            <w:r>
              <w:rPr>
                <w:rFonts w:eastAsia="Times New Roman"/>
              </w:rPr>
              <w:t xml:space="preserve">-</w:t>
            </w:r>
            <w:r/>
          </w:p>
        </w:tc>
        <w:tc>
          <w:tcPr>
            <w:tcBorders>
              <w:left w:val="single" w:color="000000" w:sz="4" w:space="0"/>
              <w:bottom w:val="single" w:color="000000" w:sz="4" w:space="0"/>
            </w:tcBorders>
            <w:tcW w:w="1500" w:type="dxa"/>
            <w:vAlign w:val="bottom"/>
            <w:textDirection w:val="lrTb"/>
            <w:noWrap w:val="false"/>
          </w:tcPr>
          <w:p>
            <w:pPr>
              <w:pStyle w:val="940"/>
              <w:jc w:val="center"/>
              <w:rPr>
                <w:rFonts w:eastAsia="Times New Roman"/>
              </w:rPr>
            </w:pPr>
            <w:r>
              <w:rPr>
                <w:rFonts w:eastAsia="Times New Roman"/>
              </w:rPr>
              <w:t xml:space="preserve">-</w:t>
            </w:r>
            <w:r/>
          </w:p>
        </w:tc>
        <w:tc>
          <w:tcPr>
            <w:tcBorders>
              <w:left w:val="single" w:color="000000" w:sz="4" w:space="0"/>
              <w:bottom w:val="single" w:color="000000" w:sz="4" w:space="0"/>
              <w:right w:val="single" w:color="000000" w:sz="4" w:space="0"/>
            </w:tcBorders>
            <w:tcW w:w="1649" w:type="dxa"/>
            <w:vAlign w:val="bottom"/>
            <w:textDirection w:val="lrTb"/>
            <w:noWrap w:val="false"/>
          </w:tcPr>
          <w:p>
            <w:pPr>
              <w:pStyle w:val="940"/>
              <w:jc w:val="center"/>
              <w:rPr>
                <w:rFonts w:eastAsia="Times New Roman"/>
              </w:rPr>
            </w:pPr>
            <w:r>
              <w:rPr>
                <w:rFonts w:eastAsia="Times New Roman"/>
              </w:rPr>
              <w:t xml:space="preserve">-</w:t>
            </w:r>
            <w:r/>
          </w:p>
        </w:tc>
      </w:tr>
      <w:tr>
        <w:trPr>
          <w:trHeight w:val="677"/>
        </w:trPr>
        <w:tc>
          <w:tcPr>
            <w:tcBorders>
              <w:left w:val="single" w:color="000000" w:sz="4" w:space="0"/>
              <w:bottom w:val="single" w:color="000000" w:sz="4" w:space="0"/>
            </w:tcBorders>
            <w:tcW w:w="1809"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25,6</w:t>
            </w:r>
            <w:r/>
          </w:p>
        </w:tc>
        <w:tc>
          <w:tcPr>
            <w:tcBorders>
              <w:top w:val="single" w:color="000000" w:sz="4" w:space="0"/>
              <w:left w:val="single" w:color="000000" w:sz="4" w:space="0"/>
              <w:bottom w:val="single" w:color="000000" w:sz="4" w:space="0"/>
            </w:tcBorders>
            <w:tcW w:w="1708" w:type="dxa"/>
            <w:vAlign w:val="bottom"/>
            <w:textDirection w:val="lrTb"/>
            <w:noWrap w:val="false"/>
          </w:tcPr>
          <w:p>
            <w:pPr>
              <w:pStyle w:val="940"/>
              <w:jc w:val="center"/>
              <w:rPr>
                <w:color w:val="000000"/>
              </w:rPr>
            </w:pPr>
            <w:r>
              <w:rPr>
                <w:color w:val="000000"/>
              </w:rPr>
              <w:t xml:space="preserve">66,3</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5,8</w:t>
            </w:r>
            <w:r/>
          </w:p>
        </w:tc>
        <w:tc>
          <w:tcPr>
            <w:tcBorders>
              <w:top w:val="single" w:color="000000" w:sz="4" w:space="0"/>
              <w:left w:val="single" w:color="000000" w:sz="4" w:space="0"/>
              <w:bottom w:val="single" w:color="000000" w:sz="4" w:space="0"/>
            </w:tcBorders>
            <w:tcW w:w="1500" w:type="dxa"/>
            <w:vAlign w:val="bottom"/>
            <w:textDirection w:val="lrTb"/>
            <w:noWrap w:val="false"/>
          </w:tcPr>
          <w:p>
            <w:pPr>
              <w:pStyle w:val="940"/>
              <w:jc w:val="center"/>
              <w:rPr>
                <w:color w:val="000000"/>
              </w:rPr>
            </w:pPr>
            <w:r>
              <w:rPr>
                <w:color w:val="000000"/>
              </w:rPr>
              <w:t xml:space="preserve">2,3</w:t>
            </w:r>
            <w:r/>
          </w:p>
        </w:tc>
        <w:tc>
          <w:tcPr>
            <w:tcBorders>
              <w:top w:val="single" w:color="000000" w:sz="4" w:space="0"/>
              <w:left w:val="single" w:color="000000" w:sz="4" w:space="0"/>
              <w:bottom w:val="single" w:color="000000" w:sz="4" w:space="0"/>
              <w:right w:val="single" w:color="000000" w:sz="4" w:space="0"/>
            </w:tcBorders>
            <w:tcW w:w="1649" w:type="dxa"/>
            <w:vAlign w:val="bottom"/>
            <w:textDirection w:val="lrTb"/>
            <w:noWrap w:val="false"/>
          </w:tcPr>
          <w:p>
            <w:pPr>
              <w:pStyle w:val="940"/>
              <w:jc w:val="center"/>
              <w:rPr>
                <w:color w:val="000000"/>
              </w:rPr>
            </w:pPr>
            <w:r>
              <w:rPr>
                <w:color w:val="000000"/>
              </w:rPr>
              <w:t xml:space="preserve">0</w:t>
            </w:r>
            <w:r/>
          </w:p>
        </w:tc>
      </w:tr>
    </w:tbl>
    <w:p>
      <w:pPr>
        <w:pStyle w:val="940"/>
      </w:pPr>
      <w:r/>
      <w:r/>
    </w:p>
    <w:p>
      <w:pPr>
        <w:pStyle w:val="943"/>
      </w:pPr>
      <w:r>
        <w:rPr>
          <w:rFonts w:ascii="Times New Roman" w:hAnsi="Times New Roman" w:cs="Times New Roman" w:eastAsia="Times New Roman"/>
          <w:bCs w:val="0"/>
          <w:lang w:val="ru-RU"/>
        </w:rPr>
        <w:t xml:space="preserve">       </w:t>
      </w: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1409"/>
        <w:keepNext/>
        <w:rPr>
          <w:rFonts w:eastAsia="Times New Roman"/>
        </w:rPr>
      </w:pPr>
      <w:r>
        <w:t xml:space="preserve">Таблица 2</w:t>
        <w:noBreakHyphen/>
        <w:t xml:space="preserve">10</w:t>
      </w:r>
      <w:r/>
    </w:p>
    <w:tbl>
      <w:tblPr>
        <w:tblW w:w="9874" w:type="dxa"/>
        <w:tblInd w:w="-123" w:type="dxa"/>
        <w:tblLayout w:type="fixed"/>
        <w:tblCellMar>
          <w:left w:w="108" w:type="dxa"/>
          <w:top w:w="0" w:type="dxa"/>
          <w:right w:w="108" w:type="dxa"/>
          <w:bottom w:w="0" w:type="dxa"/>
        </w:tblCellMar>
        <w:tblLook w:val="04A0" w:firstRow="1" w:lastRow="0" w:firstColumn="1" w:lastColumn="0" w:noHBand="0" w:noVBand="1"/>
      </w:tblPr>
      <w:tblGrid>
        <w:gridCol w:w="1826"/>
        <w:gridCol w:w="1756"/>
        <w:gridCol w:w="1690"/>
        <w:gridCol w:w="1485"/>
        <w:gridCol w:w="1485"/>
        <w:gridCol w:w="1632"/>
      </w:tblGrid>
      <w:tr>
        <w:trPr>
          <w:trHeight w:val="239"/>
        </w:trPr>
        <w:tc>
          <w:tcPr>
            <w:tcBorders>
              <w:top w:val="single" w:color="000000" w:sz="4" w:space="0"/>
              <w:left w:val="single" w:color="000000" w:sz="4" w:space="0"/>
              <w:bottom w:val="single" w:color="000000" w:sz="4" w:space="0"/>
            </w:tcBorders>
            <w:tcW w:w="1826" w:type="dxa"/>
            <w:vAlign w:val="center"/>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416"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32" w:type="dxa"/>
            <w:vAlign w:val="center"/>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39"/>
        </w:trPr>
        <w:tc>
          <w:tcPr>
            <w:tcBorders>
              <w:top w:val="single" w:color="000000" w:sz="4" w:space="0"/>
              <w:left w:val="single" w:color="000000" w:sz="4" w:space="0"/>
              <w:bottom w:val="single" w:color="000000" w:sz="4" w:space="0"/>
            </w:tcBorders>
            <w:tcW w:w="1826" w:type="dxa"/>
            <w:vAlign w:val="center"/>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756" w:type="dxa"/>
            <w:vAlign w:val="center"/>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90"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85"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85"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32" w:type="dxa"/>
            <w:vAlign w:val="center"/>
            <w:vMerge w:val="continue"/>
            <w:textDirection w:val="lrTb"/>
            <w:noWrap w:val="false"/>
          </w:tcPr>
          <w:p>
            <w:pPr>
              <w:pStyle w:val="940"/>
              <w:rPr>
                <w:rFonts w:eastAsia="Times New Roman"/>
              </w:rPr>
            </w:pPr>
            <w:r>
              <w:rPr>
                <w:rFonts w:eastAsia="Times New Roman"/>
              </w:rPr>
            </w:r>
            <w:r/>
          </w:p>
        </w:tc>
      </w:tr>
      <w:tr>
        <w:trPr>
          <w:trHeight w:val="224"/>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7,6</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64,7</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20,1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7,3</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1</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17,9</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71,7</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8,5</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1,9</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13,2</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64,7</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19,1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2,9</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24"/>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13,8</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75,9</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6,9</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3,4</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5,9</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94,1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95,2</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4,8</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24"/>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56,3</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37,5</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6,3</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8,3</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79,2</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12,5</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90,0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6,7</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3,3</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24"/>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16,3</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77,6</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4,1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2,0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18,2</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72,7</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9,1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28,1</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53,1</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15,6</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3,1</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ИОО</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24"/>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Выпускники ОО других регионов</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239"/>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54,5</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45,5</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r>
        <w:trPr>
          <w:trHeight w:val="337"/>
        </w:trPr>
        <w:tc>
          <w:tcPr>
            <w:tcBorders>
              <w:left w:val="single" w:color="000000" w:sz="4" w:space="0"/>
              <w:bottom w:val="single" w:color="000000" w:sz="4" w:space="0"/>
            </w:tcBorders>
            <w:tcW w:w="1826"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75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9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2" w:type="dxa"/>
            <w:vAlign w:val="bottom"/>
            <w:textDirection w:val="lrTb"/>
            <w:noWrap w:val="false"/>
          </w:tcPr>
          <w:p>
            <w:pPr>
              <w:pStyle w:val="940"/>
              <w:jc w:val="center"/>
              <w:rPr>
                <w:rFonts w:eastAsia="Times New Roman"/>
              </w:rPr>
            </w:pPr>
            <w:r>
              <w:rPr>
                <w:rFonts w:eastAsia="Times New Roman"/>
              </w:rPr>
              <w:t xml:space="preserve">0</w:t>
            </w:r>
            <w:r/>
          </w:p>
        </w:tc>
      </w:tr>
    </w:tbl>
    <w:p>
      <w:pPr>
        <w:pStyle w:val="943"/>
        <w:jc w:val="both"/>
        <w:rPr>
          <w:rFonts w:ascii="Times New Roman" w:hAnsi="Times New Roman" w:cs="Times New Roman"/>
        </w:rPr>
      </w:pP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1409"/>
        <w:keepNext/>
      </w:pPr>
      <w:r>
        <w:t xml:space="preserve">Таблица 2</w:t>
        <w:noBreakHyphen/>
        <w:t xml:space="preserve">11</w:t>
      </w:r>
      <w:r/>
    </w:p>
    <w:tbl>
      <w:tblPr>
        <w:tblW w:w="9829" w:type="dxa"/>
        <w:tblInd w:w="-123" w:type="dxa"/>
        <w:tblLayout w:type="fixed"/>
        <w:tblCellMar>
          <w:left w:w="108" w:type="dxa"/>
          <w:top w:w="0" w:type="dxa"/>
          <w:right w:w="108" w:type="dxa"/>
          <w:bottom w:w="0" w:type="dxa"/>
        </w:tblCellMar>
        <w:tblLook w:val="04A0" w:firstRow="1" w:lastRow="0" w:firstColumn="1" w:lastColumn="0" w:noHBand="0" w:noVBand="1"/>
      </w:tblPr>
      <w:tblGrid>
        <w:gridCol w:w="725"/>
        <w:gridCol w:w="4098"/>
        <w:gridCol w:w="1585"/>
        <w:gridCol w:w="1585"/>
        <w:gridCol w:w="1836"/>
      </w:tblGrid>
      <w:tr>
        <w:trPr>
          <w:trHeight w:val="1410"/>
        </w:trPr>
        <w:tc>
          <w:tcPr>
            <w:tcBorders>
              <w:top w:val="single" w:color="000000" w:sz="4" w:space="0"/>
              <w:left w:val="single" w:color="000000" w:sz="4" w:space="0"/>
              <w:bottom w:val="single" w:color="000000" w:sz="4" w:space="0"/>
            </w:tcBorders>
            <w:tcW w:w="725" w:type="dxa"/>
            <w:textDirection w:val="lrTb"/>
            <w:noWrap w:val="false"/>
          </w:tcPr>
          <w:p>
            <w:pPr>
              <w:pStyle w:val="940"/>
              <w:jc w:val="center"/>
              <w:rPr>
                <w:bCs/>
              </w:rPr>
            </w:pPr>
            <w:r>
              <w:rPr>
                <w:bCs/>
              </w:rPr>
              <w:t xml:space="preserve">№</w:t>
            </w:r>
            <w:r/>
          </w:p>
        </w:tc>
        <w:tc>
          <w:tcPr>
            <w:tcBorders>
              <w:top w:val="single" w:color="000000" w:sz="4" w:space="0"/>
              <w:left w:val="single" w:color="000000" w:sz="4" w:space="0"/>
              <w:bottom w:val="single" w:color="000000" w:sz="4" w:space="0"/>
            </w:tcBorders>
            <w:tcW w:w="4098" w:type="dxa"/>
            <w:textDirection w:val="lrTb"/>
            <w:noWrap w:val="false"/>
          </w:tcPr>
          <w:p>
            <w:pPr>
              <w:pStyle w:val="940"/>
              <w:jc w:val="center"/>
              <w:rPr>
                <w:bCs/>
              </w:rPr>
            </w:pPr>
            <w:r>
              <w:rPr>
                <w:bCs/>
              </w:rPr>
              <w:t xml:space="preserve">Наименование ОО</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1</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МБОУ г. Астрахани "Гимназия № 4"</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33,3</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16,7</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МБОУ г. Астрахани "Лицей № 2"</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20,0</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20,0</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3</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МБОУ г. Астрахани "Гимназия №2"</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20,0</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10,0</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МБОУ г. Астрахани "СОШ № 32"</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15,8</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36,8</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МБОУ г. Астрахани "Лицей № 1"</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14,3</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19,0</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6</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МАОУ "СОШ №1 с УИОП имени С.Г.Хуснетдинова  МО "Ахтубинский район"</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12,5</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12,5</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МКОУ ЗАТО Знаменск СОШ №236</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7,7</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46,2</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25" w:type="dxa"/>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tcBorders>
            <w:tcW w:w="4098" w:type="dxa"/>
            <w:textDirection w:val="lrTb"/>
            <w:noWrap w:val="false"/>
          </w:tcPr>
          <w:p>
            <w:pPr>
              <w:pStyle w:val="940"/>
            </w:pPr>
            <w:r>
              <w:t xml:space="preserve">ГБОУ АО "Астраханский технический лицей"</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7,1</w:t>
            </w:r>
            <w:r/>
          </w:p>
        </w:tc>
        <w:tc>
          <w:tcPr>
            <w:tcBorders>
              <w:top w:val="single" w:color="000000" w:sz="4" w:space="0"/>
              <w:left w:val="single" w:color="000000" w:sz="4" w:space="0"/>
              <w:bottom w:val="single" w:color="000000" w:sz="4" w:space="0"/>
            </w:tcBorders>
            <w:tcW w:w="1585" w:type="dxa"/>
            <w:textDirection w:val="lrTb"/>
            <w:noWrap w:val="false"/>
          </w:tcPr>
          <w:p>
            <w:pPr>
              <w:pStyle w:val="940"/>
              <w:jc w:val="center"/>
            </w:pPr>
            <w:r>
              <w:t xml:space="preserve">64,3</w:t>
            </w:r>
            <w:r/>
          </w:p>
        </w:tc>
        <w:tc>
          <w:tcPr>
            <w:tcBorders>
              <w:top w:val="single" w:color="000000" w:sz="4" w:space="0"/>
              <w:left w:val="single" w:color="000000" w:sz="4" w:space="0"/>
              <w:bottom w:val="single" w:color="000000" w:sz="4" w:space="0"/>
              <w:right w:val="single" w:color="000000" w:sz="4" w:space="0"/>
            </w:tcBorders>
            <w:tcW w:w="1836" w:type="dxa"/>
            <w:textDirection w:val="lrTb"/>
            <w:noWrap w:val="false"/>
          </w:tcPr>
          <w:p>
            <w:pPr>
              <w:pStyle w:val="940"/>
              <w:jc w:val="center"/>
            </w:pPr>
            <w:r>
              <w:t xml:space="preserve">0,0</w:t>
            </w:r>
            <w:r/>
          </w:p>
        </w:tc>
      </w:tr>
    </w:tbl>
    <w:p>
      <w:pPr>
        <w:pStyle w:val="940"/>
      </w:pPr>
      <w:r/>
      <w:r/>
    </w:p>
    <w:p>
      <w:pPr>
        <w:pStyle w:val="943"/>
        <w:jc w:val="both"/>
      </w:pPr>
      <w:r>
        <w:rPr>
          <w:rFonts w:ascii="Times New Roman" w:hAnsi="Times New Roman" w:cs="Times New Roman" w:eastAsia="Times New Roman"/>
          <w:b w:val="0"/>
          <w:bCs w:val="0"/>
        </w:rPr>
        <w:t xml:space="preserve"> </w:t>
      </w:r>
      <w:r>
        <w:rPr>
          <w:rFonts w:ascii="Times New Roman" w:hAnsi="Times New Roman" w:cs="Times New Roman" w:eastAsia="Times New Roman"/>
          <w:bCs w:val="0"/>
          <w:lang w:val="ru-RU"/>
        </w:rPr>
        <w:t xml:space="preserve">2.4.2.</w:t>
      </w: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Перечень</w:t>
      </w:r>
      <w:r>
        <w:rPr>
          <w:rFonts w:ascii="Times New Roman" w:hAnsi="Times New Roman" w:cs="Times New Roman"/>
          <w:b w:val="0"/>
          <w:bCs w:val="0"/>
        </w:rPr>
        <w:t xml:space="preserve"> ОО, продемонстрировавших низкие результаты ЕГЭ по предмету</w:t>
      </w:r>
      <w:r/>
    </w:p>
    <w:p>
      <w:pPr>
        <w:pStyle w:val="1409"/>
        <w:keepNext/>
        <w:rPr>
          <w:rFonts w:eastAsia="Times New Roman"/>
          <w:color w:val="000000"/>
        </w:rPr>
      </w:pPr>
      <w:r>
        <w:rPr>
          <w:rFonts w:eastAsia="Times New Roman"/>
          <w:color w:val="000000"/>
        </w:rPr>
        <w:t xml:space="preserve">Таблица 2</w:t>
        <w:noBreakHyphen/>
        <w:t xml:space="preserve">12</w:t>
      </w:r>
      <w:r/>
    </w:p>
    <w:tbl>
      <w:tblPr>
        <w:tblW w:w="9829" w:type="dxa"/>
        <w:tblInd w:w="-123" w:type="dxa"/>
        <w:tblLayout w:type="fixed"/>
        <w:tblCellMar>
          <w:left w:w="108" w:type="dxa"/>
          <w:top w:w="0" w:type="dxa"/>
          <w:right w:w="108" w:type="dxa"/>
          <w:bottom w:w="0" w:type="dxa"/>
        </w:tblCellMar>
        <w:tblLook w:val="04A0" w:firstRow="1" w:lastRow="0" w:firstColumn="1" w:lastColumn="0" w:noHBand="0" w:noVBand="1"/>
      </w:tblPr>
      <w:tblGrid>
        <w:gridCol w:w="717"/>
        <w:gridCol w:w="3781"/>
        <w:gridCol w:w="1808"/>
        <w:gridCol w:w="1588"/>
        <w:gridCol w:w="1935"/>
      </w:tblGrid>
      <w:tr>
        <w:trPr>
          <w:trHeight w:val="1415"/>
        </w:trPr>
        <w:tc>
          <w:tcPr>
            <w:tcBorders>
              <w:top w:val="single" w:color="000000" w:sz="4" w:space="0"/>
              <w:left w:val="single" w:color="000000" w:sz="4" w:space="0"/>
              <w:bottom w:val="single" w:color="000000" w:sz="4" w:space="0"/>
            </w:tcBorders>
            <w:tcW w:w="717" w:type="dxa"/>
            <w:vAlign w:val="center"/>
            <w:textDirection w:val="lrTb"/>
            <w:noWrap w:val="false"/>
          </w:tcPr>
          <w:p>
            <w:pPr>
              <w:pStyle w:val="940"/>
              <w:jc w:val="center"/>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3781" w:type="dxa"/>
            <w:vAlign w:val="center"/>
            <w:textDirection w:val="lrTb"/>
            <w:noWrap w:val="false"/>
          </w:tcPr>
          <w:p>
            <w:pPr>
              <w:pStyle w:val="940"/>
              <w:jc w:val="center"/>
              <w:rPr>
                <w:rFonts w:eastAsia="Times New Roman"/>
                <w:bCs/>
                <w:color w:val="000000"/>
              </w:rPr>
            </w:pP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80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8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935"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МКОУ ЗАТО Знаменск СОШ №233</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36,4</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9,1</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ГБОУ АО "АКШИ им. П.О. Сухого"</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28,0</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2,7</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28"</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27,8</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МКОУ "СОШ №3 г. Харабали"</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18,8</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74 имени Г.Тукая"</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16,7</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8,3</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6</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МБОУ "Краснобаррикадная СОШ"</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9,1</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0"/>
        </w:trPr>
        <w:tc>
          <w:tcPr>
            <w:tcBorders>
              <w:left w:val="single" w:color="000000" w:sz="4" w:space="0"/>
              <w:bottom w:val="single" w:color="000000" w:sz="4" w:space="0"/>
            </w:tcBorders>
            <w:tcW w:w="717" w:type="dxa"/>
            <w:vAlign w:val="bottom"/>
            <w:textDirection w:val="lrTb"/>
            <w:noWrap w:val="false"/>
          </w:tcPr>
          <w:p>
            <w:pPr>
              <w:pStyle w:val="940"/>
              <w:jc w:val="center"/>
              <w:rPr>
                <w:rFonts w:eastAsia="Times New Roman"/>
                <w:color w:val="000000"/>
              </w:rPr>
            </w:pPr>
            <w:r>
              <w:rPr>
                <w:rFonts w:eastAsia="Times New Roman"/>
                <w:color w:val="000000"/>
              </w:rPr>
              <w:t xml:space="preserve">7</w:t>
            </w:r>
            <w:r/>
          </w:p>
        </w:tc>
        <w:tc>
          <w:tcPr>
            <w:tcBorders>
              <w:left w:val="single" w:color="000000" w:sz="4" w:space="0"/>
              <w:bottom w:val="single" w:color="000000" w:sz="4" w:space="0"/>
            </w:tcBorders>
            <w:tcW w:w="3781" w:type="dxa"/>
            <w:vAlign w:val="bottom"/>
            <w:textDirection w:val="lrTb"/>
            <w:noWrap w:val="false"/>
          </w:tcPr>
          <w:p>
            <w:pPr>
              <w:pStyle w:val="940"/>
              <w:rPr>
                <w:rFonts w:eastAsia="Times New Roman"/>
                <w:color w:val="000000"/>
              </w:rPr>
            </w:pPr>
            <w:r>
              <w:rPr>
                <w:rFonts w:eastAsia="Times New Roman"/>
                <w:color w:val="000000"/>
              </w:rPr>
              <w:t xml:space="preserve">МБОУ г.Астрахани "СОШ №18"</w:t>
            </w:r>
            <w:r/>
          </w:p>
        </w:tc>
        <w:tc>
          <w:tcPr>
            <w:tcBorders>
              <w:left w:val="single" w:color="000000" w:sz="4" w:space="0"/>
              <w:bottom w:val="single" w:color="000000" w:sz="4" w:space="0"/>
            </w:tcBorders>
            <w:tcW w:w="1808" w:type="dxa"/>
            <w:vAlign w:val="bottom"/>
            <w:textDirection w:val="lrTb"/>
            <w:noWrap w:val="false"/>
          </w:tcPr>
          <w:p>
            <w:pPr>
              <w:pStyle w:val="940"/>
              <w:jc w:val="center"/>
              <w:rPr>
                <w:rFonts w:eastAsia="Times New Roman"/>
                <w:color w:val="000000"/>
              </w:rPr>
            </w:pPr>
            <w:r>
              <w:rPr>
                <w:rFonts w:eastAsia="Times New Roman"/>
                <w:color w:val="000000"/>
              </w:rPr>
              <w:t xml:space="preserve">7,7</w:t>
            </w:r>
            <w:r/>
          </w:p>
        </w:tc>
        <w:tc>
          <w:tcPr>
            <w:tcBorders>
              <w:left w:val="single" w:color="000000" w:sz="4" w:space="0"/>
              <w:bottom w:val="single" w:color="000000" w:sz="4" w:space="0"/>
            </w:tcBorders>
            <w:tcW w:w="158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935"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3"/>
        <w:numPr>
          <w:ilvl w:val="0"/>
          <w:numId w:val="0"/>
        </w:numPr>
        <w:ind w:left="0" w:firstLine="0"/>
        <w:rPr>
          <w:rFonts w:ascii="Times New Roman" w:hAnsi="Times New Roman" w:cs="Times New Roman"/>
        </w:rPr>
      </w:pPr>
      <w:r>
        <w:rPr>
          <w:rFonts w:ascii="Times New Roman" w:hAnsi="Times New Roman" w:cs="Times New Roman"/>
        </w:rPr>
      </w:r>
      <w:r/>
    </w:p>
    <w:p>
      <w:pPr>
        <w:pStyle w:val="943"/>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1417"/>
        <w:jc w:val="both"/>
      </w:pPr>
      <w:r/>
      <w:r/>
    </w:p>
    <w:p>
      <w:pPr>
        <w:pStyle w:val="940"/>
        <w:ind w:firstLine="708"/>
        <w:jc w:val="both"/>
      </w:pPr>
      <w:r>
        <w:t xml:space="preserve">В 2021 году проявилось незначительное ухудшение показателей результатов экзамена по физике. На 1,3 % возросла доля участни</w:t>
      </w:r>
      <w:r>
        <w:t xml:space="preserve">ков ЕГЭ, не преодолевших минимального балла, средний балл остался примерно таким же – 50 б. В то же время есть динамика в сторону увеличения количества участников, получивших от 61 до 80 б. и 81 до 100 баллов, один участник сдал экзамен на 100 баллов, как </w:t>
      </w:r>
      <w:r>
        <w:t xml:space="preserve">и в прошлом году. Основное количество выпускников получили оценки в интервале от 36 баллов до 60 баллов. Большой процент 54,5%, набравших балл ниже минимального, дали обучающиеся по программам СПО (в 2020 году - 25 %, а в 2019 году они не сдавали физику). </w:t>
      </w:r>
      <w:r>
        <w:rPr>
          <w:rFonts w:eastAsia="Times New Roman"/>
          <w:bCs/>
        </w:rPr>
        <w:t xml:space="preserve">Доля</w:t>
      </w:r>
      <w:r>
        <w:rPr>
          <w:lang w:eastAsia="en-US"/>
        </w:rPr>
        <w:t xml:space="preserve"> участников, набравших балл ниже минимального среди выпускников текущего года, обучающихся по программам СОО также незначительно возрастает. В 2019 году – 7,82 %, в 2020 году – 8,3 %, а в 2021 году – 10,4 %. </w:t>
      </w:r>
      <w:r/>
    </w:p>
    <w:p>
      <w:pPr>
        <w:pStyle w:val="940"/>
        <w:ind w:firstLine="708"/>
        <w:jc w:val="both"/>
      </w:pPr>
      <w:r>
        <w:t xml:space="preserve">Соотношение по категориям участников и типам ОО изменились не существенно.</w:t>
      </w:r>
      <w:r/>
    </w:p>
    <w:p>
      <w:pPr>
        <w:pStyle w:val="940"/>
        <w:ind w:firstLine="708"/>
        <w:jc w:val="both"/>
      </w:pPr>
      <w:r>
        <w:t xml:space="preserve">По АТЕ хорошие результаты дали участники, получившие от 61 б. до 80 б. в г. Астрахани (доля таких участников ЕГЭ возросла на 4 % по сравнению с 2020 г.), в Красноярском районе (доля так</w:t>
      </w:r>
      <w:r>
        <w:t xml:space="preserve">их участников ЕГЭ возросла на 25,7 % по сравнению с 2020 г.), в ЗАТО г. Знаменске (доля таких участников ЕГЭ возросла на 10 % по сравнению с 2020 г.). Такие результаты говорят о том, что физику стали выбирать более подготовленные и мотивированные учащиеся.</w:t>
      </w:r>
      <w:r/>
    </w:p>
    <w:p>
      <w:pPr>
        <w:pStyle w:val="940"/>
        <w:ind w:firstLine="708"/>
        <w:jc w:val="both"/>
      </w:pPr>
      <w:r>
        <w:t xml:space="preserve">Закономерно выделяются выпускники специализированных школ (физико-математическая СОШ № 32), лицеев и гимназий, имеющие более половины высокобалльников.</w:t>
      </w:r>
      <w:r/>
    </w:p>
    <w:p>
      <w:pPr>
        <w:pStyle w:val="940"/>
        <w:ind w:firstLine="708"/>
        <w:jc w:val="both"/>
      </w:pPr>
      <w:r>
        <w:t xml:space="preserve">Несмотря на увеличение высокобалльников в МКОУ ЗАТО г. Знаменска СОШ № 236, там же повысилась доля участников, не достигших минимального балла (на 22,1 %). </w:t>
      </w:r>
      <w:r/>
    </w:p>
    <w:p>
      <w:pPr>
        <w:pStyle w:val="940"/>
        <w:ind w:firstLine="708"/>
        <w:jc w:val="both"/>
      </w:pPr>
      <w:r>
        <w:t xml:space="preserve">В первые за три года в перечень ОО, продемонстрировавших низкие результаты ЕГЭ вошли две школы г. Астрахани.</w:t>
      </w:r>
      <w:r/>
    </w:p>
    <w:p>
      <w:pPr>
        <w:pStyle w:val="940"/>
        <w:ind w:firstLine="708"/>
        <w:jc w:val="both"/>
      </w:pPr>
      <w:r>
        <w:t xml:space="preserve">Таким образом, можно сделать вывод, что по сравнению с 2019 и 2020</w:t>
      </w:r>
      <w:r>
        <w:t xml:space="preserve"> годами произошло смещение доли участников, набравших от 36 до 60 баллов, в диапазон от 61 до 80 б. Увеличение процента участников ЕГЭ, не достигших минимального балла, связано с увеличением количества выпускников прошлых лет, сдававших физику в этом году.</w:t>
      </w:r>
      <w:r/>
    </w:p>
    <w:p>
      <w:pPr>
        <w:pStyle w:val="940"/>
        <w:ind w:firstLine="708"/>
        <w:jc w:val="both"/>
      </w:pPr>
      <w:r>
        <w:t xml:space="preserve">Нехватка учителей физики в школах г. Астрахани и Астраханской области так же способствовало ухудшению результатов экзамена.</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center"/>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numPr>
          <w:ilvl w:val="1"/>
          <w:numId w:val="42"/>
        </w:numPr>
        <w:ind w:left="0" w:firstLine="0"/>
        <w:keepLines/>
        <w:keepNext/>
        <w:spacing w:before="200" w:after="0"/>
        <w:rPr>
          <w:rFonts w:eastAsia="SimSun;宋体"/>
          <w:b/>
          <w:bCs/>
          <w:sz w:val="28"/>
          <w:lang w:val="en-US"/>
        </w:rPr>
      </w:pPr>
      <w:r>
        <w:rPr>
          <w:rFonts w:eastAsia="SimSun;宋体"/>
          <w:b/>
          <w:bCs/>
          <w:sz w:val="28"/>
          <w:lang w:val="en-US"/>
        </w:rPr>
        <w:t xml:space="preserve">Краткая характеристика КИМ по учебному предмету</w:t>
      </w:r>
      <w:r/>
    </w:p>
    <w:p>
      <w:pPr>
        <w:pStyle w:val="940"/>
        <w:ind w:firstLine="708"/>
        <w:jc w:val="both"/>
        <w:rPr>
          <w:rFonts w:eastAsia="TimesNewRomanPSMT;Times New Roman"/>
        </w:rPr>
      </w:pPr>
      <w:r>
        <w:rPr>
          <w:rFonts w:eastAsia="TimesNewRomanPSMT;Times New Roman"/>
        </w:rPr>
        <w:t xml:space="preserve">В 2021 году структура варианта КИМ осталась без изменения. </w:t>
      </w:r>
      <w:r/>
    </w:p>
    <w:p>
      <w:pPr>
        <w:pStyle w:val="940"/>
        <w:ind w:firstLine="708"/>
        <w:jc w:val="both"/>
      </w:pPr>
      <w:r>
        <w:t xml:space="preserve">Каждый вариант экзаменационной работы состоит из двух частей и включает в себя 32 задания, различающихся формой и уровнем сложности. </w:t>
      </w:r>
      <w:r>
        <w:rPr>
          <w:rFonts w:eastAsia="TimesNewRomanPSMT;Times New Roman"/>
        </w:rPr>
        <w:t xml:space="preserve">Максимальный первичный балл за работу составляет 53 балла. </w:t>
      </w:r>
      <w:r/>
    </w:p>
    <w:p>
      <w:pPr>
        <w:pStyle w:val="940"/>
        <w:ind w:firstLine="708"/>
        <w:jc w:val="both"/>
        <w:rPr>
          <w:rFonts w:eastAsia="TimesNewRomanPSMT;Times New Roman"/>
          <w:lang w:eastAsia="en-US"/>
        </w:rPr>
      </w:pPr>
      <w:r>
        <w:rPr>
          <w:rFonts w:eastAsia="TimesNewRomanPSMT;Times New Roman"/>
          <w:lang w:eastAsia="en-US"/>
        </w:rPr>
        <w:t xml:space="preserve">Первая часть содержит 24 задания, из которых 14 заданий с записью краткого ответа в виде числа, двух чисел </w:t>
      </w:r>
      <w:r>
        <w:rPr>
          <w:rFonts w:eastAsia="TimesNewRomanPSMT;Times New Roman"/>
          <w:lang w:eastAsia="en-US"/>
        </w:rPr>
        <w:t xml:space="preserve">или слова, 3 задания с выбором двух ответов, 6 заданий на установление соответствия и одно задание по астрономии с множественным выбором ответа. Вторая часть содержит 8 расчетных задач. Из них 2 задания с кратким ответом и 6 заданий с развернутым ответом. </w:t>
      </w:r>
      <w:r/>
    </w:p>
    <w:p>
      <w:pPr>
        <w:pStyle w:val="940"/>
        <w:ind w:firstLine="708"/>
        <w:jc w:val="both"/>
        <w:rPr>
          <w:bCs/>
          <w:lang w:eastAsia="en-US"/>
        </w:rPr>
      </w:pPr>
      <w:r>
        <w:rPr>
          <w:bCs/>
          <w:lang w:eastAsia="en-US"/>
        </w:rPr>
        <w:t xml:space="preserve">Критерии оценивания заданий с развернутым ответом не изменились.</w:t>
      </w:r>
      <w:r/>
    </w:p>
    <w:p>
      <w:pPr>
        <w:pStyle w:val="940"/>
        <w:ind w:firstLine="708"/>
        <w:jc w:val="both"/>
      </w:pPr>
      <w:r>
        <w:t xml:space="preserve">В части 1 для обеспечения более доступного восприятия информации задания 1–21 группируются исходя из тематической принадлежности заданий: механика, молекулярная физика, электродинамика, квантовая физика. </w:t>
      </w:r>
      <w:r/>
    </w:p>
    <w:p>
      <w:pPr>
        <w:pStyle w:val="940"/>
        <w:ind w:firstLine="708"/>
        <w:jc w:val="both"/>
      </w:pPr>
      <w:r>
        <w:t xml:space="preserve">В части 2 задания группируются в зависимости от сложности заданий и в соответствии с тематической принадлежностью.</w:t>
      </w:r>
      <w:r/>
    </w:p>
    <w:p>
      <w:pPr>
        <w:pStyle w:val="940"/>
        <w:jc w:val="both"/>
        <w:rPr>
          <w:bCs/>
        </w:rPr>
      </w:pPr>
      <w:r>
        <w:rPr>
          <w:bCs/>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686"/>
        <w:gridCol w:w="2126"/>
        <w:gridCol w:w="1985"/>
        <w:gridCol w:w="1862"/>
      </w:tblGrid>
      <w:tr>
        <w:trPr/>
        <w:tc>
          <w:tcPr>
            <w:gridSpan w:val="4"/>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b/>
                <w:bCs/>
              </w:rPr>
            </w:pPr>
            <w:r>
              <w:rPr>
                <w:b/>
                <w:bCs/>
              </w:rPr>
              <w:t xml:space="preserve">Распределение заданий по основным содержательным разделам</w:t>
            </w:r>
            <w:r/>
          </w:p>
        </w:tc>
      </w:tr>
      <w:tr>
        <w:trPr>
          <w:trHeight w:val="255"/>
        </w:trPr>
        <w:tc>
          <w:tcPr>
            <w:tcBorders>
              <w:top w:val="single" w:color="000000" w:sz="4" w:space="0"/>
              <w:left w:val="single" w:color="000000" w:sz="4" w:space="0"/>
              <w:bottom w:val="single" w:color="000000" w:sz="4" w:space="0"/>
            </w:tcBorders>
            <w:tcW w:w="3686" w:type="dxa"/>
            <w:vMerge w:val="restart"/>
            <w:textDirection w:val="lrTb"/>
            <w:noWrap w:val="false"/>
          </w:tcPr>
          <w:p>
            <w:pPr>
              <w:pStyle w:val="940"/>
              <w:jc w:val="center"/>
            </w:pPr>
            <w:r>
              <w:t xml:space="preserve">Содержательный раздел</w:t>
            </w:r>
            <w:r/>
          </w:p>
        </w:tc>
        <w:tc>
          <w:tcPr>
            <w:gridSpan w:val="3"/>
            <w:tcBorders>
              <w:top w:val="single" w:color="000000" w:sz="4" w:space="0"/>
              <w:left w:val="single" w:color="000000" w:sz="4" w:space="0"/>
              <w:bottom w:val="single" w:color="000000" w:sz="4" w:space="0"/>
              <w:right w:val="single" w:color="000000" w:sz="4" w:space="0"/>
            </w:tcBorders>
            <w:tcW w:w="5973" w:type="dxa"/>
            <w:textDirection w:val="lrTb"/>
            <w:noWrap w:val="false"/>
          </w:tcPr>
          <w:p>
            <w:pPr>
              <w:pStyle w:val="940"/>
              <w:jc w:val="center"/>
            </w:pPr>
            <w:r>
              <w:t xml:space="preserve">Количество заданий</w:t>
            </w:r>
            <w:r/>
          </w:p>
        </w:tc>
      </w:tr>
      <w:tr>
        <w:trPr>
          <w:trHeight w:val="255"/>
        </w:trPr>
        <w:tc>
          <w:tcPr>
            <w:tcBorders>
              <w:top w:val="single" w:color="000000" w:sz="4" w:space="0"/>
              <w:left w:val="single" w:color="000000" w:sz="4" w:space="0"/>
              <w:bottom w:val="single" w:color="000000" w:sz="4" w:space="0"/>
            </w:tcBorders>
            <w:tcW w:w="3686" w:type="dxa"/>
            <w:vMerge w:val="continue"/>
            <w:textDirection w:val="lrTb"/>
            <w:noWrap w:val="false"/>
          </w:tcPr>
          <w:p>
            <w:pPr>
              <w:pStyle w:val="940"/>
            </w:pPr>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Вся работа</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Часть 1</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Часть 2</w:t>
            </w:r>
            <w:r/>
          </w:p>
        </w:tc>
      </w:tr>
      <w:tr>
        <w:trPr/>
        <w:tc>
          <w:tcPr>
            <w:tcBorders>
              <w:top w:val="single" w:color="000000" w:sz="4" w:space="0"/>
              <w:left w:val="single" w:color="000000" w:sz="4" w:space="0"/>
              <w:bottom w:val="single" w:color="000000" w:sz="4" w:space="0"/>
            </w:tcBorders>
            <w:tcW w:w="3686" w:type="dxa"/>
            <w:textDirection w:val="lrTb"/>
            <w:noWrap w:val="false"/>
          </w:tcPr>
          <w:p>
            <w:pPr>
              <w:pStyle w:val="940"/>
              <w:jc w:val="center"/>
              <w:rPr>
                <w:bCs/>
              </w:rPr>
            </w:pPr>
            <w:r>
              <w:rPr>
                <w:bCs/>
              </w:rPr>
              <w:t xml:space="preserve">Механика </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9</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2</w:t>
            </w:r>
            <w:r/>
          </w:p>
        </w:tc>
      </w:tr>
      <w:tr>
        <w:trPr/>
        <w:tc>
          <w:tcPr>
            <w:tcBorders>
              <w:top w:val="single" w:color="000000" w:sz="4" w:space="0"/>
              <w:left w:val="single" w:color="000000" w:sz="4" w:space="0"/>
              <w:bottom w:val="single" w:color="000000" w:sz="4" w:space="0"/>
            </w:tcBorders>
            <w:tcW w:w="3686" w:type="dxa"/>
            <w:textDirection w:val="lrTb"/>
            <w:noWrap w:val="false"/>
          </w:tcPr>
          <w:p>
            <w:pPr>
              <w:pStyle w:val="940"/>
              <w:jc w:val="center"/>
              <w:rPr>
                <w:iCs/>
              </w:rPr>
            </w:pPr>
            <w:r>
              <w:rPr>
                <w:iCs/>
              </w:rPr>
              <w:t xml:space="preserve">Молекулярная физика</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2</w:t>
            </w:r>
            <w:r/>
          </w:p>
        </w:tc>
      </w:tr>
      <w:tr>
        <w:trPr/>
        <w:tc>
          <w:tcPr>
            <w:tcBorders>
              <w:top w:val="single" w:color="000000" w:sz="4" w:space="0"/>
              <w:left w:val="single" w:color="000000" w:sz="4" w:space="0"/>
              <w:bottom w:val="single" w:color="000000" w:sz="4" w:space="0"/>
            </w:tcBorders>
            <w:tcW w:w="3686" w:type="dxa"/>
            <w:textDirection w:val="lrTb"/>
            <w:noWrap w:val="false"/>
          </w:tcPr>
          <w:p>
            <w:pPr>
              <w:pStyle w:val="940"/>
              <w:jc w:val="center"/>
              <w:rPr>
                <w:iCs/>
              </w:rPr>
            </w:pPr>
            <w:r>
              <w:rPr>
                <w:iCs/>
              </w:rPr>
              <w:t xml:space="preserve">Электродинамика </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3</w:t>
            </w:r>
            <w:r/>
          </w:p>
        </w:tc>
      </w:tr>
      <w:tr>
        <w:trPr/>
        <w:tc>
          <w:tcPr>
            <w:tcBorders>
              <w:top w:val="single" w:color="000000" w:sz="4" w:space="0"/>
              <w:left w:val="single" w:color="000000" w:sz="4" w:space="0"/>
              <w:bottom w:val="single" w:color="000000" w:sz="4" w:space="0"/>
            </w:tcBorders>
            <w:tcW w:w="3686" w:type="dxa"/>
            <w:textDirection w:val="lrTb"/>
            <w:noWrap w:val="false"/>
          </w:tcPr>
          <w:p>
            <w:pPr>
              <w:pStyle w:val="940"/>
              <w:jc w:val="center"/>
              <w:rPr>
                <w:iCs/>
              </w:rPr>
            </w:pPr>
            <w:r>
              <w:rPr>
                <w:iCs/>
              </w:rPr>
              <w:t xml:space="preserve">Квантовая физика и астрофизика</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1</w:t>
            </w:r>
            <w:r/>
          </w:p>
        </w:tc>
      </w:tr>
      <w:tr>
        <w:trPr/>
        <w:tc>
          <w:tcPr>
            <w:tcBorders>
              <w:top w:val="single" w:color="000000" w:sz="4" w:space="0"/>
              <w:left w:val="single" w:color="000000" w:sz="4" w:space="0"/>
              <w:bottom w:val="single" w:color="000000" w:sz="4" w:space="0"/>
            </w:tcBorders>
            <w:tcW w:w="3686" w:type="dxa"/>
            <w:textDirection w:val="lrTb"/>
            <w:noWrap w:val="false"/>
          </w:tcPr>
          <w:p>
            <w:pPr>
              <w:pStyle w:val="940"/>
              <w:jc w:val="right"/>
              <w:rPr>
                <w:i/>
              </w:rPr>
            </w:pPr>
            <w:r>
              <w:rPr>
                <w:i/>
              </w:rPr>
              <w:t xml:space="preserve">Итого</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1985" w:type="dxa"/>
            <w:textDirection w:val="lrTb"/>
            <w:noWrap w:val="false"/>
          </w:tcPr>
          <w:p>
            <w:pPr>
              <w:pStyle w:val="940"/>
              <w:jc w:val="center"/>
            </w:pPr>
            <w:r>
              <w:t xml:space="preserve">24</w:t>
            </w:r>
            <w:r/>
          </w:p>
        </w:tc>
        <w:tc>
          <w:tcPr>
            <w:tcBorders>
              <w:top w:val="single" w:color="000000" w:sz="4" w:space="0"/>
              <w:left w:val="single" w:color="000000" w:sz="4" w:space="0"/>
              <w:bottom w:val="single" w:color="000000" w:sz="4" w:space="0"/>
              <w:right w:val="single" w:color="000000" w:sz="4" w:space="0"/>
            </w:tcBorders>
            <w:tcW w:w="1862" w:type="dxa"/>
            <w:textDirection w:val="lrTb"/>
            <w:noWrap w:val="false"/>
          </w:tcPr>
          <w:p>
            <w:pPr>
              <w:pStyle w:val="940"/>
              <w:jc w:val="center"/>
            </w:pPr>
            <w:r>
              <w:t xml:space="preserve">8</w:t>
            </w:r>
            <w:r/>
          </w:p>
        </w:tc>
      </w:tr>
    </w:tbl>
    <w:p>
      <w:pPr>
        <w:pStyle w:val="940"/>
        <w:jc w:val="both"/>
        <w:rPr>
          <w:bCs/>
        </w:rPr>
      </w:pPr>
      <w:r>
        <w:rPr>
          <w:bCs/>
        </w:rPr>
      </w:r>
      <w:r/>
    </w:p>
    <w:p>
      <w:pPr>
        <w:pStyle w:val="940"/>
        <w:ind w:firstLine="708"/>
        <w:jc w:val="both"/>
      </w:pPr>
      <w:r>
        <w:t xml:space="preserve">Общее количество заданий в работе по каждому из разделов пропорционально его содержательному наполнению и учебному времени, отводимому на изучение данного раздела в школьном курсе физики.</w:t>
      </w:r>
      <w:r/>
    </w:p>
    <w:p>
      <w:pPr>
        <w:pStyle w:val="940"/>
        <w:ind w:firstLine="708"/>
        <w:jc w:val="both"/>
      </w:pPr>
      <w:r>
        <w:t xml:space="preserve">Экзаменационная работа по физике разработана исходя из необходимости проверки умений и способов действий, которым обучаются школьники.</w:t>
      </w:r>
      <w:r/>
    </w:p>
    <w:p>
      <w:pPr>
        <w:pStyle w:val="940"/>
        <w:jc w:val="both"/>
      </w:p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387"/>
        <w:gridCol w:w="1417"/>
        <w:gridCol w:w="1560"/>
        <w:gridCol w:w="1295"/>
      </w:tblGrid>
      <w:tr>
        <w:trPr/>
        <w:tc>
          <w:tcPr>
            <w:gridSpan w:val="4"/>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b/>
                <w:bCs/>
              </w:rPr>
            </w:pPr>
            <w:r>
              <w:rPr>
                <w:b/>
                <w:bCs/>
              </w:rPr>
              <w:t xml:space="preserve">Распределение заданий по видам умений и способам действий</w:t>
            </w:r>
            <w:r/>
          </w:p>
        </w:tc>
      </w:tr>
      <w:tr>
        <w:trPr>
          <w:trHeight w:val="297"/>
        </w:trPr>
        <w:tc>
          <w:tcPr>
            <w:tcBorders>
              <w:top w:val="single" w:color="000000" w:sz="4" w:space="0"/>
              <w:left w:val="single" w:color="000000" w:sz="4" w:space="0"/>
              <w:bottom w:val="single" w:color="000000" w:sz="4" w:space="0"/>
            </w:tcBorders>
            <w:tcW w:w="5387" w:type="dxa"/>
            <w:vMerge w:val="restart"/>
            <w:textDirection w:val="lrTb"/>
            <w:noWrap w:val="false"/>
          </w:tcPr>
          <w:p>
            <w:pPr>
              <w:pStyle w:val="940"/>
              <w:jc w:val="center"/>
            </w:pPr>
            <w:r>
              <w:t xml:space="preserve">Проверяемые умения и способы действий </w:t>
            </w:r>
            <w:r/>
          </w:p>
        </w:tc>
        <w:tc>
          <w:tcPr>
            <w:gridSpan w:val="3"/>
            <w:tcBorders>
              <w:top w:val="single" w:color="000000" w:sz="4" w:space="0"/>
              <w:left w:val="single" w:color="000000" w:sz="4" w:space="0"/>
              <w:bottom w:val="single" w:color="000000" w:sz="4" w:space="0"/>
              <w:right w:val="single" w:color="000000" w:sz="4" w:space="0"/>
            </w:tcBorders>
            <w:tcW w:w="4272" w:type="dxa"/>
            <w:textDirection w:val="lrTb"/>
            <w:noWrap w:val="false"/>
          </w:tcPr>
          <w:p>
            <w:pPr>
              <w:pStyle w:val="940"/>
              <w:jc w:val="center"/>
            </w:pPr>
            <w:r>
              <w:t xml:space="preserve">Число заданий</w:t>
            </w:r>
            <w:r/>
          </w:p>
        </w:tc>
      </w:tr>
      <w:tr>
        <w:trPr>
          <w:trHeight w:val="393"/>
        </w:trPr>
        <w:tc>
          <w:tcPr>
            <w:tcBorders>
              <w:top w:val="single" w:color="000000" w:sz="4" w:space="0"/>
              <w:left w:val="single" w:color="000000" w:sz="4" w:space="0"/>
              <w:bottom w:val="single" w:color="000000" w:sz="4" w:space="0"/>
            </w:tcBorders>
            <w:tcW w:w="5387" w:type="dxa"/>
            <w:vMerge w:val="continue"/>
            <w:textDirection w:val="lrTb"/>
            <w:noWrap w:val="false"/>
          </w:tcPr>
          <w:p>
            <w:pPr>
              <w:pStyle w:val="940"/>
              <w:jc w:val="center"/>
            </w:pPr>
            <w:r/>
            <w:r/>
          </w:p>
        </w:tc>
        <w:tc>
          <w:tcPr>
            <w:tcBorders>
              <w:top w:val="single" w:color="000000" w:sz="4" w:space="0"/>
              <w:left w:val="single" w:color="000000" w:sz="4" w:space="0"/>
              <w:bottom w:val="single" w:color="000000" w:sz="4" w:space="0"/>
            </w:tcBorders>
            <w:tcW w:w="1417" w:type="dxa"/>
            <w:textDirection w:val="lrTb"/>
            <w:noWrap w:val="false"/>
          </w:tcPr>
          <w:p>
            <w:pPr>
              <w:pStyle w:val="940"/>
              <w:jc w:val="center"/>
            </w:pPr>
            <w:r>
              <w:t xml:space="preserve">Вся работа</w:t>
            </w:r>
            <w:r/>
          </w:p>
        </w:tc>
        <w:tc>
          <w:tcPr>
            <w:tcBorders>
              <w:top w:val="single" w:color="000000" w:sz="4" w:space="0"/>
              <w:left w:val="single" w:color="000000" w:sz="4" w:space="0"/>
              <w:bottom w:val="single" w:color="000000" w:sz="4" w:space="0"/>
            </w:tcBorders>
            <w:tcW w:w="1560" w:type="dxa"/>
            <w:textDirection w:val="lrTb"/>
            <w:noWrap w:val="false"/>
          </w:tcPr>
          <w:p>
            <w:pPr>
              <w:pStyle w:val="940"/>
              <w:jc w:val="center"/>
            </w:pPr>
            <w:r>
              <w:t xml:space="preserve">Часть 1</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940"/>
              <w:jc w:val="center"/>
            </w:pPr>
            <w:r>
              <w:t xml:space="preserve">Часть 2</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rPr>
                <w:rFonts w:eastAsia="TimesNewRomanPSMT;Times New Roman"/>
              </w:rPr>
            </w:pPr>
            <w:r>
              <w:rPr>
                <w:rFonts w:eastAsia="TimesNewRomanPSMT;Times New Roman"/>
              </w:rPr>
              <w:t xml:space="preserve">1. Знать/понимать смысл физических понятий, величин, законов, принципов, постулатов</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rPr>
                <w:bCs/>
              </w:rPr>
            </w:pPr>
            <w:r>
              <w:rPr>
                <w:bCs/>
              </w:rPr>
              <w:t xml:space="preserve">11</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rPr>
                <w:bCs/>
              </w:rPr>
            </w:pPr>
            <w:r>
              <w:rPr>
                <w:bCs/>
              </w:rPr>
              <w:t xml:space="preserve">11</w:t>
            </w:r>
            <w:r/>
          </w:p>
        </w:tc>
        <w:tc>
          <w:tcPr>
            <w:tcBorders>
              <w:top w:val="single" w:color="000000" w:sz="4" w:space="0"/>
              <w:left w:val="single" w:color="000000" w:sz="4" w:space="0"/>
              <w:bottom w:val="single" w:color="000000" w:sz="4" w:space="0"/>
              <w:right w:val="single" w:color="000000" w:sz="4" w:space="0"/>
            </w:tcBorders>
            <w:tcW w:w="1295" w:type="dxa"/>
            <w:vAlign w:val="center"/>
            <w:textDirection w:val="lrTb"/>
            <w:noWrap w:val="false"/>
          </w:tcPr>
          <w:p>
            <w:pPr>
              <w:pStyle w:val="940"/>
              <w:jc w:val="center"/>
              <w:rPr>
                <w:bCs/>
              </w:rPr>
            </w:pPr>
            <w:r>
              <w:rPr>
                <w:bCs/>
              </w:rPr>
              <w:t xml:space="preserve">-</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rPr>
                <w:rFonts w:eastAsia="TimesNewRomanPSMT;Times New Roman"/>
              </w:rPr>
            </w:pPr>
            <w:r>
              <w:rPr>
                <w:rFonts w:eastAsia="TimesNewRomanPSMT;Times New Roman"/>
              </w:rPr>
              <w:t xml:space="preserve">2. Уметь описывать и объяснять физические явления и свойства тел (включая космические объекты), результаты экспериментов, приводить примеры практического использования физических знаний</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right w:val="single" w:color="000000" w:sz="4" w:space="0"/>
            </w:tcBorders>
            <w:tcW w:w="1295" w:type="dxa"/>
            <w:vAlign w:val="center"/>
            <w:textDirection w:val="lrTb"/>
            <w:noWrap w:val="false"/>
          </w:tcPr>
          <w:p>
            <w:pPr>
              <w:pStyle w:val="940"/>
              <w:jc w:val="center"/>
            </w:pPr>
            <w:r>
              <w:t xml:space="preserve">-</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rPr>
                <w:rFonts w:eastAsia="TimesNewRomanPSMT;Times New Roman"/>
              </w:rPr>
            </w:pPr>
            <w:r>
              <w:rPr>
                <w:rFonts w:eastAsia="TimesNewRomanPSMT;Times New Roman"/>
              </w:rPr>
              <w:t xml:space="preserve">3. Отличать гипотезы от научной теории, делать выводы на основе эксперимента и т. д.</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right w:val="single" w:color="000000" w:sz="4" w:space="0"/>
            </w:tcBorders>
            <w:tcW w:w="1295" w:type="dxa"/>
            <w:vAlign w:val="center"/>
            <w:textDirection w:val="lrTb"/>
            <w:noWrap w:val="false"/>
          </w:tcPr>
          <w:p>
            <w:pPr>
              <w:pStyle w:val="940"/>
              <w:jc w:val="center"/>
            </w:pPr>
            <w:r>
              <w:t xml:space="preserve">-</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pPr>
            <w:r>
              <w:rPr>
                <w:rFonts w:eastAsia="TimesNewRomanPSMT;Times New Roman"/>
              </w:rPr>
              <w:t xml:space="preserve">4. Уметь применять полученные знания при решении физических задач</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right w:val="single" w:color="000000" w:sz="4" w:space="0"/>
            </w:tcBorders>
            <w:tcW w:w="1295" w:type="dxa"/>
            <w:vAlign w:val="center"/>
            <w:textDirection w:val="lrTb"/>
            <w:noWrap w:val="false"/>
          </w:tcPr>
          <w:p>
            <w:pPr>
              <w:pStyle w:val="940"/>
              <w:jc w:val="center"/>
            </w:pPr>
            <w:r>
              <w:t xml:space="preserve">8</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rPr>
                <w:rFonts w:eastAsia="TimesNewRomanPSMT;Times New Roman"/>
              </w:rPr>
            </w:pPr>
            <w:r>
              <w:rPr>
                <w:rFonts w:eastAsia="TimesNewRomanPSMT;Times New Roman"/>
              </w:rPr>
              <w:t xml:space="preserve">5. Использовать приобретенные знания и умения в практической деятельности и повседневной жизни</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pPr>
            <w:r>
              <w:t xml:space="preserve">0-1</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pPr>
            <w:r>
              <w:t xml:space="preserve">0-1</w:t>
            </w:r>
            <w:r/>
          </w:p>
        </w:tc>
        <w:tc>
          <w:tcPr>
            <w:tcBorders>
              <w:top w:val="single" w:color="000000" w:sz="4" w:space="0"/>
              <w:left w:val="single" w:color="000000" w:sz="4" w:space="0"/>
              <w:bottom w:val="single" w:color="000000" w:sz="4" w:space="0"/>
              <w:right w:val="single" w:color="000000" w:sz="4" w:space="0"/>
            </w:tcBorders>
            <w:tcW w:w="1295" w:type="dxa"/>
            <w:vAlign w:val="center"/>
            <w:textDirection w:val="lrTb"/>
            <w:noWrap w:val="false"/>
          </w:tcPr>
          <w:p>
            <w:pPr>
              <w:pStyle w:val="940"/>
              <w:jc w:val="center"/>
            </w:pPr>
            <w:r>
              <w:t xml:space="preserve">-</w:t>
            </w:r>
            <w:r/>
          </w:p>
        </w:tc>
      </w:tr>
      <w:tr>
        <w:trPr/>
        <w:tc>
          <w:tcPr>
            <w:tcBorders>
              <w:top w:val="single" w:color="000000" w:sz="4" w:space="0"/>
              <w:left w:val="single" w:color="000000" w:sz="4" w:space="0"/>
              <w:bottom w:val="single" w:color="000000" w:sz="4" w:space="0"/>
            </w:tcBorders>
            <w:tcW w:w="5387" w:type="dxa"/>
            <w:textDirection w:val="lrTb"/>
            <w:noWrap w:val="false"/>
          </w:tcPr>
          <w:p>
            <w:pPr>
              <w:pStyle w:val="940"/>
              <w:jc w:val="right"/>
              <w:rPr>
                <w:bCs/>
                <w:i/>
              </w:rPr>
            </w:pPr>
            <w:r>
              <w:rPr>
                <w:bCs/>
                <w:i/>
              </w:rPr>
              <w:t xml:space="preserve">Итого</w:t>
            </w:r>
            <w:r/>
          </w:p>
        </w:tc>
        <w:tc>
          <w:tcPr>
            <w:tcBorders>
              <w:top w:val="single" w:color="000000" w:sz="4" w:space="0"/>
              <w:left w:val="single" w:color="000000" w:sz="4" w:space="0"/>
              <w:bottom w:val="single" w:color="000000" w:sz="4" w:space="0"/>
            </w:tcBorders>
            <w:tcW w:w="1417" w:type="dxa"/>
            <w:textDirection w:val="lrTb"/>
            <w:noWrap w:val="false"/>
          </w:tcPr>
          <w:p>
            <w:pPr>
              <w:pStyle w:val="940"/>
              <w:jc w:val="center"/>
              <w:rPr>
                <w:bCs/>
                <w:i/>
              </w:rPr>
            </w:pPr>
            <w:r>
              <w:rPr>
                <w:bCs/>
                <w:i/>
              </w:rPr>
              <w:t xml:space="preserve">32</w:t>
            </w:r>
            <w:r/>
          </w:p>
        </w:tc>
        <w:tc>
          <w:tcPr>
            <w:tcBorders>
              <w:top w:val="single" w:color="000000" w:sz="4" w:space="0"/>
              <w:left w:val="single" w:color="000000" w:sz="4" w:space="0"/>
              <w:bottom w:val="single" w:color="000000" w:sz="4" w:space="0"/>
            </w:tcBorders>
            <w:tcW w:w="1560" w:type="dxa"/>
            <w:textDirection w:val="lrTb"/>
            <w:noWrap w:val="false"/>
          </w:tcPr>
          <w:p>
            <w:pPr>
              <w:pStyle w:val="940"/>
              <w:jc w:val="center"/>
              <w:rPr>
                <w:bCs/>
                <w:i/>
              </w:rPr>
            </w:pPr>
            <w:r>
              <w:rPr>
                <w:bCs/>
                <w:i/>
              </w:rPr>
              <w:t xml:space="preserve">24</w:t>
            </w:r>
            <w:r/>
          </w:p>
        </w:tc>
        <w:tc>
          <w:tcPr>
            <w:tcBorders>
              <w:top w:val="single" w:color="000000" w:sz="4" w:space="0"/>
              <w:left w:val="single" w:color="000000" w:sz="4" w:space="0"/>
              <w:bottom w:val="single" w:color="000000" w:sz="4" w:space="0"/>
              <w:right w:val="single" w:color="000000" w:sz="4" w:space="0"/>
            </w:tcBorders>
            <w:tcW w:w="1295" w:type="dxa"/>
            <w:textDirection w:val="lrTb"/>
            <w:noWrap w:val="false"/>
          </w:tcPr>
          <w:p>
            <w:pPr>
              <w:pStyle w:val="940"/>
              <w:jc w:val="center"/>
              <w:rPr>
                <w:bCs/>
                <w:i/>
              </w:rPr>
            </w:pPr>
            <w:r>
              <w:rPr>
                <w:bCs/>
                <w:i/>
              </w:rPr>
              <w:t xml:space="preserve">8</w:t>
            </w:r>
            <w:r/>
          </w:p>
        </w:tc>
      </w:tr>
    </w:tbl>
    <w:p>
      <w:pPr>
        <w:pStyle w:val="940"/>
        <w:jc w:val="both"/>
      </w:pPr>
      <w:r/>
      <w:r/>
    </w:p>
    <w:p>
      <w:pPr>
        <w:pStyle w:val="940"/>
        <w:ind w:firstLine="708"/>
        <w:jc w:val="both"/>
      </w:pPr>
      <w:r>
        <w:t xml:space="preserve">В КИМ представлены задания разного уровня сложности: базового, повышенного и высокого.</w:t>
      </w:r>
      <w:r/>
    </w:p>
    <w:p>
      <w:pPr>
        <w:pStyle w:val="940"/>
        <w:ind w:firstLine="708"/>
        <w:jc w:val="both"/>
      </w:p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410"/>
        <w:gridCol w:w="2268"/>
        <w:gridCol w:w="2126"/>
        <w:gridCol w:w="2855"/>
      </w:tblGrid>
      <w:tr>
        <w:trPr/>
        <w:tc>
          <w:tcPr>
            <w:gridSpan w:val="4"/>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b/>
                <w:bCs/>
              </w:rPr>
            </w:pPr>
            <w:r>
              <w:rPr>
                <w:b/>
                <w:bCs/>
              </w:rPr>
              <w:t xml:space="preserve">Распределение заданий по уровню сложности</w:t>
            </w:r>
            <w:r/>
          </w:p>
        </w:tc>
      </w:tr>
      <w:tr>
        <w:trPr/>
        <w:tc>
          <w:tcPr>
            <w:tcBorders>
              <w:top w:val="single" w:color="000000" w:sz="4" w:space="0"/>
              <w:left w:val="single" w:color="000000" w:sz="4" w:space="0"/>
              <w:bottom w:val="single" w:color="000000" w:sz="4" w:space="0"/>
            </w:tcBorders>
            <w:tcW w:w="2410" w:type="dxa"/>
            <w:textDirection w:val="lrTb"/>
            <w:noWrap w:val="false"/>
          </w:tcPr>
          <w:p>
            <w:pPr>
              <w:pStyle w:val="940"/>
            </w:pPr>
            <w:r>
              <w:t xml:space="preserve">Уровень сложности</w:t>
            </w:r>
            <w:r/>
          </w:p>
        </w:tc>
        <w:tc>
          <w:tcPr>
            <w:tcBorders>
              <w:top w:val="single" w:color="000000" w:sz="4" w:space="0"/>
              <w:left w:val="single" w:color="000000" w:sz="4" w:space="0"/>
              <w:bottom w:val="single" w:color="000000" w:sz="4" w:space="0"/>
            </w:tcBorders>
            <w:tcW w:w="2268" w:type="dxa"/>
            <w:textDirection w:val="lrTb"/>
            <w:noWrap w:val="false"/>
          </w:tcPr>
          <w:p>
            <w:pPr>
              <w:pStyle w:val="940"/>
            </w:pPr>
            <w:r>
              <w:t xml:space="preserve">Количество заданий</w:t>
            </w:r>
            <w:r/>
          </w:p>
        </w:tc>
        <w:tc>
          <w:tcPr>
            <w:tcBorders>
              <w:top w:val="single" w:color="000000" w:sz="4" w:space="0"/>
              <w:left w:val="single" w:color="000000" w:sz="4" w:space="0"/>
              <w:bottom w:val="single" w:color="000000" w:sz="4" w:space="0"/>
            </w:tcBorders>
            <w:tcW w:w="2126" w:type="dxa"/>
            <w:textDirection w:val="lrTb"/>
            <w:noWrap w:val="false"/>
          </w:tcPr>
          <w:p>
            <w:pPr>
              <w:pStyle w:val="940"/>
            </w:pPr>
            <w:r>
              <w:t xml:space="preserve">Максимальный первичный балл</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pPr>
            <w:r>
              <w:t xml:space="preserve">% максимального первичного балла за задания данного уровня сложности от максимального первичного балла за всю работу, равного 53</w:t>
            </w:r>
            <w:r/>
          </w:p>
        </w:tc>
      </w:tr>
      <w:tr>
        <w:trPr/>
        <w:tc>
          <w:tcPr>
            <w:tcBorders>
              <w:top w:val="single" w:color="000000" w:sz="4" w:space="0"/>
              <w:left w:val="single" w:color="000000" w:sz="4" w:space="0"/>
              <w:bottom w:val="single" w:color="000000" w:sz="4" w:space="0"/>
            </w:tcBorders>
            <w:tcW w:w="2410" w:type="dxa"/>
            <w:textDirection w:val="lrTb"/>
            <w:noWrap w:val="false"/>
          </w:tcPr>
          <w:p>
            <w:pPr>
              <w:pStyle w:val="940"/>
            </w:pPr>
            <w:r>
              <w:t xml:space="preserve">Базовый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28</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center"/>
            </w:pPr>
            <w:r>
              <w:t xml:space="preserve">53</w:t>
            </w:r>
            <w:r/>
          </w:p>
        </w:tc>
      </w:tr>
      <w:tr>
        <w:trPr/>
        <w:tc>
          <w:tcPr>
            <w:tcBorders>
              <w:top w:val="single" w:color="000000" w:sz="4" w:space="0"/>
              <w:left w:val="single" w:color="000000" w:sz="4" w:space="0"/>
              <w:bottom w:val="single" w:color="000000" w:sz="4" w:space="0"/>
            </w:tcBorders>
            <w:tcW w:w="2410" w:type="dxa"/>
            <w:textDirection w:val="lrTb"/>
            <w:noWrap w:val="false"/>
          </w:tcPr>
          <w:p>
            <w:pPr>
              <w:pStyle w:val="940"/>
            </w:pPr>
            <w:r>
              <w:t xml:space="preserve">Повышенный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center"/>
            </w:pPr>
            <w:r>
              <w:t xml:space="preserve">24</w:t>
            </w:r>
            <w:r/>
          </w:p>
        </w:tc>
      </w:tr>
      <w:tr>
        <w:trPr/>
        <w:tc>
          <w:tcPr>
            <w:tcBorders>
              <w:top w:val="single" w:color="000000" w:sz="4" w:space="0"/>
              <w:left w:val="single" w:color="000000" w:sz="4" w:space="0"/>
              <w:bottom w:val="single" w:color="000000" w:sz="4" w:space="0"/>
            </w:tcBorders>
            <w:tcW w:w="2410" w:type="dxa"/>
            <w:textDirection w:val="lrTb"/>
            <w:noWrap w:val="false"/>
          </w:tcPr>
          <w:p>
            <w:pPr>
              <w:pStyle w:val="940"/>
            </w:pPr>
            <w:r>
              <w:t xml:space="preserve">Высокий</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center"/>
            </w:pPr>
            <w:r>
              <w:t xml:space="preserve">23</w:t>
            </w:r>
            <w:r/>
          </w:p>
        </w:tc>
      </w:tr>
      <w:tr>
        <w:trPr/>
        <w:tc>
          <w:tcPr>
            <w:tcBorders>
              <w:top w:val="single" w:color="000000" w:sz="4" w:space="0"/>
              <w:left w:val="single" w:color="000000" w:sz="4" w:space="0"/>
              <w:bottom w:val="single" w:color="000000" w:sz="4" w:space="0"/>
            </w:tcBorders>
            <w:tcW w:w="2410" w:type="dxa"/>
            <w:textDirection w:val="lrTb"/>
            <w:noWrap w:val="false"/>
          </w:tcPr>
          <w:p>
            <w:pPr>
              <w:pStyle w:val="940"/>
              <w:jc w:val="right"/>
              <w:rPr>
                <w:bCs/>
                <w:i/>
              </w:rPr>
            </w:pPr>
            <w:r>
              <w:rPr>
                <w:bCs/>
                <w:i/>
              </w:rPr>
              <w:t xml:space="preserve">Итого</w:t>
            </w:r>
            <w:r/>
          </w:p>
        </w:tc>
        <w:tc>
          <w:tcPr>
            <w:tcBorders>
              <w:top w:val="single" w:color="000000" w:sz="4" w:space="0"/>
              <w:left w:val="single" w:color="000000" w:sz="4" w:space="0"/>
              <w:bottom w:val="single" w:color="000000" w:sz="4" w:space="0"/>
            </w:tcBorders>
            <w:tcW w:w="2268" w:type="dxa"/>
            <w:textDirection w:val="lrTb"/>
            <w:noWrap w:val="false"/>
          </w:tcPr>
          <w:p>
            <w:pPr>
              <w:pStyle w:val="940"/>
              <w:jc w:val="center"/>
              <w:rPr>
                <w:bCs/>
                <w:i/>
              </w:rPr>
            </w:pPr>
            <w:r>
              <w:rPr>
                <w:bCs/>
                <w:i/>
              </w:rPr>
              <w:t xml:space="preserve">32</w:t>
            </w:r>
            <w:r/>
          </w:p>
        </w:tc>
        <w:tc>
          <w:tcPr>
            <w:tcBorders>
              <w:top w:val="single" w:color="000000" w:sz="4" w:space="0"/>
              <w:left w:val="single" w:color="000000" w:sz="4" w:space="0"/>
              <w:bottom w:val="single" w:color="000000" w:sz="4" w:space="0"/>
            </w:tcBorders>
            <w:tcW w:w="2126" w:type="dxa"/>
            <w:textDirection w:val="lrTb"/>
            <w:noWrap w:val="false"/>
          </w:tcPr>
          <w:p>
            <w:pPr>
              <w:pStyle w:val="940"/>
              <w:jc w:val="center"/>
              <w:rPr>
                <w:bCs/>
                <w:i/>
              </w:rPr>
            </w:pPr>
            <w:r>
              <w:rPr>
                <w:bCs/>
                <w:i/>
              </w:rPr>
              <w:t xml:space="preserve">53</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center"/>
              <w:rPr>
                <w:bCs/>
                <w:i/>
              </w:rPr>
            </w:pPr>
            <w:r>
              <w:rPr>
                <w:bCs/>
                <w:i/>
              </w:rPr>
              <w:t xml:space="preserve">100</w:t>
            </w:r>
            <w:r/>
          </w:p>
        </w:tc>
      </w:tr>
    </w:tbl>
    <w:p>
      <w:pPr>
        <w:pStyle w:val="940"/>
        <w:jc w:val="both"/>
      </w:pPr>
      <w:r/>
      <w:r/>
    </w:p>
    <w:p>
      <w:pPr>
        <w:pStyle w:val="940"/>
        <w:ind w:firstLine="708"/>
        <w:jc w:val="both"/>
      </w:pPr>
      <w:r>
        <w:t xml:space="preserve">Задания базового уровня включены в часть 1 работы (21 задание с кратким ответом, из которых 13 заданий </w:t>
      </w:r>
      <w:r>
        <w:t xml:space="preserve">с записью ответа в виде числа или слова и 8 заданий с записью ответа в виде последовательности цифр). Это простые задания, проверяющие усвоение наиболее важных физических понятий, моделей, явлений и законов, а также знаний о свойствах космических объектов.</w:t>
      </w:r>
      <w:r/>
    </w:p>
    <w:p>
      <w:pPr>
        <w:pStyle w:val="940"/>
        <w:ind w:firstLine="708"/>
        <w:jc w:val="both"/>
      </w:pPr>
      <w:r>
        <w:t xml:space="preserve">Задания повышенного уровня распределены между частями 1 и 2 экзаменационной работы: 3 задания с кратким ответом в части 1, 2 задания с кратким ответом и 2 задания с развёрнутым о</w:t>
      </w:r>
      <w:r>
        <w:t xml:space="preserve">тветом в части 2. Эти задания направлены на проверку умения использовать понятия и законы физики для анализа различных процессов и явлений, а также умения решать задачи на применение одного-двух законов (формул) по какой-либо из тем школьного курса физики.</w:t>
      </w:r>
      <w:r/>
    </w:p>
    <w:p>
      <w:pPr>
        <w:pStyle w:val="940"/>
        <w:ind w:firstLine="708"/>
        <w:jc w:val="both"/>
      </w:pPr>
      <w:r>
        <w:t xml:space="preserve">Четыре задания части 2 являются заданиями высокого уровня сложности и проверяют умение использовать законы и теории физики в изменённой или новой ситуации. Выполнение таких заданий</w:t>
      </w:r>
      <w:r>
        <w:t xml:space="preserve"> требует применения знаний сразу из двух-трёх разделов физики, т.е. высокого уровня подготовки. Включение в часть 2 работы сложных заданий разной трудности позволяет дифференцировать учащихся при отборе в вузы с различными требованиями к уровню подготовки.</w:t>
      </w:r>
      <w:r/>
    </w:p>
    <w:p>
      <w:pPr>
        <w:pStyle w:val="940"/>
        <w:numPr>
          <w:ilvl w:val="1"/>
          <w:numId w:val="42"/>
        </w:numPr>
        <w:ind w:left="0" w:firstLine="0"/>
        <w:keepLines/>
        <w:keepNext/>
        <w:spacing w:before="200" w:after="0"/>
        <w:rPr>
          <w:rFonts w:eastAsia="SimSun;宋体"/>
          <w:b/>
          <w:bCs/>
          <w:sz w:val="28"/>
          <w:lang w:val="en-US"/>
        </w:rPr>
      </w:pPr>
      <w:r>
        <w:rPr>
          <w:rFonts w:eastAsia="SimSun;宋体"/>
          <w:b/>
          <w:bCs/>
          <w:sz w:val="28"/>
          <w:lang w:val="en-US"/>
        </w:rPr>
        <w:t xml:space="preserve">Анализ выполнения заданий КИМ</w:t>
      </w:r>
      <w:r/>
    </w:p>
    <w:p>
      <w:pPr>
        <w:pStyle w:val="940"/>
        <w:numPr>
          <w:ilvl w:val="2"/>
          <w:numId w:val="42"/>
        </w:numPr>
        <w:ind w:left="567" w:firstLine="0"/>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contextualSpacing/>
        <w:jc w:val="both"/>
        <w:spacing w:before="0" w:after="0"/>
        <w:rPr>
          <w:rFonts w:eastAsia="SimSun;宋体"/>
          <w:i/>
          <w:iCs/>
          <w:sz w:val="28"/>
          <w:lang w:val="en-US"/>
        </w:rPr>
      </w:pPr>
      <w:r>
        <w:rPr>
          <w:rFonts w:eastAsia="SimSun;宋体"/>
          <w:i/>
          <w:iCs/>
          <w:sz w:val="28"/>
          <w:lang w:val="en-US"/>
        </w:rPr>
      </w:r>
      <w:r/>
    </w:p>
    <w:p>
      <w:pPr>
        <w:pStyle w:val="940"/>
        <w:jc w:val="right"/>
        <w:keepNext/>
        <w:spacing w:before="0" w:after="200"/>
        <w:rPr>
          <w:bCs/>
          <w:i/>
          <w:sz w:val="18"/>
          <w:szCs w:val="18"/>
          <w:lang w:val="en-US"/>
        </w:rPr>
      </w:pPr>
      <w:r>
        <w:rPr>
          <w:bCs/>
          <w:i/>
          <w:sz w:val="18"/>
          <w:szCs w:val="18"/>
          <w:lang w:val="en-US"/>
        </w:rPr>
        <w:t xml:space="preserve">Таблица 2-13</w:t>
      </w:r>
      <w:r/>
    </w:p>
    <w:tbl>
      <w:tblPr>
        <w:tblW w:w="9679" w:type="dxa"/>
        <w:tblInd w:w="26" w:type="dxa"/>
        <w:tblLayout w:type="fixed"/>
        <w:tblCellMar>
          <w:left w:w="57" w:type="dxa"/>
          <w:top w:w="0" w:type="dxa"/>
          <w:right w:w="57" w:type="dxa"/>
          <w:bottom w:w="0" w:type="dxa"/>
        </w:tblCellMar>
        <w:tblLook w:val="04A0" w:firstRow="1" w:lastRow="0" w:firstColumn="1" w:lastColumn="0" w:noHBand="0" w:noVBand="1"/>
      </w:tblPr>
      <w:tblGrid>
        <w:gridCol w:w="993"/>
        <w:gridCol w:w="2409"/>
        <w:gridCol w:w="993"/>
        <w:gridCol w:w="1134"/>
        <w:gridCol w:w="1275"/>
        <w:gridCol w:w="993"/>
        <w:gridCol w:w="850"/>
        <w:gridCol w:w="1032"/>
      </w:tblGrid>
      <w:tr>
        <w:trPr>
          <w:cantSplit/>
          <w:trHeight w:val="313"/>
          <w:tblHeader/>
        </w:trPr>
        <w:tc>
          <w:tcPr>
            <w:tcBorders>
              <w:top w:val="single" w:color="000000" w:sz="8" w:space="0"/>
              <w:left w:val="single" w:color="000000" w:sz="8" w:space="0"/>
            </w:tcBorders>
            <w:tcW w:w="993"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2409" w:type="dxa"/>
            <w:vAlign w:val="center"/>
            <w:vMerge w:val="restart"/>
            <w:textDirection w:val="lrTb"/>
            <w:noWrap w:val="false"/>
          </w:tcPr>
          <w:p>
            <w:pPr>
              <w:pStyle w:val="940"/>
              <w:jc w:val="center"/>
              <w:rPr>
                <w:bCs/>
              </w:rPr>
            </w:pPr>
            <w:r>
              <w:rPr>
                <w:bCs/>
              </w:rPr>
              <w:t xml:space="preserve">Проверяемые элементы содержания / умения (см. таб. 3-2)</w:t>
            </w:r>
            <w:r/>
          </w:p>
        </w:tc>
        <w:tc>
          <w:tcPr>
            <w:tcBorders>
              <w:top w:val="single" w:color="000000" w:sz="8" w:space="0"/>
              <w:left w:val="single" w:color="000000" w:sz="8" w:space="0"/>
            </w:tcBorders>
            <w:tcW w:w="993"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5284" w:type="dxa"/>
            <w:textDirection w:val="lrTb"/>
            <w:noWrap w:val="false"/>
          </w:tcPr>
          <w:p>
            <w:pPr>
              <w:pStyle w:val="940"/>
              <w:jc w:val="center"/>
            </w:pPr>
            <w:r>
              <w:t xml:space="preserve">Процент выполнения задания в субъекте Российской Федерации</w:t>
            </w:r>
            <w:r/>
          </w:p>
        </w:tc>
      </w:tr>
      <w:tr>
        <w:trPr>
          <w:cantSplit/>
          <w:trHeight w:val="635"/>
          <w:tblHeader/>
        </w:trPr>
        <w:tc>
          <w:tcPr>
            <w:tcBorders>
              <w:top w:val="single" w:color="000000" w:sz="8" w:space="0"/>
              <w:left w:val="single" w:color="000000" w:sz="8" w:space="0"/>
            </w:tcBorders>
            <w:tcW w:w="993"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240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993"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sz w:val="18"/>
              </w:rPr>
            </w:pPr>
            <w:r>
              <w:rPr>
                <w:sz w:val="18"/>
              </w:rPr>
              <w:t xml:space="preserve">средний</w:t>
            </w:r>
            <w:r/>
          </w:p>
        </w:tc>
        <w:tc>
          <w:tcPr>
            <w:tcBorders>
              <w:top w:val="single" w:color="000000" w:sz="8" w:space="0"/>
              <w:left w:val="single" w:color="000000" w:sz="8" w:space="0"/>
              <w:bottom w:val="single" w:color="000000" w:sz="8" w:space="0"/>
            </w:tcBorders>
            <w:tcW w:w="1275" w:type="dxa"/>
            <w:textDirection w:val="lrTb"/>
            <w:noWrap w:val="false"/>
          </w:tcPr>
          <w:p>
            <w:pPr>
              <w:pStyle w:val="940"/>
              <w:jc w:val="center"/>
              <w:rPr>
                <w:bCs/>
                <w:sz w:val="18"/>
              </w:rPr>
            </w:pPr>
            <w:r>
              <w:rPr>
                <w:bCs/>
                <w:sz w:val="18"/>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bCs/>
                <w:sz w:val="18"/>
              </w:rPr>
            </w:pPr>
            <w:r>
              <w:rPr>
                <w:bCs/>
                <w:sz w:val="18"/>
              </w:rPr>
              <w:t xml:space="preserve">в группе от минимального до 60 т.б.</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bCs/>
                <w:sz w:val="18"/>
              </w:rPr>
            </w:pPr>
            <w:r>
              <w:rPr>
                <w:bCs/>
                <w:sz w:val="18"/>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bCs/>
                <w:sz w:val="18"/>
              </w:rPr>
            </w:pPr>
            <w:r>
              <w:rPr>
                <w:bCs/>
                <w:sz w:val="18"/>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Равноускоренное прямолинейное движение (график)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71,65</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13,54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72,84</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97,83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iCs/>
                <w:sz w:val="22"/>
                <w:szCs w:val="22"/>
              </w:rPr>
              <w:t xml:space="preserve">Закон всемирного тяготения</w:t>
            </w:r>
            <w:r>
              <w:rPr>
                <w:rFonts w:eastAsia="TimesNewRomanPSMT;Times New Roman"/>
                <w:sz w:val="22"/>
                <w:szCs w:val="22"/>
              </w:rPr>
              <w:t xml:space="preserve">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63,53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10,42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61,57</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98,55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Закон </w:t>
            </w:r>
            <w:r>
              <w:rPr>
                <w:rFonts w:eastAsia="TimesNewRomanPSMT;Times New Roman"/>
                <w:iCs/>
                <w:sz w:val="22"/>
                <w:szCs w:val="22"/>
              </w:rPr>
              <w:t xml:space="preserve">сохранения механической энергии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83,87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35,42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86,88</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98,55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Условие равновесия твердого тела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64,07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16,67</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63,12</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90,58</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5</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Динамика (</w:t>
            </w:r>
            <w:r>
              <w:rPr>
                <w:rFonts w:eastAsia="TimesNewRomanPSMT;Times New Roman"/>
                <w:i/>
                <w:iCs/>
                <w:sz w:val="22"/>
                <w:szCs w:val="22"/>
              </w:rPr>
              <w:t xml:space="preserve">объяснение явлений, интерпретация результатов опытов, представленных в виде таблицы</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47,51</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28,65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45,06</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61,23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83,33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Условие плавания тела (</w:t>
            </w:r>
            <w:r>
              <w:rPr>
                <w:rFonts w:eastAsia="TimesNewRomanPSMT;Times New Roman"/>
                <w:i/>
                <w:iCs/>
                <w:sz w:val="22"/>
                <w:szCs w:val="22"/>
              </w:rPr>
              <w:t xml:space="preserve">изменение физических величин в процессах</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62,23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34,38</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61,19</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77,54</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91,67</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7</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pPr>
            <w:r>
              <w:rPr>
                <w:rFonts w:eastAsia="TimesNewRomanPSMT;Times New Roman"/>
                <w:sz w:val="22"/>
                <w:szCs w:val="22"/>
              </w:rPr>
              <w:t xml:space="preserve">Механика (кинематика) (</w:t>
            </w:r>
            <w:r>
              <w:rPr>
                <w:rFonts w:eastAsia="TimesNewRomanPSMT;Times New Roman"/>
                <w:i/>
                <w:iCs/>
                <w:sz w:val="22"/>
                <w:szCs w:val="22"/>
              </w:rPr>
              <w:t xml:space="preserve">установление соответствия между </w:t>
            </w:r>
            <w:r>
              <w:rPr>
                <w:i/>
                <w:iCs/>
                <w:sz w:val="22"/>
                <w:szCs w:val="22"/>
              </w:rPr>
              <w:t xml:space="preserve">графиками и физическими величинами</w:t>
            </w:r>
            <w:r>
              <w:rPr>
                <w:rFonts w:eastAsia="TimesNewRomanPSMT;Times New Roman"/>
                <w:sz w:val="22"/>
                <w:szCs w:val="22"/>
              </w:rPr>
              <w:t xml:space="preserve">)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47,94</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18,23</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41,20</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85,51</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96,43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8</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Уравнение Менделеева-Клапейрона, изопроцессы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60,93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10,42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58,33</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97,10</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97,62</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9</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iCs/>
                <w:sz w:val="22"/>
                <w:szCs w:val="22"/>
              </w:rPr>
            </w:pPr>
            <w:r>
              <w:rPr>
                <w:rFonts w:eastAsia="TimesNewRomanPSMT;Times New Roman"/>
                <w:iCs/>
                <w:sz w:val="22"/>
                <w:szCs w:val="22"/>
              </w:rPr>
              <w:t xml:space="preserve">КПД тепловой машины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76,84</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28,13</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78,24</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97,10</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10</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iCs/>
                <w:sz w:val="22"/>
                <w:szCs w:val="22"/>
              </w:rPr>
            </w:pPr>
            <w:r>
              <w:rPr>
                <w:rFonts w:eastAsia="TimesNewRomanPSMT;Times New Roman"/>
                <w:iCs/>
                <w:sz w:val="22"/>
                <w:szCs w:val="22"/>
              </w:rPr>
              <w:t xml:space="preserve">Относительная влажность воздуха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49,03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10,42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46,91</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72,46</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92,86</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11</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pPr>
            <w:r>
              <w:rPr>
                <w:rFonts w:eastAsia="TimesNewRomanPSMT;Times New Roman"/>
                <w:sz w:val="22"/>
                <w:szCs w:val="22"/>
              </w:rPr>
              <w:t xml:space="preserve">МКТ (</w:t>
            </w:r>
            <w:r>
              <w:rPr>
                <w:i/>
                <w:iCs/>
                <w:sz w:val="22"/>
                <w:szCs w:val="22"/>
              </w:rPr>
              <w:t xml:space="preserve">интерпретация результатов опытов, представленных в виде графиков</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69,05</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42,71</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66,05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92,03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12</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Термодинамика (</w:t>
            </w:r>
            <w:r>
              <w:rPr>
                <w:rFonts w:eastAsia="TimesNewRomanPSMT;Times New Roman"/>
                <w:i/>
                <w:iCs/>
                <w:sz w:val="22"/>
                <w:szCs w:val="22"/>
              </w:rPr>
              <w:t xml:space="preserve">установление соответствия между графиками и физическими величинами</w:t>
            </w:r>
            <w:r>
              <w:rPr>
                <w:rFonts w:eastAsia="TimesNewRomanPSMT;Times New Roman"/>
                <w:sz w:val="22"/>
                <w:szCs w:val="22"/>
              </w:rPr>
              <w:t xml:space="preserve">)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66,72</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26,04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64,51</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95,65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98,81</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13</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Сила Лоренца </w:t>
            </w:r>
            <w:r>
              <w:rPr>
                <w:rFonts w:eastAsia="TimesNewRomanPSMT;Times New Roman"/>
                <w:i/>
                <w:iCs/>
                <w:sz w:val="22"/>
                <w:szCs w:val="22"/>
              </w:rPr>
              <w:t xml:space="preserve">(определение направления)</w:t>
            </w:r>
            <w:r>
              <w:rPr>
                <w:rFonts w:eastAsia="TimesNewRomanPSMT;Times New Roman"/>
                <w:sz w:val="22"/>
                <w:szCs w:val="22"/>
              </w:rPr>
              <w:t xml:space="preserve">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61,47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11,46</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60,19</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90,58</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14</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Закон Кулона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45,02</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5,21</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37,35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92,03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15</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Ход лучей в линзе / 1,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63,74</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18,75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63,27</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87,68</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95,24</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16</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Электродинамика (</w:t>
            </w:r>
            <w:r>
              <w:rPr>
                <w:rFonts w:eastAsia="TimesNewRomanPSMT;Times New Roman"/>
                <w:i/>
                <w:iCs/>
                <w:sz w:val="22"/>
                <w:szCs w:val="22"/>
              </w:rPr>
              <w:t xml:space="preserve">объяснение явлений</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62,23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36,98</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58,49</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86,96</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96,43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17</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Электродинамика (</w:t>
            </w:r>
            <w:r>
              <w:rPr>
                <w:rFonts w:eastAsia="TimesNewRomanPSMT;Times New Roman"/>
                <w:i/>
                <w:iCs/>
                <w:sz w:val="22"/>
                <w:szCs w:val="22"/>
              </w:rPr>
              <w:t xml:space="preserve">изменение физических величин в процессах</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46,37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29,69</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40,82</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71,01</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89,29</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18</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Электродинамика (</w:t>
            </w:r>
            <w:r>
              <w:rPr>
                <w:rFonts w:eastAsia="TimesNewRomanPSMT;Times New Roman"/>
                <w:i/>
                <w:iCs/>
                <w:sz w:val="22"/>
                <w:szCs w:val="22"/>
              </w:rPr>
              <w:t xml:space="preserve">установление соответствия между физическими величинами и формулами</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36,96</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16,67</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31,40</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63,04</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83,33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19</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iCs/>
                <w:sz w:val="22"/>
                <w:szCs w:val="22"/>
              </w:rPr>
            </w:pPr>
            <w:r>
              <w:rPr>
                <w:rFonts w:eastAsia="TimesNewRomanPSMT;Times New Roman"/>
                <w:iCs/>
                <w:sz w:val="22"/>
                <w:szCs w:val="22"/>
              </w:rPr>
              <w:t xml:space="preserve">Нуклонная модель ядра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41,34</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11,46</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37,65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65,94</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85,71</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20</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iCs/>
                <w:sz w:val="22"/>
                <w:szCs w:val="22"/>
              </w:rPr>
            </w:pPr>
            <w:r>
              <w:rPr>
                <w:rFonts w:eastAsia="TimesNewRomanPSMT;Times New Roman"/>
                <w:iCs/>
                <w:sz w:val="22"/>
                <w:szCs w:val="22"/>
              </w:rPr>
              <w:t xml:space="preserve">Фотоны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62,77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18,75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61,27</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90,58</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95,24</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21</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Квантовая физика (фотоэффект) (</w:t>
            </w:r>
            <w:r>
              <w:rPr>
                <w:rFonts w:eastAsia="TimesNewRomanPSMT;Times New Roman"/>
                <w:i/>
                <w:iCs/>
                <w:sz w:val="22"/>
                <w:szCs w:val="22"/>
              </w:rPr>
              <w:t xml:space="preserve">изменение физических величин в процессах</w:t>
            </w:r>
            <w:r>
              <w:rPr>
                <w:rFonts w:eastAsia="TimesNewRomanPSMT;Times New Roman"/>
                <w:sz w:val="22"/>
                <w:szCs w:val="22"/>
              </w:rPr>
              <w:t xml:space="preserve">)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53,57</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33,85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48,07</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80,43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95,24</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22</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Показания вольтметра (</w:t>
            </w:r>
            <w:r>
              <w:rPr>
                <w:rFonts w:eastAsia="TimesNewRomanPSMT;Times New Roman"/>
                <w:i/>
                <w:iCs/>
                <w:sz w:val="22"/>
                <w:szCs w:val="22"/>
              </w:rPr>
              <w:t xml:space="preserve">методы научного познания)</w:t>
            </w:r>
            <w:r>
              <w:rPr>
                <w:rFonts w:eastAsia="TimesNewRomanPSMT;Times New Roman"/>
                <w:sz w:val="22"/>
                <w:szCs w:val="22"/>
              </w:rPr>
              <w:t xml:space="preserve"> / 3</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59,20</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9,38</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57,25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91,30</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97,62</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23</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Колебательный контур (</w:t>
            </w:r>
            <w:r>
              <w:rPr>
                <w:rFonts w:eastAsia="TimesNewRomanPSMT;Times New Roman"/>
                <w:i/>
                <w:iCs/>
                <w:sz w:val="22"/>
                <w:szCs w:val="22"/>
              </w:rPr>
              <w:t xml:space="preserve">методы научного познания) </w:t>
            </w:r>
            <w:r>
              <w:rPr>
                <w:rFonts w:eastAsia="TimesNewRomanPSMT;Times New Roman"/>
                <w:sz w:val="22"/>
                <w:szCs w:val="22"/>
              </w:rPr>
              <w:t xml:space="preserve">/ 3</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69,48</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16,67</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69,75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95,65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100,00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24</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rFonts w:eastAsia="TimesNewRomanPSMT;Times New Roman"/>
                <w:sz w:val="22"/>
                <w:szCs w:val="22"/>
              </w:rPr>
            </w:pPr>
            <w:r>
              <w:rPr>
                <w:rFonts w:eastAsia="TimesNewRomanPSMT;Times New Roman"/>
                <w:sz w:val="22"/>
                <w:szCs w:val="22"/>
              </w:rPr>
              <w:t xml:space="preserve">Звезды / 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Б</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50,65</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27,08</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47,45</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70,65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88,10</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25</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Тепловой баланс </w:t>
            </w:r>
            <w:r>
              <w:rPr>
                <w:rFonts w:eastAsia="TimesNewRomanPSMT;Times New Roman"/>
                <w:i/>
                <w:iCs/>
                <w:sz w:val="22"/>
                <w:szCs w:val="22"/>
              </w:rPr>
              <w:t xml:space="preserve">(расчетная задача</w:t>
            </w:r>
            <w:r>
              <w:rPr>
                <w:rFonts w:eastAsia="TimesNewRomanPSMT;Times New Roman"/>
                <w:sz w:val="22"/>
                <w:szCs w:val="22"/>
              </w:rPr>
              <w:t xml:space="preserve">)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18,40</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1,04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8,18</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56,52</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90,48</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26</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pPr>
            <w:r>
              <w:rPr>
                <w:rFonts w:eastAsia="TimesNewRomanPSMT;Times New Roman"/>
                <w:sz w:val="22"/>
                <w:szCs w:val="22"/>
              </w:rPr>
              <w:t xml:space="preserve">Волновая оптика (</w:t>
            </w:r>
            <w:r>
              <w:rPr>
                <w:rFonts w:eastAsia="TimesNewRomanPSMT;Times New Roman"/>
                <w:i/>
                <w:iCs/>
                <w:sz w:val="22"/>
                <w:szCs w:val="22"/>
              </w:rPr>
              <w:t xml:space="preserve">расчетная задача</w:t>
            </w:r>
            <w:r>
              <w:rPr>
                <w:rFonts w:eastAsia="TimesNewRomanPSMT;Times New Roman"/>
                <w:sz w:val="22"/>
                <w:szCs w:val="22"/>
              </w:rPr>
              <w:t xml:space="preserve">)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29,76</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3,13</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20,68</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71,01</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95,24</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27</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Качественная задача на движение частицы в электрическом и магнитном полях / 4, 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11,83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0,35</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2,98</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35,75</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96,03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28</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Расчетная задача по кинематике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П</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31,28</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0,52</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20,68</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82,61</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96,43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29</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Расчетная задача по динамике (условие равновесия тела)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В</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11,65</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2,47</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41,06</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83,33</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30</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Расчетная задача по газовым законам и влажности воздуха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В</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4,22</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0,93</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11,11</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42,06</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31</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Расчетная задача на законы постоянного тока / 4</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В</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19,73</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8,44</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64,49</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92,06</w:t>
            </w:r>
            <w:r/>
          </w:p>
        </w:tc>
      </w:tr>
      <w:tr>
        <w:trPr>
          <w:cantSplit/>
          <w:trHeight w:val="309"/>
        </w:trPr>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32</w:t>
            </w:r>
            <w:r/>
          </w:p>
        </w:tc>
        <w:tc>
          <w:tcPr>
            <w:tcBorders>
              <w:top w:val="single" w:color="000000" w:sz="8" w:space="0"/>
              <w:left w:val="single" w:color="000000" w:sz="8" w:space="0"/>
              <w:bottom w:val="single" w:color="000000" w:sz="8" w:space="0"/>
            </w:tcBorders>
            <w:tcW w:w="2409" w:type="dxa"/>
            <w:vAlign w:val="center"/>
            <w:textDirection w:val="lrTb"/>
            <w:noWrap w:val="false"/>
          </w:tcPr>
          <w:p>
            <w:pPr>
              <w:pStyle w:val="940"/>
              <w:jc w:val="center"/>
              <w:rPr>
                <w:sz w:val="22"/>
                <w:szCs w:val="22"/>
              </w:rPr>
            </w:pPr>
            <w:r>
              <w:rPr>
                <w:sz w:val="22"/>
                <w:szCs w:val="22"/>
              </w:rPr>
              <w:t xml:space="preserve">Расчетная задача на давление света, фотоны / 4 </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sz w:val="22"/>
                <w:szCs w:val="22"/>
              </w:rPr>
            </w:pPr>
            <w:r>
              <w:rPr>
                <w:sz w:val="22"/>
                <w:szCs w:val="22"/>
              </w:rPr>
              <w:t xml:space="preserve">В</w:t>
            </w:r>
            <w:r/>
          </w:p>
        </w:tc>
        <w:tc>
          <w:tcPr>
            <w:tcBorders>
              <w:top w:val="single" w:color="000000" w:sz="8" w:space="0"/>
              <w:left w:val="single" w:color="000000" w:sz="8" w:space="0"/>
              <w:bottom w:val="single" w:color="000000" w:sz="8" w:space="0"/>
            </w:tcBorders>
            <w:tcW w:w="1134" w:type="dxa"/>
            <w:vAlign w:val="center"/>
            <w:textDirection w:val="lrTb"/>
            <w:noWrap w:val="false"/>
          </w:tcPr>
          <w:p>
            <w:pPr>
              <w:pStyle w:val="940"/>
              <w:jc w:val="center"/>
              <w:rPr>
                <w:color w:val="000000"/>
                <w:sz w:val="22"/>
                <w:szCs w:val="22"/>
              </w:rPr>
            </w:pPr>
            <w:r>
              <w:rPr>
                <w:color w:val="000000"/>
                <w:sz w:val="22"/>
                <w:szCs w:val="22"/>
              </w:rPr>
              <w:t xml:space="preserve">2,78</w:t>
            </w:r>
            <w:r/>
          </w:p>
        </w:tc>
        <w:tc>
          <w:tcPr>
            <w:tcBorders>
              <w:top w:val="single" w:color="000000" w:sz="8" w:space="0"/>
              <w:left w:val="single" w:color="000000" w:sz="8" w:space="0"/>
              <w:bottom w:val="single" w:color="000000" w:sz="8" w:space="0"/>
            </w:tcBorders>
            <w:tcW w:w="1275" w:type="dxa"/>
            <w:vAlign w:val="center"/>
            <w:textDirection w:val="lrTb"/>
            <w:noWrap w:val="false"/>
          </w:tcPr>
          <w:p>
            <w:pPr>
              <w:pStyle w:val="940"/>
              <w:jc w:val="center"/>
              <w:rPr>
                <w:color w:val="000000"/>
                <w:sz w:val="22"/>
                <w:szCs w:val="22"/>
              </w:rPr>
            </w:pPr>
            <w:r>
              <w:rPr>
                <w:color w:val="000000"/>
                <w:sz w:val="22"/>
                <w:szCs w:val="22"/>
              </w:rPr>
              <w:t xml:space="preserve">0,00</w:t>
            </w:r>
            <w:r/>
          </w:p>
        </w:tc>
        <w:tc>
          <w:tcPr>
            <w:tcBorders>
              <w:top w:val="single" w:color="000000" w:sz="8" w:space="0"/>
              <w:left w:val="single" w:color="000000" w:sz="8" w:space="0"/>
              <w:bottom w:val="single" w:color="000000" w:sz="8" w:space="0"/>
            </w:tcBorders>
            <w:tcW w:w="993" w:type="dxa"/>
            <w:vAlign w:val="center"/>
            <w:textDirection w:val="lrTb"/>
            <w:noWrap w:val="false"/>
          </w:tcPr>
          <w:p>
            <w:pPr>
              <w:pStyle w:val="940"/>
              <w:jc w:val="center"/>
              <w:rPr>
                <w:color w:val="000000"/>
                <w:sz w:val="22"/>
                <w:szCs w:val="22"/>
              </w:rPr>
            </w:pPr>
            <w:r>
              <w:rPr>
                <w:color w:val="000000"/>
                <w:sz w:val="22"/>
                <w:szCs w:val="22"/>
              </w:rPr>
              <w:t xml:space="preserve">0,10</w:t>
            </w:r>
            <w:r/>
          </w:p>
        </w:tc>
        <w:tc>
          <w:tcPr>
            <w:tcBorders>
              <w:top w:val="single" w:color="000000" w:sz="8" w:space="0"/>
              <w:left w:val="single" w:color="000000" w:sz="8" w:space="0"/>
              <w:bottom w:val="single" w:color="000000" w:sz="8" w:space="0"/>
            </w:tcBorders>
            <w:tcW w:w="850" w:type="dxa"/>
            <w:vAlign w:val="center"/>
            <w:textDirection w:val="lrTb"/>
            <w:noWrap w:val="false"/>
          </w:tcPr>
          <w:p>
            <w:pPr>
              <w:pStyle w:val="940"/>
              <w:jc w:val="center"/>
              <w:rPr>
                <w:color w:val="000000"/>
                <w:sz w:val="22"/>
                <w:szCs w:val="22"/>
              </w:rPr>
            </w:pPr>
            <w:r>
              <w:rPr>
                <w:color w:val="000000"/>
                <w:sz w:val="22"/>
                <w:szCs w:val="22"/>
              </w:rPr>
              <w:t xml:space="preserve">4,83</w:t>
            </w:r>
            <w:r/>
          </w:p>
        </w:tc>
        <w:tc>
          <w:tcPr>
            <w:tcBorders>
              <w:top w:val="single" w:color="000000" w:sz="8" w:space="0"/>
              <w:left w:val="single" w:color="000000" w:sz="8" w:space="0"/>
              <w:bottom w:val="single" w:color="000000" w:sz="8" w:space="0"/>
              <w:right w:val="single" w:color="000000" w:sz="8" w:space="0"/>
            </w:tcBorders>
            <w:tcW w:w="1032" w:type="dxa"/>
            <w:vAlign w:val="center"/>
            <w:textDirection w:val="lrTb"/>
            <w:noWrap w:val="false"/>
          </w:tcPr>
          <w:p>
            <w:pPr>
              <w:pStyle w:val="940"/>
              <w:jc w:val="center"/>
              <w:rPr>
                <w:color w:val="000000"/>
                <w:sz w:val="22"/>
                <w:szCs w:val="22"/>
              </w:rPr>
            </w:pPr>
            <w:r>
              <w:rPr>
                <w:color w:val="000000"/>
                <w:sz w:val="22"/>
                <w:szCs w:val="22"/>
              </w:rPr>
              <w:t xml:space="preserve">43,65</w:t>
            </w:r>
            <w:r/>
          </w:p>
        </w:tc>
      </w:tr>
    </w:tbl>
    <w:p>
      <w:pPr>
        <w:pStyle w:val="940"/>
        <w:contextualSpacing/>
        <w:jc w:val="both"/>
        <w:spacing w:before="0" w:after="0"/>
        <w:rPr>
          <w:bCs/>
          <w:lang w:eastAsia="en-US"/>
        </w:rPr>
      </w:pPr>
      <w:r>
        <w:rPr>
          <w:bCs/>
          <w:lang w:eastAsia="en-US"/>
        </w:rPr>
        <w:t xml:space="preserve">Б – базовый, П – повышенный, В – высокий уровень сложности.</w:t>
      </w:r>
      <w:r/>
    </w:p>
    <w:p>
      <w:pPr>
        <w:pStyle w:val="940"/>
        <w:ind w:firstLine="708"/>
        <w:jc w:val="both"/>
        <w:rPr>
          <w:bCs/>
          <w:lang w:eastAsia="en-US"/>
        </w:rPr>
      </w:pPr>
      <w:r>
        <w:rPr>
          <w:bCs/>
          <w:lang w:eastAsia="en-US"/>
        </w:rPr>
        <w:t xml:space="preserve">Средний балл по Астраханской области составил 50 баллов. Не преодолели минимальную границу (36 баллов) 96 человек (11,4 %). Это чуть хуже, чем в прошлом году (10,1 %).</w:t>
      </w:r>
      <w:r/>
    </w:p>
    <w:p>
      <w:pPr>
        <w:pStyle w:val="940"/>
        <w:ind w:firstLine="708"/>
        <w:jc w:val="both"/>
      </w:pPr>
      <w:r>
        <w:rPr>
          <w:b/>
          <w:lang w:eastAsia="en-US"/>
        </w:rPr>
        <w:t xml:space="preserve">Часть 1.</w:t>
      </w:r>
      <w:r>
        <w:rPr>
          <w:bCs/>
          <w:lang w:eastAsia="en-US"/>
        </w:rPr>
        <w:t xml:space="preserve"> В этой части 21 задание базового уровня и 3 задания повышенного уровня. 7 заданий (33 %) из первой части выполнено учащимися меньше, чем на 50 %.  Среди них 6 заданий базового и 1 задание повышенного уровня.</w:t>
      </w:r>
      <w:r/>
    </w:p>
    <w:p>
      <w:pPr>
        <w:pStyle w:val="940"/>
        <w:ind w:firstLine="708"/>
        <w:jc w:val="both"/>
      </w:pPr>
      <w:r>
        <w:rPr>
          <w:bCs/>
          <w:lang w:eastAsia="en-US"/>
        </w:rPr>
        <w:t xml:space="preserve">Среди заданий базового уровня наименьший процент выполнения (36,96 %</w:t>
      </w:r>
      <w:r>
        <w:rPr>
          <w:bCs/>
          <w:lang w:eastAsia="en-US"/>
        </w:rPr>
        <w:t xml:space="preserve">) имеет задание № 18 по электродинамике. Это задание на соответствие между физическими величинами и формулами. Неожиданно низкий процент выполнения оказался у заданий                  № 14 на закон Кулона (45,02 %) и № 19 на модель строения ядра (41,34 %).</w:t>
      </w:r>
      <w:r/>
    </w:p>
    <w:p>
      <w:pPr>
        <w:pStyle w:val="940"/>
        <w:ind w:firstLine="708"/>
        <w:jc w:val="both"/>
        <w:rPr>
          <w:rFonts w:eastAsia="TimesNewRomanPSMT;Times New Roman"/>
          <w:iCs/>
          <w:lang w:eastAsia="en-US"/>
        </w:rPr>
      </w:pPr>
      <w:r>
        <w:rPr>
          <w:rFonts w:eastAsia="TimesNewRomanPSMT;Times New Roman"/>
          <w:iCs/>
          <w:lang w:eastAsia="en-US"/>
        </w:rPr>
        <w:t xml:space="preserve">Процент выполнения заданий с выбором двух ответов (повышенный уровень) хоть и больше 15 %, но немного уменьшился по сравнению с прошлым годом, в среднем 59 % (в прошлом году 63 %). </w:t>
      </w:r>
      <w:r/>
    </w:p>
    <w:p>
      <w:pPr>
        <w:pStyle w:val="940"/>
        <w:ind w:firstLine="708"/>
        <w:jc w:val="both"/>
        <w:rPr>
          <w:lang w:eastAsia="en-US"/>
        </w:rPr>
      </w:pPr>
      <w:r>
        <w:rPr>
          <w:lang w:eastAsia="en-US"/>
        </w:rPr>
        <w:t xml:space="preserve">Анализ выполнения заданий базового уровня в группе участников ЕГЭ от 36 б. до 60 б. показал, что низкий процент выполнения у тех же заданий, что и по среднему показателю. Среди групп участников ЕГЭ с высоким уровнем подготов</w:t>
      </w:r>
      <w:r>
        <w:rPr>
          <w:lang w:eastAsia="en-US"/>
        </w:rPr>
        <w:t xml:space="preserve">ки (от 61 б. до 80 б. и от 81 б. до 100 б.) оказалось, что наименьший процент выполнения задания базового уровня – это № 18 по цепям постоянного тока (63,04 % и 83,33 %) и повышенного уровня – это № 5 по динамике с выбором двух ответов (61,23 % и 83,33 %).</w:t>
      </w:r>
      <w:r/>
    </w:p>
    <w:p>
      <w:pPr>
        <w:pStyle w:val="940"/>
        <w:ind w:firstLine="708"/>
        <w:jc w:val="both"/>
      </w:pPr>
      <w:r>
        <w:rPr>
          <w:lang w:eastAsia="en-US"/>
        </w:rPr>
        <w:t xml:space="preserve">Если смотреть успешность выполнения заданий по проверяемым видам умений и способам действий, то все задания с низким процентом выполнения проверяли знания </w:t>
      </w:r>
      <w:r>
        <w:rPr>
          <w:rFonts w:eastAsia="TimesNewRomanPSMT;Times New Roman"/>
          <w:lang w:eastAsia="en-US"/>
        </w:rPr>
        <w:t xml:space="preserve">смысла физических понятий, величин, законов, принципов, постулатов и умения описывать и объяснять физические явления и свойства тел (включая космические объекты), результаты экспериментов, приводить примеры практического использования физических знаний.</w:t>
      </w:r>
      <w:r/>
    </w:p>
    <w:p>
      <w:pPr>
        <w:pStyle w:val="940"/>
        <w:ind w:firstLine="708"/>
        <w:jc w:val="both"/>
        <w:rPr>
          <w:rFonts w:eastAsia="TimesNewRomanPSMT;Times New Roman"/>
          <w:lang w:eastAsia="en-US"/>
        </w:rPr>
      </w:pPr>
      <w:r>
        <w:rPr>
          <w:rFonts w:eastAsia="TimesNewRomanPSMT;Times New Roman"/>
          <w:lang w:eastAsia="en-US"/>
        </w:rPr>
        <w:t xml:space="preserve">Наиболее успешными можно считать задания № 1 на кинематику (71,65 %), № 3 на закон сохранения механической энергии (83,87 %), № 9 на КПД тепловой машины (76,84 %). </w:t>
      </w:r>
      <w:r/>
    </w:p>
    <w:p>
      <w:pPr>
        <w:pStyle w:val="940"/>
        <w:ind w:firstLine="567"/>
        <w:jc w:val="both"/>
      </w:pPr>
      <w:r>
        <w:rPr>
          <w:b/>
          <w:lang w:eastAsia="en-US"/>
        </w:rPr>
        <w:t xml:space="preserve">Часть 2.</w:t>
      </w:r>
      <w:r>
        <w:rPr>
          <w:bCs/>
          <w:lang w:eastAsia="en-US"/>
        </w:rPr>
        <w:t xml:space="preserve"> В этой части 8 заданий, 4 из которых повыш</w:t>
      </w:r>
      <w:r>
        <w:rPr>
          <w:bCs/>
          <w:lang w:eastAsia="en-US"/>
        </w:rPr>
        <w:t xml:space="preserve">енного уровня и 4 – высокого уровня. Одно задание (№ 27 качественная задача) повышенного уровня выполнено меньше, чем на 15 % и три задания (расчетные задачи № 29, 30, 32) высокого уровня также выполнены меньше, чем на 15 %. Самый высокий процент выполнени</w:t>
      </w:r>
      <w:r>
        <w:rPr>
          <w:bCs/>
          <w:lang w:eastAsia="en-US"/>
        </w:rPr>
        <w:t xml:space="preserve">я во всех группах учащихся в задании № 28 по кинематике (31,28 %). Наибольшую трудность вызвали задания № 30 на газовые законы и влажность воздуха (4,22 %) и на давление света, фотоны (2,78 %). Все эти задания проверяли следующие умения и способы действий:</w:t>
      </w:r>
      <w:r>
        <w:rPr>
          <w:rFonts w:eastAsia="TimesNewRomanPSMT;Times New Roman"/>
          <w:lang w:eastAsia="en-US"/>
        </w:rPr>
        <w:t xml:space="preserve"> применять полученные знания при решении физических задач; использовать приобретенные знания и умения в практической деятельности и повседневной жизни.</w:t>
      </w:r>
      <w:r/>
    </w:p>
    <w:p>
      <w:pPr>
        <w:pStyle w:val="940"/>
        <w:numPr>
          <w:ilvl w:val="2"/>
          <w:numId w:val="42"/>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jc w:val="both"/>
        <w:rPr>
          <w:rFonts w:eastAsia="SimSun;宋体"/>
          <w:i/>
          <w:iCs/>
          <w:sz w:val="28"/>
          <w:lang w:val="en-US"/>
        </w:rPr>
      </w:pPr>
      <w:r>
        <w:rPr>
          <w:rFonts w:eastAsia="SimSun;宋体"/>
          <w:i/>
          <w:iCs/>
          <w:sz w:val="28"/>
          <w:lang w:val="en-US"/>
        </w:rPr>
      </w:r>
      <w:r/>
    </w:p>
    <w:p>
      <w:pPr>
        <w:pStyle w:val="940"/>
        <w:ind w:firstLine="567"/>
        <w:jc w:val="both"/>
      </w:pPr>
      <w:r>
        <w:rPr>
          <w:b/>
        </w:rPr>
        <w:t xml:space="preserve">Часть 1.</w:t>
      </w:r>
      <w:r>
        <w:rPr>
          <w:bCs/>
        </w:rPr>
        <w:t xml:space="preserve"> Рассмотрим наиболее сложные для участников ЕГЭ и успешно выполненные задания в группе слабо подготовленных обучающихся. Это группа не преодолевших минимальный балл. Выпускники, не достигшие минимального балла, более успешно (больше 20 %)</w:t>
      </w:r>
      <w:r>
        <w:rPr>
          <w:bCs/>
        </w:rPr>
        <w:t xml:space="preserve"> справились с заданиями базового уровня по механике на закон сохранения энергии с записью краткого ответа, термодинамике на КПД тепловой машины с записью краткого ответа, хорошо выполнили задания на соответствие (изменение физических величин в процессах). </w:t>
      </w:r>
      <w:r/>
    </w:p>
    <w:p>
      <w:pPr>
        <w:pStyle w:val="940"/>
        <w:ind w:firstLine="567"/>
        <w:jc w:val="both"/>
        <w:rPr>
          <w:bCs/>
          <w:i/>
          <w:iCs/>
        </w:rPr>
      </w:pPr>
      <w:r>
        <w:rPr>
          <w:bCs/>
          <w:i/>
          <w:iCs/>
        </w:rPr>
        <w:t xml:space="preserve">Пример 1.</w:t>
      </w:r>
      <w:r/>
    </w:p>
    <w:p>
      <w:pPr>
        <w:pStyle w:val="940"/>
        <w:ind w:firstLine="567"/>
        <w:jc w:val="both"/>
      </w:pPr>
      <w:r>
        <w:t xml:space="preserve">№</w:t>
      </w:r>
      <w:r>
        <w:rPr>
          <w:rFonts w:eastAsia="Times New Roman"/>
        </w:rPr>
        <w:t xml:space="preserve"> </w:t>
      </w:r>
      <w:r>
        <w:t xml:space="preserve">6. Деревянный шарик плавает в керосине. Как изменятся масса вытесненной жидкости и глубина погружения шарика в жидкость, если он будет плавать в воде?</w:t>
      </w:r>
      <w:r/>
    </w:p>
    <w:p>
      <w:pPr>
        <w:pStyle w:val="940"/>
        <w:ind w:firstLine="567"/>
        <w:jc w:val="both"/>
      </w:pPr>
      <w:r>
        <w:t xml:space="preserve">Для каждой величины определите соответствующий характер изменения:</w:t>
      </w:r>
      <w:r/>
    </w:p>
    <w:p>
      <w:pPr>
        <w:pStyle w:val="940"/>
        <w:ind w:firstLine="567"/>
        <w:jc w:val="both"/>
      </w:pPr>
      <w:r>
        <w:t xml:space="preserve">1) увеличится</w:t>
      </w:r>
      <w:r/>
    </w:p>
    <w:p>
      <w:pPr>
        <w:pStyle w:val="940"/>
        <w:ind w:firstLine="567"/>
        <w:jc w:val="both"/>
      </w:pPr>
      <w:r>
        <w:t xml:space="preserve">2) уменьшится</w:t>
      </w:r>
      <w:r/>
    </w:p>
    <w:p>
      <w:pPr>
        <w:pStyle w:val="940"/>
        <w:ind w:firstLine="567"/>
        <w:jc w:val="both"/>
      </w:pPr>
      <w:r>
        <w:t xml:space="preserve">3) не изменится</w:t>
      </w:r>
      <w:r/>
    </w:p>
    <w:p>
      <w:pPr>
        <w:pStyle w:val="940"/>
        <w:ind w:firstLine="567"/>
        <w:jc w:val="both"/>
      </w:pPr>
      <w:r>
        <w:t xml:space="preserve">Запишите в таблицу выбранные цифры для каждой физической величины. Цифры в ответе могут повторяться.</w:t>
      </w:r>
      <w:r/>
    </w:p>
    <w:tbl>
      <w:tblPr>
        <w:tblW w:w="5966" w:type="dxa"/>
        <w:tblInd w:w="737" w:type="dxa"/>
        <w:tblLayout w:type="fixed"/>
        <w:tblCellMar>
          <w:left w:w="108" w:type="dxa"/>
          <w:top w:w="0" w:type="dxa"/>
          <w:right w:w="108" w:type="dxa"/>
          <w:bottom w:w="0" w:type="dxa"/>
        </w:tblCellMar>
        <w:tblLook w:val="04A0" w:firstRow="1" w:lastRow="0" w:firstColumn="1" w:lastColumn="0" w:noHBand="0" w:noVBand="1"/>
      </w:tblPr>
      <w:tblGrid>
        <w:gridCol w:w="2973"/>
        <w:gridCol w:w="2993"/>
      </w:tblGrid>
      <w:tr>
        <w:trPr>
          <w:trHeight w:val="255"/>
        </w:trPr>
        <w:tc>
          <w:tcPr>
            <w:tcBorders>
              <w:top w:val="single" w:color="000000" w:sz="4" w:space="0"/>
              <w:left w:val="single" w:color="000000" w:sz="4" w:space="0"/>
              <w:bottom w:val="single" w:color="000000" w:sz="4" w:space="0"/>
            </w:tcBorders>
            <w:tcW w:w="2973" w:type="dxa"/>
            <w:textDirection w:val="lrTb"/>
            <w:noWrap w:val="false"/>
          </w:tcPr>
          <w:p>
            <w:pPr>
              <w:pStyle w:val="940"/>
              <w:jc w:val="center"/>
              <w:rPr>
                <w:bCs/>
              </w:rPr>
            </w:pPr>
            <w:r>
              <w:rPr>
                <w:bCs/>
              </w:rPr>
              <w:t xml:space="preserve">Масса вытесненной жидкости</w:t>
            </w:r>
            <w:r/>
          </w:p>
        </w:tc>
        <w:tc>
          <w:tcPr>
            <w:tcBorders>
              <w:top w:val="single" w:color="000000" w:sz="4" w:space="0"/>
              <w:left w:val="single" w:color="000000" w:sz="4" w:space="0"/>
              <w:bottom w:val="single" w:color="000000" w:sz="4" w:space="0"/>
              <w:right w:val="single" w:color="000000" w:sz="4" w:space="0"/>
            </w:tcBorders>
            <w:tcW w:w="2993" w:type="dxa"/>
            <w:textDirection w:val="lrTb"/>
            <w:noWrap w:val="false"/>
          </w:tcPr>
          <w:p>
            <w:pPr>
              <w:pStyle w:val="940"/>
              <w:jc w:val="center"/>
              <w:rPr>
                <w:bCs/>
              </w:rPr>
            </w:pPr>
            <w:r>
              <w:rPr>
                <w:bCs/>
              </w:rPr>
              <w:t xml:space="preserve">Глубина погружения шарика в жидкость</w:t>
            </w:r>
            <w:r/>
          </w:p>
        </w:tc>
      </w:tr>
      <w:tr>
        <w:trPr>
          <w:trHeight w:val="255"/>
        </w:trPr>
        <w:tc>
          <w:tcPr>
            <w:tcBorders>
              <w:top w:val="single" w:color="000000" w:sz="4" w:space="0"/>
              <w:left w:val="single" w:color="000000" w:sz="4" w:space="0"/>
              <w:bottom w:val="single" w:color="000000" w:sz="4" w:space="0"/>
            </w:tcBorders>
            <w:tcW w:w="2973" w:type="dxa"/>
            <w:textDirection w:val="lrTb"/>
            <w:noWrap w:val="false"/>
          </w:tcPr>
          <w:p>
            <w:pPr>
              <w:pStyle w:val="940"/>
              <w:jc w:val="both"/>
              <w:rPr>
                <w:bCs/>
              </w:rPr>
            </w:pPr>
            <w:r>
              <w:rPr>
                <w:bCs/>
              </w:rPr>
            </w:r>
            <w:r/>
          </w:p>
        </w:tc>
        <w:tc>
          <w:tcPr>
            <w:tcBorders>
              <w:top w:val="single" w:color="000000" w:sz="4" w:space="0"/>
              <w:left w:val="single" w:color="000000" w:sz="4" w:space="0"/>
              <w:bottom w:val="single" w:color="000000" w:sz="4" w:space="0"/>
              <w:right w:val="single" w:color="000000" w:sz="4" w:space="0"/>
            </w:tcBorders>
            <w:tcW w:w="2993" w:type="dxa"/>
            <w:textDirection w:val="lrTb"/>
            <w:noWrap w:val="false"/>
          </w:tcPr>
          <w:p>
            <w:pPr>
              <w:pStyle w:val="940"/>
              <w:jc w:val="both"/>
              <w:rPr>
                <w:bCs/>
              </w:rPr>
            </w:pPr>
            <w:r>
              <w:rPr>
                <w:bCs/>
              </w:rPr>
            </w:r>
            <w:r/>
          </w:p>
        </w:tc>
      </w:tr>
    </w:tbl>
    <w:p>
      <w:pPr>
        <w:pStyle w:val="940"/>
        <w:ind w:firstLine="708"/>
        <w:jc w:val="both"/>
        <w:rPr>
          <w:bCs/>
        </w:rPr>
      </w:pPr>
      <w:r>
        <w:rPr>
          <w:bCs/>
        </w:rPr>
        <w:t xml:space="preserve">Уч</w:t>
      </w:r>
      <w:r>
        <w:rPr>
          <w:bCs/>
        </w:rPr>
        <w:t xml:space="preserve">ащиеся данной группы демонстрируют лучший результат в заданиях, где проверяются законы и формулы. Кроме того, посильными оказались задания повышенного уровня с выбором двух ответов. Все три задания первой части выполнены ими на 28,65 %, 42,71 % и 36,98 %. </w:t>
      </w:r>
      <w:r/>
    </w:p>
    <w:p>
      <w:pPr>
        <w:pStyle w:val="940"/>
        <w:ind w:firstLine="708"/>
        <w:jc w:val="both"/>
        <w:rPr>
          <w:bCs/>
          <w:i/>
          <w:iCs/>
        </w:rPr>
      </w:pPr>
      <w:r>
        <w:rPr>
          <w:bCs/>
          <w:i/>
          <w:iCs/>
        </w:rPr>
        <w:t xml:space="preserve">Пример 2.</w:t>
      </w:r>
      <w:r/>
    </w:p>
    <w:p>
      <w:pPr>
        <w:pStyle w:val="940"/>
        <w:ind w:firstLine="708"/>
        <w:jc w:val="both"/>
      </w:pPr>
      <w:r>
        <mc:AlternateContent>
          <mc:Choice Requires="wpg">
            <w:drawing>
              <wp:anchor xmlns:wp="http://schemas.openxmlformats.org/drawingml/2006/wordprocessingDrawing" distT="0" distB="0" distL="114935" distR="114935" simplePos="0" relativeHeight="14" behindDoc="1" locked="0" layoutInCell="0" allowOverlap="1">
                <wp:simplePos x="0" y="0"/>
                <wp:positionH relativeFrom="column">
                  <wp:posOffset>4956810</wp:posOffset>
                </wp:positionH>
                <wp:positionV relativeFrom="paragraph">
                  <wp:posOffset>229235</wp:posOffset>
                </wp:positionV>
                <wp:extent cx="1475740" cy="875665"/>
                <wp:effectExtent l="0" t="0" r="0" b="0"/>
                <wp:wrapTight wrapText="bothSides">
                  <wp:wrapPolygon edited="1">
                    <wp:start x="-134" y="7"/>
                    <wp:lineTo x="-134" y="21336"/>
                    <wp:lineTo x="21588" y="21336"/>
                    <wp:lineTo x="21588" y="7"/>
                    <wp:lineTo x="-134" y="7"/>
                  </wp:wrapPolygon>
                </wp:wrapTight>
                <wp:docPr id="5" name="Image4"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hidden="0"/>
                        <pic:cNvPicPr>
                          <a:picLocks noChangeAspect="1"/>
                        </pic:cNvPicPr>
                        <pic:nvPr isPhoto="0" userDrawn="0"/>
                      </pic:nvPicPr>
                      <pic:blipFill>
                        <a:blip r:embed="rId19"/>
                        <a:srcRect l="-73" t="-123" r="-72" b="-123"/>
                        <a:stretch/>
                      </pic:blipFill>
                      <pic:spPr bwMode="auto">
                        <a:xfrm>
                          <a:off x="0" y="0"/>
                          <a:ext cx="1475740" cy="875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14;o:allowoverlap:true;o:allowincell:false;mso-position-horizontal-relative:text;margin-left:390.3pt;mso-position-horizontal:absolute;mso-position-vertical-relative:text;margin-top:18.1pt;mso-position-vertical:absolute;width:116.2pt;height:69.0pt;" wrapcoords="-619 32 -619 98778 99944 98778 99944 32 -619 32" stroked="false">
                <v:path textboxrect="0,0,0,0"/>
                <v:imagedata r:id="rId19" o:title=""/>
              </v:shape>
            </w:pict>
          </mc:Fallback>
        </mc:AlternateContent>
      </w:r>
      <w:r>
        <w:rPr>
          <w:rFonts w:eastAsia="Times New Roman"/>
        </w:rPr>
        <w:t xml:space="preserve">№</w:t>
      </w:r>
      <w:r>
        <w:rPr>
          <w:rFonts w:eastAsia="Times New Roman"/>
        </w:rPr>
        <w:t xml:space="preserve"> </w:t>
      </w:r>
      <w:r>
        <w:t xml:space="preserve">16. Проволочная рамка площадью 60 см</w:t>
      </w:r>
      <w:r>
        <w:rPr>
          <w:vertAlign w:val="superscript"/>
        </w:rPr>
        <w:t xml:space="preserve">2 </w:t>
      </w:r>
      <w:r>
        <w:t xml:space="preserve">помещена в однородное магнитное поле так, что плоскость рамки перпендикулярна вектору индукции </w:t>
      </w:r>
      <w:r>
        <w:rPr>
          <w:rFonts w:eastAsia="TimesNewRomanPS-ItalicMT;Yu Gothic"/>
          <w:i/>
          <w:iCs/>
        </w:rPr>
        <w:t xml:space="preserve">B.</w:t>
      </w:r>
      <w:r/>
    </w:p>
    <w:p>
      <w:pPr>
        <w:pStyle w:val="940"/>
        <w:ind w:firstLine="708"/>
        <w:jc w:val="both"/>
      </w:pPr>
      <w:r>
        <w:t xml:space="preserve">Проекция </w:t>
      </w:r>
      <w:r>
        <w:rPr>
          <w:rFonts w:eastAsia="TimesNewRomanPS-ItalicMT;Yu Gothic"/>
          <w:i/>
          <w:iCs/>
        </w:rPr>
        <w:t xml:space="preserve">B</w:t>
      </w:r>
      <w:r>
        <w:rPr>
          <w:rFonts w:eastAsia="TimesNewRomanPS-ItalicMT;Yu Gothic"/>
          <w:i/>
          <w:iCs/>
          <w:vertAlign w:val="subscript"/>
        </w:rPr>
        <w:t xml:space="preserve">n</w:t>
      </w:r>
      <w:r>
        <w:rPr>
          <w:rFonts w:eastAsia="TimesNewRomanPS-ItalicMT;Yu Gothic"/>
          <w:i/>
          <w:iCs/>
        </w:rPr>
        <w:t xml:space="preserve"> </w:t>
      </w:r>
      <w:r>
        <w:t xml:space="preserve">индукции магнитного поля на нормаль к плоскости рамки изменяется во времени </w:t>
      </w:r>
      <w:r>
        <w:rPr>
          <w:rFonts w:eastAsia="TimesNewRomanPS-ItalicMT;Yu Gothic"/>
          <w:i/>
          <w:iCs/>
        </w:rPr>
        <w:t xml:space="preserve">t </w:t>
      </w:r>
      <w:r>
        <w:t xml:space="preserve">согласно графику на рисунке.</w:t>
      </w:r>
      <w:r/>
    </w:p>
    <w:p>
      <w:pPr>
        <w:pStyle w:val="940"/>
        <w:ind w:firstLine="708"/>
        <w:jc w:val="both"/>
      </w:pPr>
      <w:r>
        <w:t xml:space="preserve">Из приведённого ниже списка выберите </w:t>
      </w:r>
      <w:r>
        <w:rPr>
          <w:b/>
          <w:bCs/>
        </w:rPr>
        <w:t xml:space="preserve">два </w:t>
      </w:r>
      <w:r>
        <w:t xml:space="preserve">правильных утверждения о процессах, происходящих в рамке.</w:t>
      </w:r>
      <w:r/>
    </w:p>
    <w:p>
      <w:pPr>
        <w:pStyle w:val="940"/>
        <w:ind w:firstLine="708"/>
        <w:jc w:val="both"/>
      </w:pPr>
      <w:r>
        <w:t xml:space="preserve">1) Модуль ЭДС электромагнитной индукции, возникающей в рамке, минимален в интервале времени от 0 до 1 мс.</w:t>
      </w:r>
      <w:r/>
    </w:p>
    <w:p>
      <w:pPr>
        <w:pStyle w:val="940"/>
        <w:ind w:firstLine="708"/>
        <w:jc w:val="both"/>
      </w:pPr>
      <w:r>
        <w:t xml:space="preserve">2) Магнитный поток через рамку в интервале времени от 2 до 4 мс равен 6 мВб.</w:t>
      </w:r>
      <w:r/>
    </w:p>
    <w:p>
      <w:pPr>
        <w:pStyle w:val="940"/>
        <w:ind w:firstLine="708"/>
        <w:jc w:val="both"/>
      </w:pPr>
      <w:r>
        <w:t xml:space="preserve">3) Модуль ЭДС электромагнитной индукции, возникающей в рамке, в интервале времени от 4 до 6 мс равен 12 В.</w:t>
      </w:r>
      <w:r/>
    </w:p>
    <w:p>
      <w:pPr>
        <w:pStyle w:val="940"/>
        <w:ind w:firstLine="708"/>
        <w:jc w:val="both"/>
      </w:pPr>
      <w:r>
        <w:t xml:space="preserve">4) Модуль скорости изменения магнитного потока через рамку максимален в интервале времени от 0 до 1 мс.</w:t>
      </w:r>
      <w:r/>
    </w:p>
    <w:p>
      <w:pPr>
        <w:pStyle w:val="940"/>
        <w:ind w:firstLine="708"/>
        <w:jc w:val="both"/>
      </w:pPr>
      <w:r>
        <w:t xml:space="preserve">5) Модуль ЭДС электромагнитной индукции, возникающей в рамке, максимален в интервале времени от 1 до 2 мс.</w:t>
      </w:r>
      <w:r/>
    </w:p>
    <w:p>
      <w:pPr>
        <w:pStyle w:val="940"/>
        <w:jc w:val="both"/>
        <w:rPr>
          <w:bCs/>
        </w:rPr>
      </w:pPr>
      <w:r>
        <w:rPr>
          <w:rFonts w:eastAsia="Times New Roman"/>
          <w:bCs/>
        </w:rPr>
        <w:t xml:space="preserve"> </w:t>
      </w:r>
      <w:r>
        <w:rPr>
          <w:bCs/>
        </w:rPr>
        <w:t xml:space="preserve">Ответ: </w:t>
      </w:r>
      <w:r>
        <mc:AlternateContent>
          <mc:Choice Requires="wpg">
            <w:drawing>
              <wp:anchor xmlns:wp="http://schemas.openxmlformats.org/drawingml/2006/wordprocessingDrawing" distT="0" distB="0" distL="114935" distR="114935" simplePos="0" relativeHeight="12" behindDoc="0" locked="0" layoutInCell="0" allowOverlap="1">
                <wp:simplePos x="0" y="0"/>
                <wp:positionH relativeFrom="page">
                  <wp:posOffset>1755775</wp:posOffset>
                </wp:positionH>
                <wp:positionV relativeFrom="paragraph">
                  <wp:posOffset>113030</wp:posOffset>
                </wp:positionV>
                <wp:extent cx="539115" cy="187325"/>
                <wp:effectExtent l="0" t="0" r="0" b="0"/>
                <wp:wrapSquare wrapText="bothSides"/>
                <wp:docPr id="6" name="Frame1" hidden="0"/>
                <wp:cNvGraphicFramePr/>
                <a:graphic xmlns:a="http://schemas.openxmlformats.org/drawingml/2006/main">
                  <a:graphicData uri="http://schemas.microsoft.com/office/word/2010/wordprocessingShape">
                    <wps:wsp>
                      <wps:cNvPr id="0" name=""/>
                      <wps:cNvSpPr txBox="1"/>
                      <wps:spPr bwMode="auto">
                        <a:xfrm>
                          <a:off x="0" y="0"/>
                          <a:ext cx="539115" cy="187325"/>
                        </a:xfrm>
                        <a:prstGeom prst="rect">
                          <a:avLst/>
                        </a:prstGeom>
                        <a:solidFill>
                          <a:srgbClr val="FFFFFF">
                            <a:alpha val="0"/>
                          </a:srgbClr>
                        </a:solidFill>
                      </wps:spPr>
                      <wps:txbx>
                        <w:txbxContent>
                          <w:tbl>
                            <w:tblPr>
                              <w:tblW w:w="860" w:type="dxa"/>
                              <w:tblInd w:w="-5" w:type="dxa"/>
                              <w:tblLayout w:type="fixed"/>
                              <w:tblCellMar>
                                <w:left w:w="108" w:type="dxa"/>
                                <w:top w:w="0" w:type="dxa"/>
                                <w:right w:w="108" w:type="dxa"/>
                                <w:bottom w:w="0" w:type="dxa"/>
                              </w:tblCellMar>
                              <w:tblLook w:val="04A0" w:firstRow="1" w:lastRow="0" w:firstColumn="1" w:lastColumn="0" w:noHBand="0" w:noVBand="1"/>
                            </w:tblPr>
                            <w:tblGrid>
                              <w:gridCol w:w="420"/>
                              <w:gridCol w:w="440"/>
                            </w:tblGrid>
                            <w:tr>
                              <w:trPr>
                                <w:trHeight w:val="255"/>
                              </w:trPr>
                              <w:tc>
                                <w:tcPr>
                                  <w:tcBorders>
                                    <w:top w:val="single" w:color="000000" w:sz="4" w:space="0"/>
                                    <w:left w:val="single" w:color="000000" w:sz="4" w:space="0"/>
                                    <w:bottom w:val="single" w:color="000000" w:sz="4" w:space="0"/>
                                  </w:tcBorders>
                                  <w:tcW w:w="420" w:type="dxa"/>
                                  <w:textDirection w:val="lrTb"/>
                                  <w:noWrap w:val="false"/>
                                </w:tcPr>
                                <w:p>
                                  <w:pPr>
                                    <w:pStyle w:val="940"/>
                                    <w:jc w:val="both"/>
                                    <w:rPr>
                                      <w:bCs/>
                                    </w:rPr>
                                  </w:pPr>
                                  <w:r>
                                    <w:rPr>
                                      <w:bCs/>
                                    </w:rPr>
                                  </w:r>
                                  <w:r/>
                                </w:p>
                              </w:tc>
                              <w:tc>
                                <w:tcPr>
                                  <w:tcBorders>
                                    <w:top w:val="single" w:color="000000" w:sz="4" w:space="0"/>
                                    <w:left w:val="single" w:color="000000" w:sz="4" w:space="0"/>
                                    <w:bottom w:val="single" w:color="000000" w:sz="4" w:space="0"/>
                                    <w:right w:val="single" w:color="000000" w:sz="4" w:space="0"/>
                                  </w:tcBorders>
                                  <w:tcW w:w="440" w:type="dxa"/>
                                  <w:textDirection w:val="lrTb"/>
                                  <w:noWrap w:val="false"/>
                                </w:tcPr>
                                <w:p>
                                  <w:pPr>
                                    <w:pStyle w:val="940"/>
                                    <w:jc w:val="both"/>
                                    <w:rPr>
                                      <w:bCs/>
                                    </w:rPr>
                                  </w:pPr>
                                  <w:r>
                                    <w:rPr>
                                      <w:bCs/>
                                    </w:rPr>
                                  </w:r>
                                  <w:r/>
                                </w:p>
                              </w:tc>
                            </w:tr>
                          </w:tbl>
                          <w:p>
                            <w:pPr>
                              <w:pStyle w:val="940"/>
                              <w:rPr>
                                <w:rFonts w:eastAsia="Times New Roman"/>
                              </w:rPr>
                            </w:pPr>
                            <w:r>
                              <w:rPr>
                                <w:rFonts w:eastAsia="Times New Roman"/>
                              </w:rPr>
                              <w:t xml:space="preserve"> </w:t>
                            </w:r>
                            <w:r/>
                          </w:p>
                        </w:txbxContent>
                      </wps:txbx>
                      <wps:bodyPr lIns="635" tIns="635" rIns="635" bIns="635" anchor="t">
                        <a:noAutofit/>
                      </wps:bodyPr>
                    </wps:wsp>
                  </a:graphicData>
                </a:graphic>
              </wp:anchor>
            </w:drawing>
          </mc:Choice>
          <mc:Fallback>
            <w:pict>
              <v:shape id="shape 5" o:spid="_x0000_s5" o:spt="1" style="position:absolute;mso-wrap-distance-left:9.0pt;mso-wrap-distance-top:0.0pt;mso-wrap-distance-right:9.0pt;mso-wrap-distance-bottom:0.0pt;z-index:12;o:allowoverlap:true;o:allowincell:false;mso-position-horizontal-relative:page;margin-left:138.2pt;mso-position-horizontal:absolute;mso-position-vertical-relative:text;margin-top:8.9pt;mso-position-vertical:absolute;width:42.4pt;height:14.8pt;v-text-anchor:top;" coordsize="100000,100000" path="" fillcolor="#FFFFFF">
                <v:path textboxrect="0,0,0,0"/>
                <v:fill opacity="100f"/>
                <w10:wrap type="square"/>
                <v:textbox>
                  <w:txbxContent>
                    <w:tbl>
                      <w:tblPr>
                        <w:tblW w:w="860" w:type="dxa"/>
                        <w:tblInd w:w="-5" w:type="dxa"/>
                        <w:tblLayout w:type="fixed"/>
                        <w:tblCellMar>
                          <w:left w:w="108" w:type="dxa"/>
                          <w:top w:w="0" w:type="dxa"/>
                          <w:right w:w="108" w:type="dxa"/>
                          <w:bottom w:w="0" w:type="dxa"/>
                        </w:tblCellMar>
                        <w:tblLook w:val="04A0" w:firstRow="1" w:lastRow="0" w:firstColumn="1" w:lastColumn="0" w:noHBand="0" w:noVBand="1"/>
                      </w:tblPr>
                      <w:tblGrid>
                        <w:gridCol w:w="420"/>
                        <w:gridCol w:w="440"/>
                      </w:tblGrid>
                      <w:tr>
                        <w:trPr>
                          <w:trHeight w:val="255"/>
                        </w:trPr>
                        <w:tc>
                          <w:tcPr>
                            <w:tcBorders>
                              <w:top w:val="single" w:color="000000" w:sz="4" w:space="0"/>
                              <w:left w:val="single" w:color="000000" w:sz="4" w:space="0"/>
                              <w:bottom w:val="single" w:color="000000" w:sz="4" w:space="0"/>
                            </w:tcBorders>
                            <w:tcW w:w="420" w:type="dxa"/>
                            <w:textDirection w:val="lrTb"/>
                            <w:noWrap w:val="false"/>
                          </w:tcPr>
                          <w:p>
                            <w:pPr>
                              <w:pStyle w:val="940"/>
                              <w:jc w:val="both"/>
                              <w:rPr>
                                <w:bCs/>
                              </w:rPr>
                            </w:pPr>
                            <w:r>
                              <w:rPr>
                                <w:bCs/>
                              </w:rPr>
                            </w:r>
                            <w:r/>
                          </w:p>
                        </w:tc>
                        <w:tc>
                          <w:tcPr>
                            <w:tcBorders>
                              <w:top w:val="single" w:color="000000" w:sz="4" w:space="0"/>
                              <w:left w:val="single" w:color="000000" w:sz="4" w:space="0"/>
                              <w:bottom w:val="single" w:color="000000" w:sz="4" w:space="0"/>
                              <w:right w:val="single" w:color="000000" w:sz="4" w:space="0"/>
                            </w:tcBorders>
                            <w:tcW w:w="440" w:type="dxa"/>
                            <w:textDirection w:val="lrTb"/>
                            <w:noWrap w:val="false"/>
                          </w:tcPr>
                          <w:p>
                            <w:pPr>
                              <w:pStyle w:val="940"/>
                              <w:jc w:val="both"/>
                              <w:rPr>
                                <w:bCs/>
                              </w:rPr>
                            </w:pPr>
                            <w:r>
                              <w:rPr>
                                <w:bCs/>
                              </w:rPr>
                            </w:r>
                            <w:r/>
                          </w:p>
                        </w:tc>
                      </w:tr>
                    </w:tbl>
                    <w:p>
                      <w:pPr>
                        <w:pStyle w:val="940"/>
                        <w:rPr>
                          <w:rFonts w:eastAsia="Times New Roman"/>
                        </w:rPr>
                      </w:pPr>
                      <w:r>
                        <w:rPr>
                          <w:rFonts w:eastAsia="Times New Roman"/>
                        </w:rPr>
                        <w:t xml:space="preserve"> </w:t>
                      </w:r>
                      <w:r/>
                    </w:p>
                  </w:txbxContent>
                </v:textbox>
              </v:shape>
            </w:pict>
          </mc:Fallback>
        </mc:AlternateContent>
      </w:r>
      <w:r/>
    </w:p>
    <w:p>
      <w:pPr>
        <w:pStyle w:val="940"/>
        <w:jc w:val="both"/>
        <w:rPr>
          <w:bCs/>
        </w:rPr>
      </w:pPr>
      <w:r>
        <w:rPr>
          <w:bCs/>
        </w:rPr>
      </w:r>
      <w:r/>
    </w:p>
    <w:p>
      <w:pPr>
        <w:pStyle w:val="940"/>
        <w:ind w:firstLine="708"/>
        <w:jc w:val="both"/>
      </w:pPr>
      <w:r>
        <w:t xml:space="preserve">В этих заданиях обучающиеся с низкими результатами демонстрируют умение применять формулы и законы для анализа процессов в типовых учебных ситуациях. </w:t>
      </w:r>
      <w:r/>
    </w:p>
    <w:p>
      <w:pPr>
        <w:pStyle w:val="940"/>
        <w:ind w:firstLine="708"/>
        <w:jc w:val="both"/>
        <w:rPr>
          <w:bCs/>
        </w:rPr>
      </w:pPr>
      <w:r>
        <w:rPr>
          <w:bCs/>
        </w:rPr>
        <w:t xml:space="preserve">Более трудными для этой группы оказались задания базового уровня сложности по таким темам, как закон всемирного тяготения, изопроцессы, относи</w:t>
      </w:r>
      <w:r>
        <w:rPr>
          <w:bCs/>
        </w:rPr>
        <w:t xml:space="preserve">тельная влажность, закон Кулона, нуклонная модель ядра. Также трудность вызвали задания на методы научного познания. Учащиеся этой группы не справились с определением показаний вольтметра и записью погрешности измерения. Процент выполнения составил 9,38 %.</w:t>
      </w:r>
      <w:r/>
    </w:p>
    <w:p>
      <w:pPr>
        <w:pStyle w:val="940"/>
        <w:ind w:firstLine="708"/>
        <w:jc w:val="both"/>
      </w:pPr>
      <w:r>
        <w:t xml:space="preserve">Если рассматривать сформированность способов действий, то более успешно выполняются задания на использование изученных законов и формул в стандартных учебных ситуациях, а также на анализ изменения величин в различных процессах.</w:t>
      </w:r>
      <w:r/>
    </w:p>
    <w:p>
      <w:pPr>
        <w:pStyle w:val="940"/>
        <w:jc w:val="both"/>
        <w:rPr>
          <w:rFonts w:eastAsia="TimesNewRomanPSMT;Times New Roman"/>
        </w:rPr>
      </w:pPr>
      <w:r>
        <w:rPr>
          <w:rFonts w:eastAsia="TimesNewRomanPSMT;Times New Roman"/>
        </w:rPr>
        <w:t xml:space="preserve">Затруднение у этой группы учащихся вызывают задания на умение описывать и объяснять физические явления и свойства тел (включая космические объекты), результаты экспериментов, приводить примеры практического использования физических знаний.</w:t>
      </w:r>
      <w:r/>
    </w:p>
    <w:p>
      <w:pPr>
        <w:pStyle w:val="940"/>
        <w:ind w:left="708" w:firstLine="0"/>
        <w:jc w:val="both"/>
        <w:rPr>
          <w:bCs/>
        </w:rPr>
      </w:pPr>
      <w:r>
        <w:rPr>
          <w:bCs/>
        </w:rPr>
        <w:t xml:space="preserve">Далее рассмотрим результаты выполнения заданий части 1 в группе от 36 б. до 60 б. Это самая массовая группа участников ЕГЭ (648 чел., 70 %). </w:t>
      </w:r>
      <w:r/>
    </w:p>
    <w:p>
      <w:pPr>
        <w:pStyle w:val="940"/>
        <w:ind w:firstLine="708"/>
        <w:jc w:val="both"/>
        <w:rPr>
          <w:bCs/>
        </w:rPr>
      </w:pPr>
      <w:r>
        <w:rPr>
          <w:bCs/>
        </w:rPr>
        <w:t xml:space="preserve">Наиболее успешными для данной группы учащихся оказались задания по следующим темам:</w:t>
      </w:r>
      <w:r/>
    </w:p>
    <w:p>
      <w:pPr>
        <w:pStyle w:val="940"/>
        <w:numPr>
          <w:ilvl w:val="0"/>
          <w:numId w:val="20"/>
        </w:numPr>
        <w:ind w:left="0" w:firstLine="0"/>
        <w:jc w:val="both"/>
        <w:rPr>
          <w:bCs/>
        </w:rPr>
      </w:pPr>
      <w:r>
        <w:rPr>
          <w:bCs/>
        </w:rPr>
        <w:t xml:space="preserve">Равноускоренное прямолинейное движение;</w:t>
      </w:r>
      <w:r/>
    </w:p>
    <w:p>
      <w:pPr>
        <w:pStyle w:val="940"/>
        <w:numPr>
          <w:ilvl w:val="0"/>
          <w:numId w:val="20"/>
        </w:numPr>
        <w:ind w:left="0" w:firstLine="0"/>
        <w:jc w:val="both"/>
        <w:rPr>
          <w:bCs/>
        </w:rPr>
      </w:pPr>
      <w:r>
        <w:rPr>
          <w:bCs/>
        </w:rPr>
        <w:t xml:space="preserve">Закон всемирного тяготения;</w:t>
      </w:r>
      <w:r/>
    </w:p>
    <w:p>
      <w:pPr>
        <w:pStyle w:val="940"/>
        <w:numPr>
          <w:ilvl w:val="0"/>
          <w:numId w:val="20"/>
        </w:numPr>
        <w:ind w:left="0" w:firstLine="0"/>
        <w:jc w:val="both"/>
        <w:rPr>
          <w:bCs/>
        </w:rPr>
      </w:pPr>
      <w:r>
        <w:rPr>
          <w:bCs/>
        </w:rPr>
        <w:t xml:space="preserve">Законы сохранения в механике;</w:t>
      </w:r>
      <w:r/>
    </w:p>
    <w:p>
      <w:pPr>
        <w:pStyle w:val="940"/>
        <w:numPr>
          <w:ilvl w:val="0"/>
          <w:numId w:val="20"/>
        </w:numPr>
        <w:ind w:left="0" w:firstLine="0"/>
        <w:jc w:val="both"/>
        <w:rPr>
          <w:bCs/>
        </w:rPr>
      </w:pPr>
      <w:r>
        <w:rPr>
          <w:bCs/>
        </w:rPr>
        <w:t xml:space="preserve">Условия равновесия твердого тела;</w:t>
      </w:r>
      <w:r/>
    </w:p>
    <w:p>
      <w:pPr>
        <w:pStyle w:val="940"/>
        <w:numPr>
          <w:ilvl w:val="0"/>
          <w:numId w:val="20"/>
        </w:numPr>
        <w:ind w:left="0" w:firstLine="0"/>
        <w:jc w:val="both"/>
        <w:rPr>
          <w:bCs/>
        </w:rPr>
      </w:pPr>
      <w:r>
        <w:rPr>
          <w:bCs/>
        </w:rPr>
        <w:t xml:space="preserve">Тепловые машины;</w:t>
      </w:r>
      <w:r/>
    </w:p>
    <w:p>
      <w:pPr>
        <w:pStyle w:val="940"/>
        <w:numPr>
          <w:ilvl w:val="0"/>
          <w:numId w:val="20"/>
        </w:numPr>
        <w:ind w:left="0" w:firstLine="0"/>
        <w:jc w:val="both"/>
        <w:rPr>
          <w:bCs/>
        </w:rPr>
      </w:pPr>
      <w:r>
        <w:rPr>
          <w:bCs/>
        </w:rPr>
        <w:t xml:space="preserve">Геометрическая оптика;</w:t>
      </w:r>
      <w:r/>
    </w:p>
    <w:p>
      <w:pPr>
        <w:pStyle w:val="940"/>
        <w:numPr>
          <w:ilvl w:val="0"/>
          <w:numId w:val="20"/>
        </w:numPr>
        <w:ind w:left="0" w:firstLine="0"/>
        <w:jc w:val="both"/>
        <w:rPr>
          <w:bCs/>
        </w:rPr>
      </w:pPr>
      <w:r>
        <w:rPr>
          <w:bCs/>
        </w:rPr>
        <w:t xml:space="preserve">Квантовая физика (фотоны).</w:t>
      </w:r>
      <w:r/>
    </w:p>
    <w:p>
      <w:pPr>
        <w:pStyle w:val="940"/>
        <w:ind w:firstLine="708"/>
        <w:jc w:val="both"/>
        <w:rPr>
          <w:bCs/>
        </w:rPr>
      </w:pPr>
      <w:r>
        <w:rPr>
          <w:bCs/>
        </w:rPr>
        <w:t xml:space="preserve">Например, задание по механике, с которым справилось более 80 % учащихся этой группы:</w:t>
      </w:r>
      <w:r/>
    </w:p>
    <w:p>
      <w:pPr>
        <w:pStyle w:val="940"/>
        <w:ind w:firstLine="708"/>
        <w:jc w:val="both"/>
        <w:rPr>
          <w:bCs/>
          <w:i/>
          <w:iCs/>
        </w:rPr>
      </w:pPr>
      <w:r>
        <w:rPr>
          <w:bCs/>
          <w:i/>
          <w:iCs/>
        </w:rPr>
        <w:t xml:space="preserve">Пример 3. </w:t>
      </w:r>
      <w:r/>
    </w:p>
    <w:p>
      <w:pPr>
        <w:pStyle w:val="940"/>
        <w:ind w:firstLine="708"/>
        <w:jc w:val="both"/>
      </w:pPr>
      <w:r>
        <w:t xml:space="preserve">№</w:t>
      </w:r>
      <w:r>
        <w:rPr>
          <w:rFonts w:eastAsia="Times New Roman"/>
        </w:rPr>
        <w:t xml:space="preserve"> </w:t>
      </w:r>
      <w:r>
        <w:t xml:space="preserve">3. Шарик массой 0,2 кг падает с некоторой высоты с начальной скоростью, равной нулю. Его кинетическая энергия при падении на землю равна 24 Дж. С какой высоты упал шарик? Сопротивлением воздуха пренебречь.</w:t>
      </w:r>
      <w:r/>
    </w:p>
    <w:p>
      <w:pPr>
        <w:pStyle w:val="940"/>
        <w:ind w:firstLine="708"/>
        <w:jc w:val="both"/>
      </w:pPr>
      <w:r>
        <w:t xml:space="preserve">Ответ: ___________________________ м.</w:t>
      </w:r>
      <w:r/>
    </w:p>
    <w:p>
      <w:pPr>
        <w:pStyle w:val="940"/>
        <w:ind w:firstLine="708"/>
        <w:jc w:val="both"/>
        <w:rPr>
          <w:bCs/>
        </w:rPr>
      </w:pPr>
      <w:r>
        <w:rPr>
          <w:bCs/>
        </w:rPr>
        <w:t xml:space="preserve">К более трудным для этой группы учащихся можно отнести задания на соответствие и с выбором двух ответов.</w:t>
      </w:r>
      <w:r/>
    </w:p>
    <w:p>
      <w:pPr>
        <w:pStyle w:val="940"/>
        <w:ind w:firstLine="708"/>
        <w:jc w:val="both"/>
      </w:pPr>
      <w:r>
        <w:rPr>
          <w:bCs/>
        </w:rPr>
        <w:t xml:space="preserve">Маленький про</w:t>
      </w:r>
      <w:r>
        <w:rPr>
          <w:bCs/>
        </w:rPr>
        <w:t xml:space="preserve">цент выполнения имеет задание № 18 по электродинамике. В задании рассматривается электрическая цепь и необходимо вывести формулы для нахождения величин через параметры цепи. Возможно, нестандартная формулировка вопроса в задании привела учащихся к ошибкам.</w:t>
      </w:r>
      <w:r/>
    </w:p>
    <w:p>
      <w:pPr>
        <w:pStyle w:val="940"/>
        <w:ind w:firstLine="708"/>
        <w:jc w:val="both"/>
      </w:pPr>
      <w:r>
        <w:rPr>
          <w:bCs/>
          <w:i/>
          <w:iCs/>
        </w:rPr>
        <w:t xml:space="preserve">Пример 4</w:t>
      </w:r>
      <w:r>
        <w:rPr>
          <w:bCs/>
        </w:rPr>
        <w:t xml:space="preserve">.</w:t>
      </w:r>
      <w:r/>
    </w:p>
    <w:p>
      <w:pPr>
        <w:pStyle w:val="940"/>
        <w:ind w:firstLine="708"/>
        <w:jc w:val="both"/>
      </w:pPr>
      <w:r>
        <mc:AlternateContent>
          <mc:Choice Requires="wpg">
            <w:drawing>
              <wp:anchor xmlns:wp="http://schemas.openxmlformats.org/drawingml/2006/wordprocessingDrawing" distT="0" distB="0" distL="114935" distR="114935" simplePos="0" relativeHeight="15" behindDoc="1" locked="0" layoutInCell="0" allowOverlap="1">
                <wp:simplePos x="0" y="0"/>
                <wp:positionH relativeFrom="column">
                  <wp:posOffset>5318125</wp:posOffset>
                </wp:positionH>
                <wp:positionV relativeFrom="paragraph">
                  <wp:posOffset>212090</wp:posOffset>
                </wp:positionV>
                <wp:extent cx="1133475" cy="655955"/>
                <wp:effectExtent l="0" t="0" r="0" b="0"/>
                <wp:wrapTight wrapText="bothSides">
                  <wp:wrapPolygon edited="1">
                    <wp:start x="-219" y="13"/>
                    <wp:lineTo x="-219" y="21152"/>
                    <wp:lineTo x="21573" y="21152"/>
                    <wp:lineTo x="21573" y="13"/>
                    <wp:lineTo x="-219" y="13"/>
                  </wp:wrapPolygon>
                </wp:wrapTight>
                <wp:docPr id="7" name="Image5"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hidden="0"/>
                        <pic:cNvPicPr>
                          <a:picLocks noChangeAspect="1"/>
                        </pic:cNvPicPr>
                        <pic:nvPr isPhoto="0" userDrawn="0"/>
                      </pic:nvPicPr>
                      <pic:blipFill>
                        <a:blip r:embed="rId20"/>
                        <a:srcRect l="-119" t="-206" r="-118" b="-206"/>
                        <a:stretch/>
                      </pic:blipFill>
                      <pic:spPr bwMode="auto">
                        <a:xfrm>
                          <a:off x="0" y="0"/>
                          <a:ext cx="1133475" cy="65595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15;o:allowoverlap:true;o:allowincell:false;mso-position-horizontal-relative:text;margin-left:418.8pt;mso-position-horizontal:absolute;mso-position-vertical-relative:text;margin-top:16.7pt;mso-position-vertical:absolute;width:89.2pt;height:51.6pt;" wrapcoords="-1013 60 -1013 97926 99875 97926 99875 60 -1013 60" stroked="false">
                <v:path textboxrect="0,0,0,0"/>
                <v:imagedata r:id="rId20" o:title=""/>
              </v:shape>
            </w:pict>
          </mc:Fallback>
        </mc:AlternateContent>
      </w:r>
      <w:r>
        <w:rPr>
          <w:rFonts w:eastAsia="Times New Roman"/>
        </w:rPr>
        <w:t xml:space="preserve">№</w:t>
      </w:r>
      <w:r>
        <w:rPr>
          <w:rFonts w:eastAsia="Times New Roman"/>
        </w:rPr>
        <w:t xml:space="preserve"> </w:t>
      </w:r>
      <w:r>
        <w:t xml:space="preserve">18. Электрическая цепь на рисунке состоит из источника постоянного напряжения с ЭДС и внутренним сопротивлением </w:t>
      </w:r>
      <w:r>
        <w:rPr>
          <w:rFonts w:eastAsia="TimesNewRomanPS-ItalicMT;Yu Gothic"/>
          <w:i/>
          <w:iCs/>
        </w:rPr>
        <w:t xml:space="preserve">r </w:t>
      </w:r>
      <w:r>
        <w:t xml:space="preserve">и внешней цепи из двух одинаковых резисторов сопротивлением </w:t>
      </w:r>
      <w:r>
        <w:rPr>
          <w:rFonts w:eastAsia="TimesNewRomanPS-ItalicMT;Yu Gothic"/>
          <w:i/>
          <w:iCs/>
        </w:rPr>
        <w:t xml:space="preserve">R</w:t>
      </w:r>
      <w:r>
        <w:t xml:space="preserve">, включённых параллельно. Установите соответствие между физическими величинами и формулами, по которым их можно рассчитать.</w:t>
      </w:r>
      <w:r/>
    </w:p>
    <w:p>
      <w:pPr>
        <w:pStyle w:val="940"/>
        <w:ind w:firstLine="708"/>
        <w:jc w:val="both"/>
      </w:pPr>
      <w:r>
        <w:t xml:space="preserve">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r/>
    </w:p>
    <w:p>
      <w:pPr>
        <w:pStyle w:val="940"/>
      </w:pPr>
      <w:r/>
      <w:r/>
    </w:p>
    <w:p>
      <w:pPr>
        <w:pStyle w:val="940"/>
        <w:jc w:val="both"/>
      </w:pPr>
      <w:r>
        <w:t xml:space="preserve">ФИЗИЧЕСКИЕ ВЕЛИЧИНЫ                                                          ФОРМУЛЫ</w:t>
      </w:r>
      <w:r/>
    </w:p>
    <w:p>
      <w:pPr>
        <w:pStyle w:val="940"/>
        <w:jc w:val="both"/>
      </w:pPr>
      <w:r>
        <mc:AlternateContent>
          <mc:Choice Requires="wpg">
            <w:drawing>
              <wp:anchor xmlns:wp="http://schemas.openxmlformats.org/drawingml/2006/wordprocessingDrawing" distT="0" distB="0" distL="114935" distR="114935" simplePos="0" relativeHeight="16" behindDoc="1" locked="0" layoutInCell="0" allowOverlap="1">
                <wp:simplePos x="0" y="0"/>
                <wp:positionH relativeFrom="column">
                  <wp:posOffset>4441825</wp:posOffset>
                </wp:positionH>
                <wp:positionV relativeFrom="paragraph">
                  <wp:posOffset>64135</wp:posOffset>
                </wp:positionV>
                <wp:extent cx="895350" cy="1739900"/>
                <wp:effectExtent l="0" t="0" r="0" b="0"/>
                <wp:wrapTight wrapText="bothSides">
                  <wp:wrapPolygon edited="1">
                    <wp:start x="-239" y="3"/>
                    <wp:lineTo x="-239" y="21451"/>
                    <wp:lineTo x="21580" y="21451"/>
                    <wp:lineTo x="21580" y="3"/>
                    <wp:lineTo x="-239" y="3"/>
                  </wp:wrapPolygon>
                </wp:wrapTight>
                <wp:docPr id="8" name="Image6"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hidden="0"/>
                        <pic:cNvPicPr>
                          <a:picLocks noChangeAspect="1"/>
                        </pic:cNvPicPr>
                        <pic:nvPr isPhoto="0" userDrawn="0"/>
                      </pic:nvPicPr>
                      <pic:blipFill>
                        <a:blip r:embed="rId21"/>
                        <a:srcRect l="-130" t="-67" r="-129" b="-66"/>
                        <a:stretch/>
                      </pic:blipFill>
                      <pic:spPr bwMode="auto">
                        <a:xfrm>
                          <a:off x="0" y="0"/>
                          <a:ext cx="895350" cy="17399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16;o:allowoverlap:true;o:allowincell:false;mso-position-horizontal-relative:text;margin-left:349.8pt;mso-position-horizontal:absolute;mso-position-vertical-relative:text;margin-top:5.0pt;mso-position-vertical:absolute;width:70.5pt;height:137.0pt;" wrapcoords="-1105 14 -1105 99310 99907 99310 99907 14 -1105 14" stroked="false">
                <v:path textboxrect="0,0,0,0"/>
                <v:imagedata r:id="rId21" o:title=""/>
              </v:shape>
            </w:pict>
          </mc:Fallback>
        </mc:AlternateContent>
      </w:r>
      <w:r>
        <w:t xml:space="preserve">А</w:t>
      </w:r>
      <w:r>
        <w:t xml:space="preserve">) мощность тока, выделяющаяся </w:t>
      </w:r>
      <w:r/>
    </w:p>
    <w:p>
      <w:pPr>
        <w:pStyle w:val="940"/>
        <w:jc w:val="both"/>
      </w:pPr>
      <w:r>
        <w:t xml:space="preserve">на одном из резисторов </w:t>
      </w:r>
      <w:r>
        <w:rPr>
          <w:rFonts w:eastAsia="TimesNewRomanPS-ItalicMT;Yu Gothic"/>
          <w:i/>
          <w:iCs/>
        </w:rPr>
        <w:t xml:space="preserve">R</w:t>
      </w:r>
      <w:r/>
    </w:p>
    <w:p>
      <w:pPr>
        <w:pStyle w:val="940"/>
        <w:jc w:val="both"/>
      </w:pPr>
      <w:r>
        <w:t xml:space="preserve">Б) мощность сторонних сил в источнике</w:t>
      </w:r>
      <w:r/>
    </w:p>
    <w:p>
      <w:pPr>
        <w:pStyle w:val="940"/>
        <w:jc w:val="both"/>
      </w:pPr>
      <w:r>
        <w:t xml:space="preserve">тока</w:t>
      </w:r>
      <w:r/>
    </w:p>
    <w:p>
      <w:pPr>
        <w:pStyle w:val="940"/>
        <w:jc w:val="both"/>
      </w:pPr>
      <w:r/>
      <w:r/>
    </w:p>
    <w:p>
      <w:pPr>
        <w:pStyle w:val="940"/>
        <w:jc w:val="both"/>
      </w:pPr>
      <w:r/>
      <w:r/>
    </w:p>
    <w:p>
      <w:pPr>
        <w:pStyle w:val="940"/>
        <w:jc w:val="both"/>
      </w:pPr>
      <w:r>
        <w:rPr>
          <w:rFonts w:eastAsia="Times New Roman"/>
        </w:rPr>
        <w:t xml:space="preserve"> </w:t>
      </w:r>
      <w:r>
        <w:t xml:space="preserve">Ответ: </w:t>
      </w:r>
      <w:r>
        <mc:AlternateContent>
          <mc:Choice Requires="wpg">
            <w:drawing>
              <wp:anchor xmlns:wp="http://schemas.openxmlformats.org/drawingml/2006/wordprocessingDrawing" distT="0" distB="0" distL="114935" distR="114935" simplePos="0" relativeHeight="13" behindDoc="0" locked="0" layoutInCell="0" allowOverlap="1">
                <wp:simplePos x="0" y="0"/>
                <wp:positionH relativeFrom="page">
                  <wp:posOffset>1755775</wp:posOffset>
                </wp:positionH>
                <wp:positionV relativeFrom="paragraph">
                  <wp:posOffset>60325</wp:posOffset>
                </wp:positionV>
                <wp:extent cx="786765" cy="368935"/>
                <wp:effectExtent l="0" t="0" r="0" b="0"/>
                <wp:wrapSquare wrapText="bothSides"/>
                <wp:docPr id="9" name="Frame2" hidden="0"/>
                <wp:cNvGraphicFramePr/>
                <a:graphic xmlns:a="http://schemas.openxmlformats.org/drawingml/2006/main">
                  <a:graphicData uri="http://schemas.microsoft.com/office/word/2010/wordprocessingShape">
                    <wps:wsp>
                      <wps:cNvPr id="0" name=""/>
                      <wps:cNvSpPr txBox="1"/>
                      <wps:spPr bwMode="auto">
                        <a:xfrm>
                          <a:off x="0" y="0"/>
                          <a:ext cx="786765" cy="368935"/>
                        </a:xfrm>
                        <a:prstGeom prst="rect">
                          <a:avLst/>
                        </a:prstGeom>
                        <a:solidFill>
                          <a:srgbClr val="FFFFFF">
                            <a:alpha val="0"/>
                          </a:srgbClr>
                        </a:solidFill>
                      </wps:spPr>
                      <wps:txbx>
                        <w:txbxContent>
                          <w:tbl>
                            <w:tblPr>
                              <w:tblW w:w="1250" w:type="dxa"/>
                              <w:tblInd w:w="-5" w:type="dxa"/>
                              <w:tblLayout w:type="fixed"/>
                              <w:tblCellMar>
                                <w:left w:w="108" w:type="dxa"/>
                                <w:top w:w="0" w:type="dxa"/>
                                <w:right w:w="108" w:type="dxa"/>
                                <w:bottom w:w="0" w:type="dxa"/>
                              </w:tblCellMar>
                              <w:tblLook w:val="04A0" w:firstRow="1" w:lastRow="0" w:firstColumn="1" w:lastColumn="0" w:noHBand="0" w:noVBand="1"/>
                            </w:tblPr>
                            <w:tblGrid>
                              <w:gridCol w:w="615"/>
                              <w:gridCol w:w="635"/>
                            </w:tblGrid>
                            <w:tr>
                              <w:trPr>
                                <w:trHeight w:val="241"/>
                              </w:trPr>
                              <w:tc>
                                <w:tcPr>
                                  <w:tcBorders>
                                    <w:top w:val="single" w:color="000000" w:sz="4" w:space="0"/>
                                    <w:left w:val="single" w:color="000000" w:sz="4" w:space="0"/>
                                    <w:bottom w:val="single" w:color="000000" w:sz="4" w:space="0"/>
                                  </w:tcBorders>
                                  <w:tcW w:w="615" w:type="dxa"/>
                                  <w:textDirection w:val="lrTb"/>
                                  <w:noWrap w:val="false"/>
                                </w:tcPr>
                                <w:p>
                                  <w:pPr>
                                    <w:pStyle w:val="940"/>
                                    <w:jc w:val="center"/>
                                  </w:pPr>
                                  <w:r>
                                    <w:t xml:space="preserve">А</w:t>
                                  </w:r>
                                  <w:r/>
                                </w:p>
                              </w:tc>
                              <w:tc>
                                <w:tcPr>
                                  <w:tcBorders>
                                    <w:top w:val="single" w:color="000000" w:sz="4" w:space="0"/>
                                    <w:left w:val="single" w:color="000000" w:sz="4" w:space="0"/>
                                    <w:bottom w:val="single" w:color="000000" w:sz="4" w:space="0"/>
                                    <w:right w:val="single" w:color="000000" w:sz="4" w:space="0"/>
                                  </w:tcBorders>
                                  <w:tcW w:w="635" w:type="dxa"/>
                                  <w:textDirection w:val="lrTb"/>
                                  <w:noWrap w:val="false"/>
                                </w:tcPr>
                                <w:p>
                                  <w:pPr>
                                    <w:pStyle w:val="940"/>
                                    <w:jc w:val="center"/>
                                  </w:pPr>
                                  <w:r>
                                    <w:t xml:space="preserve">Б</w:t>
                                  </w:r>
                                  <w:r/>
                                </w:p>
                              </w:tc>
                            </w:tr>
                            <w:tr>
                              <w:trPr>
                                <w:trHeight w:val="241"/>
                              </w:trPr>
                              <w:tc>
                                <w:tcPr>
                                  <w:tcBorders>
                                    <w:top w:val="single" w:color="000000" w:sz="4" w:space="0"/>
                                    <w:left w:val="single" w:color="000000" w:sz="4" w:space="0"/>
                                    <w:bottom w:val="single" w:color="000000" w:sz="4" w:space="0"/>
                                  </w:tcBorders>
                                  <w:tcW w:w="615" w:type="dxa"/>
                                  <w:textDirection w:val="lrTb"/>
                                  <w:noWrap w:val="false"/>
                                </w:tcPr>
                                <w:p>
                                  <w:pPr>
                                    <w:pStyle w:val="940"/>
                                    <w:jc w:val="both"/>
                                  </w:pPr>
                                  <w:r/>
                                  <w:r/>
                                </w:p>
                              </w:tc>
                              <w:tc>
                                <w:tcPr>
                                  <w:tcBorders>
                                    <w:top w:val="single" w:color="000000" w:sz="4" w:space="0"/>
                                    <w:left w:val="single" w:color="000000" w:sz="4" w:space="0"/>
                                    <w:bottom w:val="single" w:color="000000" w:sz="4" w:space="0"/>
                                    <w:right w:val="single" w:color="000000" w:sz="4" w:space="0"/>
                                  </w:tcBorders>
                                  <w:tcW w:w="635" w:type="dxa"/>
                                  <w:textDirection w:val="lrTb"/>
                                  <w:noWrap w:val="false"/>
                                </w:tcPr>
                                <w:p>
                                  <w:pPr>
                                    <w:pStyle w:val="940"/>
                                    <w:jc w:val="both"/>
                                  </w:pPr>
                                  <w:r/>
                                  <w:r/>
                                </w:p>
                              </w:tc>
                            </w:tr>
                          </w:tbl>
                          <w:p>
                            <w:pPr>
                              <w:pStyle w:val="940"/>
                              <w:rPr>
                                <w:rFonts w:eastAsia="Times New Roman"/>
                              </w:rPr>
                            </w:pPr>
                            <w:r>
                              <w:rPr>
                                <w:rFonts w:eastAsia="Times New Roman"/>
                              </w:rPr>
                              <w:t xml:space="preserve"> </w:t>
                            </w:r>
                            <w:r/>
                          </w:p>
                        </w:txbxContent>
                      </wps:txbx>
                      <wps:bodyPr lIns="635" tIns="635" rIns="635" bIns="635" anchor="t">
                        <a:noAutofit/>
                      </wps:bodyPr>
                    </wps:wsp>
                  </a:graphicData>
                </a:graphic>
              </wp:anchor>
            </w:drawing>
          </mc:Choice>
          <mc:Fallback>
            <w:pict>
              <v:shape id="shape 8" o:spid="_x0000_s8" o:spt="1" style="position:absolute;mso-wrap-distance-left:9.0pt;mso-wrap-distance-top:0.0pt;mso-wrap-distance-right:9.0pt;mso-wrap-distance-bottom:0.0pt;z-index:13;o:allowoverlap:true;o:allowincell:false;mso-position-horizontal-relative:page;margin-left:138.2pt;mso-position-horizontal:absolute;mso-position-vertical-relative:text;margin-top:4.8pt;mso-position-vertical:absolute;width:61.9pt;height:29.0pt;v-text-anchor:top;" coordsize="100000,100000" path="" fillcolor="#FFFFFF">
                <v:path textboxrect="0,0,0,0"/>
                <v:fill opacity="100f"/>
                <w10:wrap type="square"/>
                <v:textbox>
                  <w:txbxContent>
                    <w:tbl>
                      <w:tblPr>
                        <w:tblW w:w="1250" w:type="dxa"/>
                        <w:tblInd w:w="-5" w:type="dxa"/>
                        <w:tblLayout w:type="fixed"/>
                        <w:tblCellMar>
                          <w:left w:w="108" w:type="dxa"/>
                          <w:top w:w="0" w:type="dxa"/>
                          <w:right w:w="108" w:type="dxa"/>
                          <w:bottom w:w="0" w:type="dxa"/>
                        </w:tblCellMar>
                        <w:tblLook w:val="04A0" w:firstRow="1" w:lastRow="0" w:firstColumn="1" w:lastColumn="0" w:noHBand="0" w:noVBand="1"/>
                      </w:tblPr>
                      <w:tblGrid>
                        <w:gridCol w:w="615"/>
                        <w:gridCol w:w="635"/>
                      </w:tblGrid>
                      <w:tr>
                        <w:trPr>
                          <w:trHeight w:val="241"/>
                        </w:trPr>
                        <w:tc>
                          <w:tcPr>
                            <w:tcBorders>
                              <w:top w:val="single" w:color="000000" w:sz="4" w:space="0"/>
                              <w:left w:val="single" w:color="000000" w:sz="4" w:space="0"/>
                              <w:bottom w:val="single" w:color="000000" w:sz="4" w:space="0"/>
                            </w:tcBorders>
                            <w:tcW w:w="615" w:type="dxa"/>
                            <w:textDirection w:val="lrTb"/>
                            <w:noWrap w:val="false"/>
                          </w:tcPr>
                          <w:p>
                            <w:pPr>
                              <w:pStyle w:val="940"/>
                              <w:jc w:val="center"/>
                            </w:pPr>
                            <w:r>
                              <w:t xml:space="preserve">А</w:t>
                            </w:r>
                            <w:r/>
                          </w:p>
                        </w:tc>
                        <w:tc>
                          <w:tcPr>
                            <w:tcBorders>
                              <w:top w:val="single" w:color="000000" w:sz="4" w:space="0"/>
                              <w:left w:val="single" w:color="000000" w:sz="4" w:space="0"/>
                              <w:bottom w:val="single" w:color="000000" w:sz="4" w:space="0"/>
                              <w:right w:val="single" w:color="000000" w:sz="4" w:space="0"/>
                            </w:tcBorders>
                            <w:tcW w:w="635" w:type="dxa"/>
                            <w:textDirection w:val="lrTb"/>
                            <w:noWrap w:val="false"/>
                          </w:tcPr>
                          <w:p>
                            <w:pPr>
                              <w:pStyle w:val="940"/>
                              <w:jc w:val="center"/>
                            </w:pPr>
                            <w:r>
                              <w:t xml:space="preserve">Б</w:t>
                            </w:r>
                            <w:r/>
                          </w:p>
                        </w:tc>
                      </w:tr>
                      <w:tr>
                        <w:trPr>
                          <w:trHeight w:val="241"/>
                        </w:trPr>
                        <w:tc>
                          <w:tcPr>
                            <w:tcBorders>
                              <w:top w:val="single" w:color="000000" w:sz="4" w:space="0"/>
                              <w:left w:val="single" w:color="000000" w:sz="4" w:space="0"/>
                              <w:bottom w:val="single" w:color="000000" w:sz="4" w:space="0"/>
                            </w:tcBorders>
                            <w:tcW w:w="615" w:type="dxa"/>
                            <w:textDirection w:val="lrTb"/>
                            <w:noWrap w:val="false"/>
                          </w:tcPr>
                          <w:p>
                            <w:pPr>
                              <w:pStyle w:val="940"/>
                              <w:jc w:val="both"/>
                            </w:pPr>
                            <w:r/>
                            <w:r/>
                          </w:p>
                        </w:tc>
                        <w:tc>
                          <w:tcPr>
                            <w:tcBorders>
                              <w:top w:val="single" w:color="000000" w:sz="4" w:space="0"/>
                              <w:left w:val="single" w:color="000000" w:sz="4" w:space="0"/>
                              <w:bottom w:val="single" w:color="000000" w:sz="4" w:space="0"/>
                              <w:right w:val="single" w:color="000000" w:sz="4" w:space="0"/>
                            </w:tcBorders>
                            <w:tcW w:w="635" w:type="dxa"/>
                            <w:textDirection w:val="lrTb"/>
                            <w:noWrap w:val="false"/>
                          </w:tcPr>
                          <w:p>
                            <w:pPr>
                              <w:pStyle w:val="940"/>
                              <w:jc w:val="both"/>
                            </w:pPr>
                            <w:r/>
                            <w:r/>
                          </w:p>
                        </w:tc>
                      </w:tr>
                    </w:tbl>
                    <w:p>
                      <w:pPr>
                        <w:pStyle w:val="940"/>
                        <w:rPr>
                          <w:rFonts w:eastAsia="Times New Roman"/>
                        </w:rPr>
                      </w:pPr>
                      <w:r>
                        <w:rPr>
                          <w:rFonts w:eastAsia="Times New Roman"/>
                        </w:rPr>
                        <w:t xml:space="preserve"> </w:t>
                      </w:r>
                      <w:r/>
                    </w:p>
                  </w:txbxContent>
                </v:textbox>
              </v:shape>
            </w:pict>
          </mc:Fallback>
        </mc:AlternateContent>
      </w:r>
      <w:r/>
    </w:p>
    <w:p>
      <w:pPr>
        <w:pStyle w:val="940"/>
        <w:jc w:val="both"/>
      </w:pPr>
      <w:r/>
      <w:r/>
    </w:p>
    <w:p>
      <w:pPr>
        <w:pStyle w:val="940"/>
        <w:jc w:val="both"/>
      </w:pPr>
      <w:r/>
      <w:r/>
    </w:p>
    <w:p>
      <w:pPr>
        <w:pStyle w:val="940"/>
        <w:jc w:val="both"/>
      </w:pPr>
      <w:r/>
      <w:r/>
    </w:p>
    <w:p>
      <w:pPr>
        <w:pStyle w:val="940"/>
        <w:jc w:val="both"/>
      </w:pPr>
      <w:r/>
      <w:r/>
    </w:p>
    <w:p>
      <w:pPr>
        <w:pStyle w:val="940"/>
        <w:ind w:firstLine="708"/>
        <w:jc w:val="both"/>
      </w:pPr>
      <w:r>
        <w:t xml:space="preserve">Это задание сложно еще и тем, что требует не только знаний основных формул, но и математических навыков решения системы уравнений в общем виде.</w:t>
      </w:r>
      <w:r/>
    </w:p>
    <w:p>
      <w:pPr>
        <w:pStyle w:val="940"/>
        <w:contextualSpacing/>
        <w:ind w:firstLine="708"/>
        <w:jc w:val="both"/>
        <w:spacing w:before="0" w:after="0"/>
      </w:pPr>
      <w:r>
        <w:rPr>
          <w:lang w:eastAsia="en-US"/>
        </w:rPr>
        <w:t xml:space="preserve">Низкий процент выполнения остается у заданий на установление соответствия </w:t>
      </w:r>
      <w:r>
        <w:rPr>
          <w:rFonts w:eastAsia="TimesNewRomanPSMT;Times New Roman"/>
          <w:iCs/>
          <w:lang w:eastAsia="en-US"/>
        </w:rPr>
        <w:t xml:space="preserve">между графиками и физическими</w:t>
      </w:r>
      <w:r>
        <w:rPr>
          <w:rFonts w:eastAsia="TimesNewRomanPSMT;Times New Roman"/>
          <w:iCs/>
          <w:lang w:eastAsia="en-US"/>
        </w:rPr>
        <w:t xml:space="preserve"> величинами, между физическими величинами и формулами. Такие задания требуют от учащихся умений анализировать физические явления, описанные в конкретных ситуациях, а также знаний из математики (уметь читать графики, решать пропорцию, составлять уравнения).</w:t>
      </w:r>
      <w:r/>
    </w:p>
    <w:p>
      <w:pPr>
        <w:pStyle w:val="940"/>
        <w:contextualSpacing/>
        <w:ind w:firstLine="708"/>
        <w:jc w:val="both"/>
        <w:spacing w:before="0" w:after="0"/>
        <w:rPr>
          <w:rFonts w:eastAsia="TimesNewRomanPSMT;Times New Roman"/>
          <w:iCs/>
          <w:lang w:eastAsia="en-US"/>
        </w:rPr>
      </w:pPr>
      <w:r>
        <w:rPr>
          <w:rFonts w:eastAsia="TimesNewRomanPSMT;Times New Roman"/>
          <w:iCs/>
          <w:lang w:eastAsia="en-US"/>
        </w:rPr>
        <w:t xml:space="preserve">Процент выполнения заданий с выбором двух ответов немного уменьшился по сравнению с прошлым годом. </w:t>
      </w:r>
      <w:r>
        <w:rPr>
          <w:rFonts w:eastAsia="TimesNewRomanPSMT;Times New Roman"/>
          <w:iCs/>
          <w:lang w:eastAsia="en-US"/>
        </w:rPr>
        <w:t xml:space="preserve">Для того, чтобы дать ответ в таких заданиях необходимо проанализировать все предложенные утверждения (их всего 5) и выбрать два правильных. Все эти задания относятся к повышенному уровню сложности и требуют глубокого понимания физических явлений и законов.</w:t>
      </w:r>
      <w:r/>
    </w:p>
    <w:p>
      <w:pPr>
        <w:pStyle w:val="940"/>
        <w:contextualSpacing/>
        <w:ind w:firstLine="708"/>
        <w:jc w:val="both"/>
        <w:spacing w:before="0" w:after="0"/>
        <w:rPr>
          <w:bCs/>
          <w:lang w:eastAsia="en-US"/>
        </w:rPr>
      </w:pPr>
      <w:r>
        <w:rPr>
          <w:bCs/>
          <w:lang w:eastAsia="en-US"/>
        </w:rPr>
        <w:t xml:space="preserve">Задания, вызвавшие затруднения (на тему):</w:t>
      </w:r>
      <w:r/>
    </w:p>
    <w:p>
      <w:pPr>
        <w:pStyle w:val="940"/>
        <w:numPr>
          <w:ilvl w:val="0"/>
          <w:numId w:val="61"/>
        </w:numPr>
        <w:contextualSpacing/>
        <w:ind w:left="0" w:firstLine="0"/>
        <w:jc w:val="both"/>
        <w:spacing w:before="0" w:after="0"/>
        <w:rPr>
          <w:bCs/>
          <w:lang w:eastAsia="en-US"/>
        </w:rPr>
      </w:pPr>
      <w:r>
        <w:rPr>
          <w:bCs/>
          <w:lang w:eastAsia="en-US"/>
        </w:rPr>
        <w:t xml:space="preserve">Динамика, статика;</w:t>
      </w:r>
      <w:r/>
    </w:p>
    <w:p>
      <w:pPr>
        <w:pStyle w:val="940"/>
        <w:numPr>
          <w:ilvl w:val="0"/>
          <w:numId w:val="61"/>
        </w:numPr>
        <w:contextualSpacing/>
        <w:ind w:left="0" w:firstLine="0"/>
        <w:jc w:val="both"/>
        <w:spacing w:before="0" w:after="0"/>
        <w:rPr>
          <w:bCs/>
          <w:lang w:eastAsia="en-US"/>
        </w:rPr>
      </w:pPr>
      <w:r>
        <w:rPr>
          <w:bCs/>
          <w:lang w:eastAsia="en-US"/>
        </w:rPr>
        <w:t xml:space="preserve">Расчет цепей постоянного тока;</w:t>
      </w:r>
      <w:r/>
    </w:p>
    <w:p>
      <w:pPr>
        <w:pStyle w:val="940"/>
        <w:numPr>
          <w:ilvl w:val="0"/>
          <w:numId w:val="61"/>
        </w:numPr>
        <w:contextualSpacing/>
        <w:ind w:left="0" w:firstLine="0"/>
        <w:jc w:val="both"/>
        <w:spacing w:before="0" w:after="0"/>
        <w:rPr>
          <w:bCs/>
          <w:lang w:eastAsia="en-US"/>
        </w:rPr>
      </w:pPr>
      <w:r>
        <w:rPr>
          <w:bCs/>
          <w:lang w:eastAsia="en-US"/>
        </w:rPr>
        <w:t xml:space="preserve">Влажность воздуха;</w:t>
      </w:r>
      <w:r/>
    </w:p>
    <w:p>
      <w:pPr>
        <w:pStyle w:val="940"/>
        <w:numPr>
          <w:ilvl w:val="0"/>
          <w:numId w:val="61"/>
        </w:numPr>
        <w:contextualSpacing/>
        <w:ind w:left="0" w:firstLine="0"/>
        <w:jc w:val="both"/>
        <w:spacing w:before="0" w:after="0"/>
        <w:rPr>
          <w:bCs/>
          <w:lang w:eastAsia="en-US"/>
        </w:rPr>
      </w:pPr>
      <w:r>
        <w:rPr>
          <w:bCs/>
          <w:lang w:eastAsia="en-US"/>
        </w:rPr>
        <w:t xml:space="preserve">Тепловой баланс;</w:t>
      </w:r>
      <w:r/>
    </w:p>
    <w:p>
      <w:pPr>
        <w:pStyle w:val="940"/>
        <w:numPr>
          <w:ilvl w:val="0"/>
          <w:numId w:val="61"/>
        </w:numPr>
        <w:contextualSpacing/>
        <w:ind w:left="0" w:firstLine="0"/>
        <w:jc w:val="both"/>
        <w:spacing w:before="0" w:after="0"/>
        <w:rPr>
          <w:bCs/>
          <w:lang w:eastAsia="en-US"/>
        </w:rPr>
      </w:pPr>
      <w:r>
        <w:rPr>
          <w:bCs/>
          <w:lang w:eastAsia="en-US"/>
        </w:rPr>
        <w:t xml:space="preserve">Закон Кулона;</w:t>
      </w:r>
      <w:r/>
    </w:p>
    <w:p>
      <w:pPr>
        <w:pStyle w:val="940"/>
        <w:numPr>
          <w:ilvl w:val="0"/>
          <w:numId w:val="61"/>
        </w:numPr>
        <w:contextualSpacing/>
        <w:ind w:left="0" w:firstLine="0"/>
        <w:jc w:val="both"/>
        <w:spacing w:before="0" w:after="0"/>
        <w:rPr>
          <w:bCs/>
          <w:lang w:eastAsia="en-US"/>
        </w:rPr>
      </w:pPr>
      <w:r>
        <w:rPr>
          <w:bCs/>
          <w:lang w:eastAsia="en-US"/>
        </w:rPr>
        <w:t xml:space="preserve">Волновая оптика (дифракционная решетка);</w:t>
      </w:r>
      <w:r/>
    </w:p>
    <w:p>
      <w:pPr>
        <w:pStyle w:val="940"/>
        <w:numPr>
          <w:ilvl w:val="0"/>
          <w:numId w:val="61"/>
        </w:numPr>
        <w:contextualSpacing/>
        <w:ind w:left="0" w:firstLine="0"/>
        <w:jc w:val="both"/>
        <w:spacing w:before="0" w:after="0"/>
        <w:rPr>
          <w:bCs/>
          <w:lang w:eastAsia="en-US"/>
        </w:rPr>
      </w:pPr>
      <w:r>
        <w:rPr>
          <w:bCs/>
          <w:lang w:eastAsia="en-US"/>
        </w:rPr>
        <w:t xml:space="preserve">Ядерная физика (нуклонная модель ядра);</w:t>
      </w:r>
      <w:r/>
    </w:p>
    <w:p>
      <w:pPr>
        <w:pStyle w:val="940"/>
        <w:numPr>
          <w:ilvl w:val="0"/>
          <w:numId w:val="61"/>
        </w:numPr>
        <w:contextualSpacing/>
        <w:ind w:left="0" w:firstLine="0"/>
        <w:jc w:val="both"/>
        <w:spacing w:before="0" w:after="0"/>
        <w:rPr>
          <w:bCs/>
          <w:lang w:eastAsia="en-US"/>
        </w:rPr>
      </w:pPr>
      <w:r>
        <w:rPr>
          <w:bCs/>
          <w:lang w:eastAsia="en-US"/>
        </w:rPr>
        <w:t xml:space="preserve">Задания на объяснение явлений;</w:t>
      </w:r>
      <w:r/>
    </w:p>
    <w:p>
      <w:pPr>
        <w:pStyle w:val="940"/>
        <w:numPr>
          <w:ilvl w:val="0"/>
          <w:numId w:val="61"/>
        </w:numPr>
        <w:contextualSpacing/>
        <w:ind w:left="0" w:firstLine="0"/>
        <w:jc w:val="both"/>
        <w:spacing w:before="0" w:after="0"/>
      </w:pPr>
      <w:r>
        <w:rPr>
          <w:bCs/>
          <w:lang w:eastAsia="en-US"/>
        </w:rPr>
        <w:t xml:space="preserve">Задания на </w:t>
      </w:r>
      <w:r>
        <w:rPr>
          <w:rFonts w:eastAsia="TimesNewRomanPSMT;Times New Roman"/>
          <w:iCs/>
          <w:lang w:eastAsia="en-US"/>
        </w:rPr>
        <w:t xml:space="preserve">установление соответствия между графиками и физическими величинами</w:t>
      </w:r>
      <w:r>
        <w:rPr>
          <w:bCs/>
          <w:lang w:eastAsia="en-US"/>
        </w:rPr>
        <w:t xml:space="preserve">;</w:t>
      </w:r>
      <w:r/>
    </w:p>
    <w:p>
      <w:pPr>
        <w:pStyle w:val="940"/>
        <w:numPr>
          <w:ilvl w:val="0"/>
          <w:numId w:val="61"/>
        </w:numPr>
        <w:contextualSpacing/>
        <w:ind w:left="0" w:firstLine="0"/>
        <w:spacing w:before="0" w:after="0"/>
        <w:rPr>
          <w:bCs/>
          <w:lang w:eastAsia="en-US"/>
        </w:rPr>
      </w:pPr>
      <w:r>
        <w:rPr>
          <w:bCs/>
          <w:lang w:eastAsia="en-US"/>
        </w:rPr>
        <w:t xml:space="preserve">Расчетные задачи второй части по всем темам.</w:t>
      </w:r>
      <w:r/>
    </w:p>
    <w:p>
      <w:pPr>
        <w:pStyle w:val="940"/>
        <w:ind w:firstLine="708"/>
        <w:jc w:val="both"/>
      </w:pPr>
      <w:r>
        <w:t xml:space="preserve">Часть 2. </w:t>
      </w:r>
      <w:r>
        <w:t xml:space="preserve">В этой части проверяются такие умения и способы действий, как применение полученных знаний при решении физических задач; использование приобретенных знаний и умений в практической деятельности и повседневной жизни. Эти задания требую развернутого ответа и </w:t>
      </w:r>
      <w:r>
        <w:t xml:space="preserve">оказались посильными лишь для учащихся с высоким уровнем подготовки. Стоит отметить, что учащиеся, не преодолевшие минимальный балл, также приступали к решению задач второй части (3,13 % выполнения задания № 26, 0,35 % выполнения качественной задачи № 27).</w:t>
      </w:r>
      <w:r/>
    </w:p>
    <w:p>
      <w:pPr>
        <w:pStyle w:val="940"/>
        <w:ind w:firstLine="708"/>
        <w:jc w:val="both"/>
      </w:pPr>
      <w:r>
        <w:t xml:space="preserve">В этом </w:t>
      </w:r>
      <w:r>
        <w:t xml:space="preserve">году, как и в предыдущие годы, на ЕГЭ по физике с задачами, требующими развернутое решение, участники не справились. По сравнению с прошлым годом (в среднем 15,6 %) процент выполнения всех задач с развернутым ответом несколько снизился (в среднем 13,6 %). </w:t>
      </w:r>
      <w:r/>
    </w:p>
    <w:p>
      <w:pPr>
        <w:pStyle w:val="940"/>
        <w:ind w:firstLine="708"/>
        <w:jc w:val="both"/>
      </w:pPr>
      <w:r>
        <w:t xml:space="preserve">Из числа сдававших, больше половины, 517 участника (56 %), получили 0 первичных баллов за задания с развернутым ответом. Максимальное количество баллов (17 баллов) получили четыре человека, один из них набрал 100 тестовых баллов. </w:t>
      </w:r>
      <w:r/>
    </w:p>
    <w:p>
      <w:pPr>
        <w:pStyle w:val="940"/>
        <w:ind w:firstLine="708"/>
        <w:jc w:val="both"/>
      </w:pPr>
      <w:r>
        <w:t xml:space="preserve">Наиболее успешным с точки зрения получения максимально возможного балла (2 балла) оказалось задание повышенной сложности № 28 (31,28 % выполнения). Это достаточно простое задание по кинематике на прямолинейное равноус</w:t>
      </w:r>
      <w:r>
        <w:t xml:space="preserve">коренное движение. Требовалось записать уравнения движения с учетом проекций векторов. Маленький процент выполнения этого задания связан с тем, что учащиеся не записывали исходные формулы, а использовали сразу выведенную формулу. По критериям все исходные </w:t>
      </w:r>
      <w:r>
        <w:t xml:space="preserve">формулы должны быть записаны, потом проведено математическое преобразование с ними, подставлены числа в полученную формулу и записан ответ с единицами измерения. Из-за не правильного оформления этой простой задачи, учащиеся не смогли получить высокий балл.</w:t>
      </w:r>
      <w:r/>
    </w:p>
    <w:p>
      <w:pPr>
        <w:pStyle w:val="940"/>
        <w:ind w:firstLine="708"/>
        <w:jc w:val="both"/>
      </w:pPr>
      <w:r>
        <w:t xml:space="preserve">С качественной задачей № 27 участники справились лучше. Было 6,98 % выполнения, а в этом году 11,83 %. Для ответа на поставленный вопрос необ</w:t>
      </w:r>
      <w:r>
        <w:t xml:space="preserve">ходимо было указать (или назвать) силы, действующие на заряд, движущийся в электрическом и магнитном полях, записать формулы сил Лоренца и Кулона, формулу напряженности электрического поля и по второму закону Ньютона сделать правильный вывод о направлении </w:t>
      </w:r>
      <w:r>
        <w:t xml:space="preserve">движения заряда после изменения его скорости. Основные ошибки: учащиеся путали силу Кулона с силой Лоренца, не понимали физические явления, описанные в задаче. Решение представляли только в словесном виде, не поддерживая ответ формулами и законами. Поэтому</w:t>
      </w:r>
      <w:r>
        <w:t xml:space="preserve"> при правильном ответе, учащиеся получали в большинстве 1 б. (6,49 %). Максимальные 3 балла получило 7,58 % учащихся. В этой задаче явно прослеживается не умение учащихся выстраивать ответ в логической последовательности, обосновывать каждое свое действие.</w:t>
      </w:r>
      <w:r/>
    </w:p>
    <w:p>
      <w:pPr>
        <w:pStyle w:val="940"/>
        <w:contextualSpacing/>
        <w:ind w:firstLine="708"/>
        <w:jc w:val="both"/>
        <w:spacing w:before="0" w:after="0"/>
      </w:pPr>
      <w:r>
        <w:rPr>
          <w:rFonts w:eastAsia="TimesNewRomanPSMT;Times New Roman"/>
          <w:i/>
          <w:lang w:eastAsia="en-US"/>
        </w:rPr>
        <w:t xml:space="preserve">Задача по механике № 29</w:t>
      </w:r>
      <w:r>
        <w:rPr>
          <w:rFonts w:eastAsia="TimesNewRomanPSMT;Times New Roman"/>
          <w:lang w:eastAsia="en-US"/>
        </w:rPr>
        <w:t xml:space="preserve"> (11,65 % выполнения) была на применение условий равновесия твердого тела. Из-за невнимательности учащиеся допускали ошибку в записи правила моментов сил. Потом, решая уравнения, эта ошибка исключалась и получался правильный ответ. Но, к</w:t>
      </w:r>
      <w:r>
        <w:rPr>
          <w:rFonts w:eastAsia="TimesNewRomanPSMT;Times New Roman"/>
          <w:lang w:eastAsia="en-US"/>
        </w:rPr>
        <w:t xml:space="preserve"> сожалению, ошибка в исходной формуле по критериям позволяет поставить максимум 1 б. Либо учащиеся ошибались в записи второго закона Ньютона, что также давало максимально 1 б. Поэтому процент выполнения этого задания, приходящийся на 1 б. составил 5,95 %. </w:t>
      </w:r>
      <w:r>
        <w:rPr>
          <w:bCs/>
          <w:lang w:eastAsia="en-US"/>
        </w:rPr>
        <w:t xml:space="preserve">Также много ошибок учащиеся допустили в рисунке, где надо было указать все силы, действующие на стержень. Максимальные 3 балла получило 7,58 % учащихся. </w:t>
      </w:r>
      <w:r/>
    </w:p>
    <w:p>
      <w:pPr>
        <w:pStyle w:val="940"/>
        <w:contextualSpacing/>
        <w:ind w:firstLine="708"/>
        <w:jc w:val="both"/>
        <w:spacing w:before="0" w:after="0"/>
      </w:pPr>
      <w:r>
        <w:rPr>
          <w:i/>
          <w:lang w:eastAsia="en-US"/>
        </w:rPr>
        <w:t xml:space="preserve">Задача № 30</w:t>
      </w:r>
      <w:r>
        <w:rPr>
          <w:lang w:eastAsia="en-US"/>
        </w:rPr>
        <w:t xml:space="preserve"> была на газовые законы и влажность воздуха (4,22 % выполнения). Задача усложнялась тем, что в условии говорилось о влажном </w:t>
      </w:r>
      <w:r>
        <w:rPr>
          <w:lang w:eastAsia="en-US"/>
        </w:rPr>
        <w:t xml:space="preserve">воздухе. Это значит воздух содержал смесь идеального газа и водяных паров. Задача требовала следующих знаний: изопроцессов, формулы влажности воздуха, закона Дальтона.  Многие учащиеся в решении использовали только изопроцессы и формулу влажности, за что и</w:t>
      </w:r>
      <w:r>
        <w:rPr>
          <w:lang w:eastAsia="en-US"/>
        </w:rPr>
        <w:t xml:space="preserve"> получали 1 б (8,12 % выполнения).  Максимальный бал за эту задачу получили 1,08 % учащихся. Анализ решений учащихся показал, что выпускники слабо владеют теорией молекулярной физики, не умеют строить физическую модель ситуации, описанной в условии задачи.</w:t>
      </w:r>
      <w:r/>
    </w:p>
    <w:p>
      <w:pPr>
        <w:pStyle w:val="940"/>
        <w:contextualSpacing/>
        <w:ind w:firstLine="708"/>
        <w:jc w:val="both"/>
        <w:spacing w:before="0" w:after="0"/>
      </w:pPr>
      <w:r>
        <w:rPr>
          <w:i/>
          <w:lang w:eastAsia="en-US"/>
        </w:rPr>
        <w:t xml:space="preserve">Задача № 31</w:t>
      </w:r>
      <w:r>
        <w:rPr>
          <w:lang w:eastAsia="en-US"/>
        </w:rPr>
        <w:t xml:space="preserve"> по электродинамике оказалась самой простой в</w:t>
      </w:r>
      <w:r>
        <w:rPr>
          <w:lang w:eastAsia="en-US"/>
        </w:rPr>
        <w:t xml:space="preserve"> решении, но самой сложной в оформлении (19,73 % выполнения). В этом задании приведена вольтамперная характеристика для одной лампы. Дана цепь, состоящая из лампы, соединенной последовательно с резистором, напряжение в сети и сила тока в общей цепи. Необхо</w:t>
      </w:r>
      <w:r>
        <w:rPr>
          <w:lang w:eastAsia="en-US"/>
        </w:rPr>
        <w:t xml:space="preserve">димо было найти мощность на резисторе. Учащиеся считали на столько очевидным, что ток, текущий через лампу и резистор одинаковый, что не объясняли, почему они используют в расчетах для резистора данное значение тока в цепи. Некоторые учащиеся невнимательно</w:t>
      </w:r>
      <w:r>
        <w:rPr>
          <w:lang w:eastAsia="en-US"/>
        </w:rPr>
        <w:t xml:space="preserve"> читали условие и считали, что дана на графике зависимость тока от напряжения в общей цепи. Также в этой задаче особенно сильно проявился недостаток в умении правильно и грамотно оформлять решение задачи. Отсюда и низкий процент выполнения простой задачи. </w:t>
      </w:r>
      <w:r/>
    </w:p>
    <w:p>
      <w:pPr>
        <w:pStyle w:val="940"/>
        <w:contextualSpacing/>
        <w:ind w:firstLine="708"/>
        <w:jc w:val="both"/>
        <w:spacing w:before="0" w:after="0"/>
      </w:pPr>
      <w:r>
        <w:rPr>
          <w:rFonts w:eastAsia="TimesNewRomanPSMT;Times New Roman"/>
          <w:i/>
          <w:lang w:eastAsia="en-US"/>
        </w:rPr>
        <w:t xml:space="preserve">Задача № 32</w:t>
      </w:r>
      <w:r>
        <w:rPr>
          <w:rFonts w:eastAsia="TimesNewRomanPSMT;Times New Roman"/>
          <w:lang w:eastAsia="en-US"/>
        </w:rPr>
        <w:t xml:space="preserve"> была на квантовую физику, в частности на давление света и импульс фотона (2,78 % выполнения). Это самая сложная задача, требующая умений применять знания в практической деятельности. Сама тема очень</w:t>
      </w:r>
      <w:r>
        <w:rPr>
          <w:rFonts w:eastAsia="TimesNewRomanPSMT;Times New Roman"/>
          <w:lang w:eastAsia="en-US"/>
        </w:rPr>
        <w:t xml:space="preserve"> поверхностно проходится в средней школе, задачи на эту тему совсем не решаются учителями. Несмотря на это, некоторые учащиеся использовали формулу для нахождения давления света из вузовского курса физики. При обращении на форум председателей в ФИПИ были п</w:t>
      </w:r>
      <w:r>
        <w:rPr>
          <w:rFonts w:eastAsia="TimesNewRomanPSMT;Times New Roman"/>
          <w:lang w:eastAsia="en-US"/>
        </w:rPr>
        <w:t xml:space="preserve">олучены рекомендации о принятии этой формулы, как исходной. Но даже с использованием этой формулы учащиеся не смогли довести задачу до конца правильно. Максимальный балл за эту задачу получили всего 1,6 % учащихся. Много ошибок в решении этого задания было</w:t>
      </w:r>
      <w:r>
        <w:rPr>
          <w:rFonts w:eastAsia="TimesNewRomanPSMT;Times New Roman"/>
          <w:lang w:eastAsia="en-US"/>
        </w:rPr>
        <w:t xml:space="preserve"> связано с невнимательным отношением к деталям и условию задачи (читательская грамотность). В условии было сказано, что рассеянием и поглощением фотонов пренебречь. Выпускники при решении учитывали процент поглощения фотонов и получали не правильный ответ.</w:t>
      </w:r>
      <w:r/>
    </w:p>
    <w:p>
      <w:pPr>
        <w:pStyle w:val="940"/>
        <w:contextualSpacing/>
        <w:ind w:firstLine="708"/>
        <w:jc w:val="both"/>
        <w:spacing w:before="0" w:after="0"/>
      </w:pPr>
      <w:r>
        <w:rPr>
          <w:bCs/>
          <w:lang w:eastAsia="en-US"/>
        </w:rPr>
        <w:t xml:space="preserve">Результаты экзамена показали, что учащиеся не в полной мере владеют умением логического объяснения физических явлений и свойств тел, не умеют </w:t>
      </w:r>
      <w:r>
        <w:rPr>
          <w:rFonts w:eastAsia="TimesNewRomanPSMT;Times New Roman"/>
          <w:lang w:eastAsia="en-US"/>
        </w:rPr>
        <w:t xml:space="preserve">применять полученные знания при решении физических задач, не владеют читательской грамотностью.</w:t>
      </w:r>
      <w:r>
        <w:rPr>
          <w:bCs/>
          <w:lang w:eastAsia="en-US"/>
        </w:rPr>
        <w:t xml:space="preserve"> Много ошибок учащиеся допускают из-за того, что не могут решить полученную систему уравнений относительно неизвестной, решают по действиям, допуская вычислительные ошибки. Необходимо:</w:t>
      </w:r>
      <w:r/>
    </w:p>
    <w:p>
      <w:pPr>
        <w:pStyle w:val="940"/>
        <w:numPr>
          <w:ilvl w:val="0"/>
          <w:numId w:val="61"/>
        </w:numPr>
        <w:contextualSpacing/>
        <w:ind w:left="0" w:firstLine="0"/>
        <w:jc w:val="both"/>
        <w:spacing w:before="0" w:after="0"/>
        <w:rPr>
          <w:bCs/>
          <w:lang w:eastAsia="en-US"/>
        </w:rPr>
      </w:pPr>
      <w:r>
        <w:rPr>
          <w:bCs/>
          <w:lang w:eastAsia="en-US"/>
        </w:rPr>
        <w:t xml:space="preserve">Больше внимания уделять урокам, на которых учащиеся обучаются методам решения физических задач, построению физической модели ситуации задачи;</w:t>
      </w:r>
      <w:r/>
    </w:p>
    <w:p>
      <w:pPr>
        <w:pStyle w:val="940"/>
        <w:numPr>
          <w:ilvl w:val="0"/>
          <w:numId w:val="61"/>
        </w:numPr>
        <w:contextualSpacing/>
        <w:ind w:left="0" w:firstLine="0"/>
        <w:jc w:val="both"/>
        <w:spacing w:before="0" w:after="0"/>
        <w:rPr>
          <w:bCs/>
          <w:lang w:eastAsia="en-US"/>
        </w:rPr>
      </w:pPr>
      <w:r>
        <w:rPr>
          <w:bCs/>
          <w:lang w:eastAsia="en-US"/>
        </w:rPr>
        <w:t xml:space="preserve">Больше внимания уделять формированию умения логически объяснять физические явления;</w:t>
      </w:r>
      <w:r/>
    </w:p>
    <w:p>
      <w:pPr>
        <w:pStyle w:val="940"/>
        <w:numPr>
          <w:ilvl w:val="0"/>
          <w:numId w:val="61"/>
        </w:numPr>
        <w:contextualSpacing/>
        <w:ind w:left="0" w:firstLine="0"/>
        <w:jc w:val="both"/>
        <w:spacing w:before="0" w:after="0"/>
        <w:rPr>
          <w:bCs/>
          <w:lang w:eastAsia="en-US"/>
        </w:rPr>
      </w:pPr>
      <w:r>
        <w:rPr>
          <w:bCs/>
          <w:lang w:eastAsia="en-US"/>
        </w:rPr>
        <w:t xml:space="preserve">Обучать школьников правильному оформлению решения задачи.</w:t>
      </w:r>
      <w:r/>
    </w:p>
    <w:p>
      <w:pPr>
        <w:pStyle w:val="940"/>
        <w:contextualSpacing/>
        <w:ind w:firstLine="708"/>
        <w:jc w:val="both"/>
        <w:spacing w:before="0" w:after="0"/>
        <w:rPr>
          <w:rFonts w:eastAsia="TimesNewRomanPSMT;Times New Roman"/>
          <w:lang w:eastAsia="en-US"/>
        </w:rPr>
      </w:pPr>
      <w:r>
        <w:rPr>
          <w:rFonts w:eastAsia="TimesNewRomanPSMT;Times New Roman"/>
          <w:lang w:eastAsia="en-US"/>
        </w:rPr>
        <w:t xml:space="preserve">Очень много ошибок в первой части в заданиях с графиками, на анализ экспериментальных данных и видов зависимости. Очевидно, при обучении в школах недостаточное внимание уделяется демонстрационному и ученическому эксперименту.  Учащиеся не понимают явлений</w:t>
      </w:r>
      <w:r>
        <w:rPr>
          <w:rFonts w:eastAsia="TimesNewRomanPSMT;Times New Roman"/>
          <w:lang w:eastAsia="en-US"/>
        </w:rPr>
        <w:t xml:space="preserve">, обнаруживаемых в процессе проведения демонстрационных опытов. При выполнении лабораторных работ используются готовые инструкции, школьники делают работу по шаблону, не понимая физических основ такого построения хода работы. Необходимо обучать учащихся са</w:t>
      </w:r>
      <w:r>
        <w:rPr>
          <w:rFonts w:eastAsia="TimesNewRomanPSMT;Times New Roman"/>
          <w:lang w:eastAsia="en-US"/>
        </w:rPr>
        <w:t xml:space="preserve">мим разрабатывать план проведения эксперимента, составлять принципиальную схему установки и подбирать соответствующие приборы. Тогда школьники будут глубже понимать физические явления, смогут прочитывать графики и правильно пользоваться табличными данными.</w:t>
      </w:r>
      <w:r/>
    </w:p>
    <w:p>
      <w:pPr>
        <w:pStyle w:val="940"/>
        <w:ind w:firstLine="708"/>
        <w:jc w:val="both"/>
        <w:rPr>
          <w:bCs/>
        </w:rPr>
      </w:pPr>
      <w:r>
        <w:rPr>
          <w:bCs/>
        </w:rPr>
        <w:t xml:space="preserve">Все задания соответствуют проверяемому содержанию, заявленному в спецификации, соответствуют учебным программам, используемым в учебных заведениях Астраханской области и г. Астрахани.</w:t>
      </w:r>
      <w:r/>
    </w:p>
    <w:p>
      <w:pPr>
        <w:pStyle w:val="940"/>
        <w:numPr>
          <w:ilvl w:val="2"/>
          <w:numId w:val="42"/>
        </w:numPr>
        <w:ind w:left="0"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rPr>
          <w:rFonts w:eastAsia="SimSun;宋体"/>
          <w:sz w:val="28"/>
          <w:lang w:val="en-US"/>
        </w:rPr>
      </w:pPr>
      <w:r>
        <w:rPr>
          <w:rFonts w:eastAsia="SimSun;宋体"/>
          <w:sz w:val="28"/>
          <w:lang w:val="en-US"/>
        </w:rPr>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rPr>
          <w:rFonts w:eastAsia="Times New Roman"/>
          <w:bCs/>
          <w:iCs/>
        </w:rPr>
      </w:pPr>
      <w:r>
        <w:rPr>
          <w:rFonts w:eastAsia="Times New Roman"/>
          <w:bCs/>
          <w:iCs/>
        </w:rPr>
        <w:t xml:space="preserve">Усвоение на базовом уровне таких элементов содержания, как механика, молекулярная физика и термодинамика, геометрическая оптика и квантовая физика всеми школьниками региона в целом можно считать достаточным.</w:t>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rPr>
          <w:rFonts w:eastAsia="Times New Roman"/>
          <w:bCs/>
          <w:iCs/>
        </w:rPr>
      </w:pPr>
      <w:r>
        <w:rPr>
          <w:rFonts w:eastAsia="Times New Roman"/>
          <w:bCs/>
          <w:iCs/>
        </w:rPr>
        <w:t xml:space="preserve">Недостаточно усвоенными темами можно считать задания на влажность воздуха, электродинамику, квантовую физику, строение ядра.</w:t>
      </w:r>
      <w:r/>
    </w:p>
    <w:p>
      <w:pPr>
        <w:pStyle w:val="940"/>
        <w:ind w:firstLine="708"/>
        <w:jc w:val="both"/>
        <w:rPr>
          <w:rFonts w:eastAsia="Times New Roman"/>
          <w:bCs/>
          <w:iCs/>
        </w:rPr>
      </w:pPr>
      <w:r>
        <w:rPr>
          <w:rFonts w:eastAsia="Times New Roman"/>
          <w:bCs/>
          <w:iCs/>
        </w:rPr>
        <w:t xml:space="preserve">Нельзя считать достаточным усвоение таких умений и видов деятельности, как: умение описывать и объяснять физические яв</w:t>
      </w:r>
      <w:r>
        <w:rPr>
          <w:rFonts w:eastAsia="Times New Roman"/>
          <w:bCs/>
          <w:iCs/>
        </w:rPr>
        <w:t xml:space="preserve">ления и свойства тел, отличать гипотезы от научной теории, делать выводы на основе экспериментальных данных, измерять физические величины, представлять результаты измерений с учетом их погрешностей, применять полученные знания при решении физических задач.</w:t>
      </w:r>
      <w:r/>
    </w:p>
    <w:p>
      <w:pPr>
        <w:pStyle w:val="940"/>
        <w:contextualSpacing/>
        <w:ind w:firstLine="708"/>
        <w:jc w:val="both"/>
        <w:spacing w:before="0" w:after="0"/>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708"/>
        <w:jc w:val="both"/>
        <w:rPr>
          <w:rFonts w:eastAsia="Times New Roman"/>
          <w:bCs/>
          <w:iCs/>
        </w:rPr>
      </w:pPr>
      <w:r>
        <w:rPr>
          <w:rFonts w:eastAsia="Times New Roman"/>
          <w:bCs/>
          <w:iCs/>
        </w:rPr>
        <w:t xml:space="preserve">Каждый год проявляется низкая успешность выполнения заданий по электродинамике. Что касается умений и способов действий, то низкая успешность проявляется в умении объяснять физические явления и в применении полученных знаний при решении физических задач.</w:t>
      </w:r>
      <w:r/>
    </w:p>
    <w:p>
      <w:pPr>
        <w:pStyle w:val="940"/>
        <w:contextualSpacing/>
        <w:ind w:firstLine="708"/>
        <w:jc w:val="both"/>
        <w:spacing w:before="0" w:after="0"/>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rPr>
          <w:rFonts w:eastAsia="Times New Roman"/>
          <w:bCs/>
          <w:iCs/>
        </w:rPr>
      </w:pPr>
      <w:r>
        <w:rPr>
          <w:rFonts w:eastAsia="Times New Roman"/>
          <w:bCs/>
          <w:iCs/>
        </w:rPr>
        <w:t xml:space="preserve">В 2021 году структура варианта КИМ осталась без изменения.</w:t>
      </w:r>
      <w:r/>
    </w:p>
    <w:p>
      <w:pPr>
        <w:pStyle w:val="940"/>
        <w:contextualSpacing/>
        <w:ind w:firstLine="708"/>
        <w:jc w:val="both"/>
        <w:spacing w:before="0" w:after="0"/>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708"/>
        <w:jc w:val="both"/>
        <w:rPr>
          <w:rFonts w:eastAsia="Times New Roman"/>
          <w:bCs/>
          <w:iCs/>
        </w:rPr>
      </w:pPr>
      <w:r>
        <w:rPr>
          <w:rFonts w:eastAsia="Times New Roman"/>
          <w:bCs/>
          <w:iCs/>
        </w:rPr>
        <w:t xml:space="preserve">Динамика результатов практически не наблюдается. Есть небольшое снижение среднего балла.</w:t>
      </w:r>
      <w:r/>
    </w:p>
    <w:p>
      <w:pPr>
        <w:pStyle w:val="940"/>
        <w:contextualSpacing/>
        <w:ind w:firstLine="708"/>
        <w:jc w:val="both"/>
        <w:spacing w:before="0" w:after="0"/>
        <w:rPr>
          <w:rFonts w:eastAsia="Times New Roman"/>
          <w:bCs/>
          <w:i/>
          <w:iCs/>
        </w:rPr>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contextualSpacing/>
        <w:ind w:firstLine="708"/>
        <w:jc w:val="both"/>
        <w:spacing w:before="0" w:after="0"/>
        <w:rPr>
          <w:rFonts w:eastAsia="Times New Roman"/>
          <w:bCs/>
          <w:iCs/>
        </w:rPr>
      </w:pPr>
      <w:r>
        <w:rPr>
          <w:rFonts w:eastAsia="Times New Roman"/>
          <w:bCs/>
          <w:iCs/>
        </w:rPr>
        <w:t xml:space="preserve">В прошлом году ежеквартально проходили расширенные заседания УМО по физике, где раз</w:t>
      </w:r>
      <w:r>
        <w:rPr>
          <w:rFonts w:eastAsia="Times New Roman"/>
          <w:bCs/>
          <w:iCs/>
        </w:rPr>
        <w:t xml:space="preserve">бирались темы, вызвавшие затруднения на ЕГЭ 2020 года. В течении учебного года проходили курсы повышения квалификации учителей физики АО и г. Астрахани. Те темы, которые были неуспешными в 2020 году, в этом году выполнены учащимися на более высоком уровне.</w:t>
      </w:r>
      <w:r/>
    </w:p>
    <w:p>
      <w:pPr>
        <w:pStyle w:val="940"/>
        <w:contextualSpacing/>
        <w:ind w:firstLine="708"/>
        <w:jc w:val="both"/>
        <w:spacing w:before="0" w:after="0"/>
        <w:rPr>
          <w:rFonts w:eastAsia="Times New Roman"/>
          <w:bCs/>
          <w:i/>
          <w:iCs/>
        </w:rPr>
      </w:pPr>
      <w:r>
        <w:rPr>
          <w:rFonts w:eastAsia="Times New Roman"/>
          <w:bCs/>
          <w:i/>
          <w:iCs/>
        </w:rPr>
        <w:t xml:space="preserve">Прочие выводы</w:t>
      </w:r>
      <w:r/>
    </w:p>
    <w:p>
      <w:pPr>
        <w:pStyle w:val="940"/>
        <w:ind w:firstLine="708"/>
        <w:jc w:val="both"/>
        <w:rPr>
          <w:rFonts w:eastAsia="Times New Roman"/>
          <w:bCs/>
          <w:iCs/>
        </w:rPr>
      </w:pPr>
      <w:r>
        <w:rPr>
          <w:rFonts w:eastAsia="Times New Roman"/>
          <w:bCs/>
          <w:iCs/>
        </w:rPr>
        <w:t xml:space="preserve">Подг</w:t>
      </w:r>
      <w:r>
        <w:rPr>
          <w:rFonts w:eastAsia="Times New Roman"/>
          <w:bCs/>
          <w:iCs/>
        </w:rPr>
        <w:t xml:space="preserve">отовка учащихся к ЕГЭ по физике не должна сводиться к натаскиванию на решение различного рода заданий. Работа по подготовке к экзамену должна проходить в процессе обучения школьников на уроках и факультативных занятиях при изучении и усвоении новых знаний.</w:t>
      </w:r>
      <w:r/>
    </w:p>
    <w:p>
      <w:pPr>
        <w:pStyle w:val="940"/>
        <w:ind w:firstLine="708"/>
        <w:jc w:val="both"/>
        <w:rPr>
          <w:rFonts w:eastAsia="Times New Roman"/>
          <w:bCs/>
          <w:iCs/>
        </w:rPr>
      </w:pPr>
      <w:r>
        <w:rPr>
          <w:rFonts w:eastAsia="Times New Roman"/>
          <w:bCs/>
          <w:iCs/>
        </w:rPr>
        <w:t xml:space="preserve">Решение задач с развернутым ответом оценивается по единым обобщённым критериям, опубликованным в любом пособии для п</w:t>
      </w:r>
      <w:r>
        <w:rPr>
          <w:rFonts w:eastAsia="Times New Roman"/>
          <w:bCs/>
          <w:iCs/>
        </w:rPr>
        <w:t xml:space="preserve">одготовки к ЕГЭ по физике. На наш взгляд, важным этапом подготовки ученика к экзамену может стать использование учителем в текущей работе тех подходов к оцениванию расчётных задач, которые применяются экспертами при проверке заданий с развёрнутым ответом. </w:t>
      </w:r>
      <w:r/>
    </w:p>
    <w:p>
      <w:pPr>
        <w:pStyle w:val="940"/>
        <w:ind w:firstLine="708"/>
        <w:jc w:val="both"/>
        <w:rPr>
          <w:rFonts w:eastAsia="Times New Roman"/>
          <w:bCs/>
          <w:iCs/>
        </w:rPr>
      </w:pPr>
      <w:r>
        <w:rPr>
          <w:rFonts w:eastAsia="Times New Roman"/>
          <w:bCs/>
          <w:iCs/>
        </w:rPr>
        <w:t xml:space="preserve">В кодификаторе дается перечень элементов содержания, проверяемых на ЕГЭ по физике. Учителям необходимо приучать школьников к стандартным обозначениям величин, которые указаны в кодификаторе. </w:t>
      </w:r>
      <w:r/>
    </w:p>
    <w:p>
      <w:pPr>
        <w:pStyle w:val="940"/>
        <w:ind w:firstLine="708"/>
        <w:jc w:val="both"/>
        <w:rPr>
          <w:rFonts w:eastAsia="Times New Roman"/>
          <w:bCs/>
          <w:iCs/>
        </w:rPr>
      </w:pPr>
      <w:r>
        <w:rPr>
          <w:rFonts w:eastAsia="Times New Roman"/>
          <w:bCs/>
          <w:iCs/>
        </w:rPr>
        <w:t xml:space="preserve">Для учителей необходимо проводить семинары, курсы повышения квалификации, на которых обучать их новым методам и технологиям. </w:t>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center"/>
        <w:keepLines/>
        <w:keepNext/>
        <w:spacing w:before="40" w:after="0"/>
      </w:pPr>
      <w:r>
        <w:rPr>
          <w:rFonts w:eastAsia="SimSun;宋体"/>
          <w:b/>
          <w:bCs/>
          <w:sz w:val="28"/>
          <w:szCs w:val="28"/>
          <w:lang w:val="en-US"/>
        </w:rPr>
        <w:t xml:space="preserve">Раздел 4. РЕКОМЕНДАЦИИ</w:t>
      </w:r>
      <w:r>
        <w:rPr>
          <w:rFonts w:eastAsia="SimSun;宋体"/>
          <w:b/>
          <w:bCs/>
          <w:sz w:val="28"/>
          <w:szCs w:val="28"/>
        </w:rPr>
        <w:t xml:space="preserve"> </w:t>
      </w:r>
      <w:r>
        <w:rPr>
          <w:rFonts w:eastAsia="SimSun;宋体"/>
          <w:b/>
          <w:bCs/>
          <w:sz w:val="28"/>
          <w:szCs w:val="28"/>
          <w:lang w:val="en-US"/>
        </w:rPr>
        <w:t xml:space="preserve">ДЛЯ СИСТЕМЫ ОБРАЗОВАНИЯ СУБЪЕКТА РОССИЙСКОЙ ФЕДЕРАЦИИ</w:t>
      </w:r>
      <w:r/>
    </w:p>
    <w:p>
      <w:pPr>
        <w:pStyle w:val="940"/>
        <w:numPr>
          <w:ilvl w:val="0"/>
          <w:numId w:val="42"/>
        </w:numPr>
        <w:ind w:left="0" w:firstLine="0"/>
        <w:keepLines/>
        <w:keepNext/>
        <w:spacing w:before="200" w:after="0"/>
        <w:rPr>
          <w:rFonts w:eastAsia="SimSun;宋体"/>
          <w:b/>
          <w:bCs/>
          <w:smallCaps/>
          <w:vanish/>
          <w:color w:val="365F91"/>
          <w:sz w:val="28"/>
          <w:szCs w:val="28"/>
          <w:lang w:val="en-US"/>
        </w:rPr>
      </w:pPr>
      <w:r>
        <w:rPr>
          <w:rFonts w:eastAsia="SimSun;宋体"/>
          <w:b/>
          <w:bCs/>
          <w:smallCaps/>
          <w:vanish/>
          <w:color w:val="365F91"/>
          <w:sz w:val="28"/>
          <w:szCs w:val="28"/>
          <w:lang w:val="en-US"/>
        </w:rPr>
      </w:r>
      <w:r/>
    </w:p>
    <w:p>
      <w:pPr>
        <w:pStyle w:val="940"/>
        <w:numPr>
          <w:ilvl w:val="1"/>
          <w:numId w:val="42"/>
        </w:numPr>
        <w:ind w:left="0" w:firstLine="0"/>
        <w:jc w:val="both"/>
        <w:keepLines/>
        <w:keepNext/>
        <w:spacing w:before="200" w:after="0"/>
      </w:pPr>
      <w:r>
        <w:rPr>
          <w:rFonts w:eastAsia="Times New Roman"/>
          <w:b/>
          <w:bCs/>
          <w:sz w:val="28"/>
        </w:rPr>
        <w:t xml:space="preserve">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numPr>
          <w:ilvl w:val="2"/>
          <w:numId w:val="42"/>
        </w:numPr>
        <w:ind w:left="567" w:firstLine="0"/>
        <w:keepLines/>
        <w:keepNext/>
        <w:spacing w:before="200" w:after="0"/>
        <w:rPr>
          <w:rFonts w:eastAsia="SimSun;宋体"/>
          <w:sz w:val="28"/>
          <w:lang w:val="en-US"/>
        </w:rPr>
      </w:pPr>
      <w:r>
        <w:rPr>
          <w:rFonts w:eastAsia="SimSun;宋体"/>
          <w:sz w:val="28"/>
          <w:lang w:val="en-US"/>
        </w:rPr>
        <w:t xml:space="preserve">по совершенствованию преподавания учебного предмета всем обучающимся</w:t>
      </w:r>
      <w:r/>
    </w:p>
    <w:p>
      <w:pPr>
        <w:pStyle w:val="940"/>
        <w:ind w:firstLine="567"/>
        <w:jc w:val="both"/>
        <w:keepLines/>
        <w:keepNext/>
      </w:pPr>
      <w:r>
        <w:rPr>
          <w:rFonts w:eastAsia="SimSun;宋体"/>
        </w:rPr>
        <w:t xml:space="preserve">1. </w:t>
      </w:r>
      <w:r>
        <w:rPr>
          <w:rFonts w:eastAsia="SimSun;宋体"/>
          <w:lang w:val="en-US"/>
        </w:rPr>
        <w:t xml:space="preserve">Обучение комплексному анализу различных физичес</w:t>
      </w:r>
      <w:r>
        <w:rPr>
          <w:rFonts w:eastAsia="SimSun;宋体"/>
          <w:lang w:val="en-US"/>
        </w:rPr>
        <w:t xml:space="preserve">ких процессов в рамках повторительно-обобщающих уроков и подготовки к экзаменам, так как для такого анализа требуется освоение достаточно большого блока теоретического материала.  Но и в процессе изучения темы целесообразно чаще использовать обучающие зада</w:t>
      </w:r>
      <w:r>
        <w:rPr>
          <w:rFonts w:eastAsia="SimSun;宋体"/>
          <w:lang w:val="en-US"/>
        </w:rPr>
        <w:t xml:space="preserve">ния, требующие проведения анализа отдельных характеристик процессов. При этом важно отбирать описания процессов, которые использовали бы разные способы представления информации (словесный, табличный, графический или при помощи схем и схематичных рисунков).</w:t>
      </w:r>
      <w:r/>
    </w:p>
    <w:p>
      <w:pPr>
        <w:pStyle w:val="940"/>
        <w:ind w:firstLine="567"/>
        <w:jc w:val="both"/>
        <w:keepLines/>
        <w:keepNext/>
      </w:pPr>
      <w:r>
        <w:rPr>
          <w:rFonts w:eastAsia="SimSun;宋体"/>
        </w:rPr>
        <w:t xml:space="preserve">2. </w:t>
      </w:r>
      <w:r>
        <w:rPr>
          <w:rFonts w:eastAsia="SimSun;宋体"/>
          <w:lang w:val="en-US"/>
        </w:rPr>
        <w:t xml:space="preserve">Необходимо использовать на у</w:t>
      </w:r>
      <w:r>
        <w:rPr>
          <w:rFonts w:eastAsia="SimSun;宋体"/>
          <w:lang w:val="en-US"/>
        </w:rPr>
        <w:t xml:space="preserve">роках задания с различными текстами, с наличием лишних или недостающих данных и т.п. Только в этом случае будут созданы условия для эффективного обучения чтению и осмыслению условия задачи, для адекватного выбора физической модели, обоснованности суждений.</w:t>
      </w:r>
      <w:r/>
    </w:p>
    <w:p>
      <w:pPr>
        <w:pStyle w:val="940"/>
        <w:ind w:firstLine="567"/>
        <w:jc w:val="both"/>
        <w:keepLines/>
        <w:keepNext/>
      </w:pPr>
      <w:r>
        <w:rPr>
          <w:rFonts w:eastAsia="SimSun;宋体"/>
        </w:rPr>
        <w:t xml:space="preserve">3. </w:t>
      </w:r>
      <w:r>
        <w:rPr>
          <w:rFonts w:eastAsia="SimSun;宋体"/>
          <w:lang w:val="en-US"/>
        </w:rPr>
        <w:t xml:space="preserve">Использование «вопросного» метода решения качественных задач, который учит тщательно анализировать физическую ситуацию и делать обоснованные выводы с опорой на изученные законы и закономерности.</w:t>
      </w:r>
      <w:r/>
    </w:p>
    <w:p>
      <w:pPr>
        <w:pStyle w:val="940"/>
        <w:ind w:firstLine="567"/>
        <w:jc w:val="both"/>
        <w:keepLines/>
        <w:keepNext/>
      </w:pPr>
      <w:r>
        <w:rPr>
          <w:rFonts w:eastAsia="SimSun;宋体"/>
        </w:rPr>
        <w:t xml:space="preserve">4. </w:t>
      </w:r>
      <w:r>
        <w:rPr>
          <w:rFonts w:eastAsia="SimSun;宋体"/>
          <w:lang w:val="en-US"/>
        </w:rPr>
        <w:t xml:space="preserve">Обучение грамотному использованию справочных данных, работе с единицами измерения физических величин и их перевод в кратные и дольные единицы, вычисление с помощью калькулятора и оформление заданий с развернутым ответом.</w:t>
      </w:r>
      <w:r/>
    </w:p>
    <w:p>
      <w:pPr>
        <w:pStyle w:val="940"/>
        <w:ind w:firstLine="567"/>
        <w:jc w:val="both"/>
        <w:keepLines/>
        <w:keepNext/>
      </w:pPr>
      <w:r>
        <w:rPr>
          <w:rFonts w:eastAsia="SimSun;宋体"/>
        </w:rPr>
        <w:t xml:space="preserve">5. </w:t>
      </w:r>
      <w:r>
        <w:rPr>
          <w:rFonts w:eastAsia="SimSun;宋体"/>
          <w:lang w:val="en-US"/>
        </w:rPr>
        <w:t xml:space="preserve">Рекомендуется выбирать задачи, предполагающие альтернативные способы решения. В этом случае обучающиеся учатся использовать различные способы обоснования, что важно для профессиональной деятельности не только в области физики и техники.   </w:t>
      </w:r>
      <w:r/>
    </w:p>
    <w:p>
      <w:pPr>
        <w:pStyle w:val="940"/>
        <w:ind w:firstLine="567"/>
        <w:jc w:val="both"/>
        <w:keepLines/>
        <w:keepNext/>
      </w:pPr>
      <w:r>
        <w:rPr>
          <w:rFonts w:eastAsia="SimSun;宋体"/>
        </w:rPr>
        <w:t xml:space="preserve">6. </w:t>
      </w:r>
      <w:r>
        <w:rPr>
          <w:rFonts w:eastAsia="SimSun;宋体"/>
          <w:lang w:val="en-US"/>
        </w:rPr>
        <w:t xml:space="preserve">По теме «Физика атомного ядра» необходимо обратить внимание на виды радиоактивных излучений (названия, состав и основные сво</w:t>
      </w:r>
      <w:r>
        <w:rPr>
          <w:rFonts w:eastAsia="SimSun;宋体"/>
          <w:lang w:val="en-US"/>
        </w:rPr>
        <w:t xml:space="preserve">йства, например проникающая способность или отклонение в магнитном и электрическом полях); строение ядра атома, понимание понятия «изотопы» (причем здесь используются как словесные описания состава ядер, так и символическая запись или схематичные рисунки).</w:t>
      </w:r>
      <w:r/>
    </w:p>
    <w:p>
      <w:pPr>
        <w:pStyle w:val="940"/>
        <w:ind w:firstLine="567"/>
        <w:jc w:val="both"/>
        <w:keepLines/>
        <w:keepNext/>
      </w:pPr>
      <w:r>
        <w:rPr>
          <w:rFonts w:eastAsia="SimSun;宋体"/>
        </w:rPr>
        <w:t xml:space="preserve">7. </w:t>
      </w:r>
      <w:r>
        <w:rPr>
          <w:rFonts w:eastAsia="SimSun;宋体"/>
          <w:lang w:val="en-US"/>
        </w:rPr>
        <w:t xml:space="preserve">На уроках астрономии необходимо научить учащихся правильно анализировать диаграмму Герцшпрунга–Рессела: ориентироваться </w:t>
      </w:r>
      <w:r>
        <w:rPr>
          <w:rFonts w:eastAsia="SimSun;宋体"/>
          <w:lang w:val="en-US"/>
        </w:rPr>
        <w:t xml:space="preserve">в самой диаграмме: соотносить температуру поверхности и спектральный класс звезд; понимать, что для звезд главной последовательности увеличение светимости означает увеличение их масс и размеров; относить звезды по их радиусам к белым карликам или гигантам.</w:t>
      </w:r>
      <w:r/>
    </w:p>
    <w:p>
      <w:pPr>
        <w:pStyle w:val="940"/>
        <w:ind w:left="567" w:firstLine="0"/>
        <w:jc w:val="both"/>
        <w:keepLines/>
        <w:keepNext/>
        <w:spacing w:before="200" w:after="0"/>
      </w:pPr>
      <w:r>
        <w:rPr>
          <w:rFonts w:eastAsia="SimSun;宋体"/>
          <w:b/>
          <w:sz w:val="28"/>
        </w:rPr>
        <w:t xml:space="preserve">4.1.2</w:t>
      </w:r>
      <w:r>
        <w:rPr>
          <w:rFonts w:eastAsia="SimSun;宋体"/>
          <w:sz w:val="28"/>
        </w:rPr>
        <w:t xml:space="preserve"> </w:t>
      </w:r>
      <w:r>
        <w:rPr>
          <w:rFonts w:eastAsia="SimSun;宋体"/>
          <w:sz w:val="28"/>
          <w:lang w:val="en-US"/>
        </w:rPr>
        <w:t xml:space="preserve">по организации дифференцированного обучения школьников с разным</w:t>
      </w:r>
      <w:r>
        <w:rPr>
          <w:rFonts w:eastAsia="SimSun;宋体"/>
          <w:sz w:val="28"/>
        </w:rPr>
        <w:t xml:space="preserve">и</w:t>
      </w:r>
      <w:r>
        <w:rPr>
          <w:rFonts w:eastAsia="SimSun;宋体"/>
          <w:sz w:val="28"/>
          <w:lang w:val="en-US"/>
        </w:rPr>
        <w:t xml:space="preserve"> уровн</w:t>
      </w:r>
      <w:r>
        <w:rPr>
          <w:rFonts w:eastAsia="SimSun;宋体"/>
          <w:sz w:val="28"/>
        </w:rPr>
        <w:t xml:space="preserve">я</w:t>
      </w:r>
      <w:r>
        <w:rPr>
          <w:rFonts w:eastAsia="SimSun;宋体"/>
          <w:sz w:val="28"/>
          <w:lang w:val="en-US"/>
        </w:rPr>
        <w:t xml:space="preserve">м</w:t>
      </w:r>
      <w:r>
        <w:rPr>
          <w:rFonts w:eastAsia="SimSun;宋体"/>
          <w:sz w:val="28"/>
        </w:rPr>
        <w:t xml:space="preserve">и</w:t>
      </w:r>
      <w:r>
        <w:rPr>
          <w:rFonts w:eastAsia="SimSun;宋体"/>
          <w:sz w:val="28"/>
          <w:lang w:val="en-US"/>
        </w:rPr>
        <w:t xml:space="preserve"> предметной подготовки</w:t>
      </w:r>
      <w:r/>
    </w:p>
    <w:p>
      <w:pPr>
        <w:pStyle w:val="940"/>
        <w:ind w:firstLine="567"/>
        <w:jc w:val="both"/>
      </w:pPr>
      <w:r>
        <w:t xml:space="preserve">1. Приоритетной технологией здесь может стать совместное обучение – технология работы в малых группах сотрудничества из 3–5 человек. При использовании технологии сотру</w:t>
      </w:r>
      <w:r>
        <w:t xml:space="preserve">дничества обучающиеся обмениваются мнениями, учатся и помогают друг другу. При возникновении спорных вопросов они могут вместе их обсудить, чтобы найти ответы. В процессе групповой работы не только формируются предметные умения и навыки, но и развивается к</w:t>
      </w:r>
      <w:r>
        <w:t xml:space="preserve">оммуникативная компетентность учащихся: умение формулировать проблему, способность слушать и слышать других, выражать собственное мнение и уважать мнение других людей, способность приходить к консенсусу, умение находить баланс между слушанием и говорением.</w:t>
      </w:r>
      <w:r/>
    </w:p>
    <w:p>
      <w:pPr>
        <w:pStyle w:val="940"/>
        <w:ind w:firstLine="567"/>
        <w:jc w:val="both"/>
      </w:pPr>
      <w:r>
        <w:t xml:space="preserve">2. Рекомендуется активно исп</w:t>
      </w:r>
      <w:r>
        <w:t xml:space="preserve">ользовать приемы самостоятельного обучения. Основной акцент здесь делается на осознание обучающимися задач обучения. Механизмом является качественная разработка учителем промежуточных планируемых результатов (тематических или на законченный блок уроков).  </w:t>
      </w:r>
      <w:r/>
    </w:p>
    <w:p>
      <w:pPr>
        <w:pStyle w:val="940"/>
        <w:ind w:firstLine="567"/>
        <w:jc w:val="both"/>
      </w:pPr>
      <w:r>
        <w:t xml:space="preserve">3. Целесообразно на уроках дл</w:t>
      </w:r>
      <w:r>
        <w:t xml:space="preserve">я обучающих заданий полностью использовать предлагаемые в ЕГЭ описания различных процессов (физические ситуации). В этом случае можно менять форму заданий, расширять количество вопросов, делая их более дробными, разбивать задание на несколько частей и т.д.</w:t>
      </w:r>
      <w:r/>
    </w:p>
    <w:p>
      <w:pPr>
        <w:pStyle w:val="940"/>
        <w:numPr>
          <w:ilvl w:val="1"/>
          <w:numId w:val="42"/>
        </w:numPr>
        <w:ind w:left="0" w:firstLine="0"/>
        <w:jc w:val="both"/>
        <w:keepLines/>
        <w:keepNext/>
        <w:spacing w:before="200" w:after="0"/>
        <w:rPr>
          <w:rFonts w:eastAsia="SimSun;宋体"/>
          <w:b/>
          <w:bCs/>
          <w:sz w:val="28"/>
          <w:lang w:val="en-US"/>
        </w:rPr>
      </w:pP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ind w:firstLine="708"/>
        <w:jc w:val="both"/>
      </w:pPr>
      <w:r>
        <w:t xml:space="preserve">Ниже предложены темы для обсуждения на методических объединениях учителей физики:</w:t>
      </w:r>
      <w:r/>
    </w:p>
    <w:p>
      <w:pPr>
        <w:pStyle w:val="940"/>
        <w:ind w:firstLine="708"/>
        <w:jc w:val="both"/>
        <w:rPr>
          <w:b/>
        </w:rPr>
      </w:pPr>
      <w:r>
        <w:rPr>
          <w:b/>
        </w:rPr>
        <w:t xml:space="preserve">1. Особенности обучения решению качественных задач.</w:t>
      </w:r>
      <w:r/>
    </w:p>
    <w:p>
      <w:pPr>
        <w:pStyle w:val="940"/>
        <w:ind w:firstLine="708"/>
        <w:jc w:val="both"/>
      </w:pPr>
      <w:r>
        <w:t xml:space="preserve">В процессе обучения решению качественных задач целесообразно использовать «вопросный» метод. При этом для каждого логического шага объяснения (доказательства) в самом общем случае можно задавать вопросы.</w:t>
      </w:r>
      <w:r/>
    </w:p>
    <w:p>
      <w:pPr>
        <w:pStyle w:val="940"/>
        <w:ind w:firstLine="708"/>
        <w:jc w:val="both"/>
        <w:rPr>
          <w:b/>
        </w:rPr>
      </w:pPr>
      <w:r>
        <w:rPr>
          <w:b/>
        </w:rPr>
        <w:t xml:space="preserve">2. Основополагающий курс физики «Механика»</w:t>
      </w:r>
      <w:r/>
    </w:p>
    <w:p>
      <w:pPr>
        <w:pStyle w:val="940"/>
        <w:ind w:firstLine="708"/>
        <w:jc w:val="both"/>
      </w:pPr>
      <w:r>
        <w:t xml:space="preserve">При повторении раздела «Механика» следует помнить, что знания по механике являются для школьного курса физики основополагающими, так как многие задания из других разделов невозможно выполнить без привлечения соотношений кинематики или динамики. </w:t>
      </w:r>
      <w:r/>
    </w:p>
    <w:p>
      <w:pPr>
        <w:pStyle w:val="940"/>
        <w:ind w:firstLine="708"/>
        <w:jc w:val="both"/>
        <w:rPr>
          <w:b/>
        </w:rPr>
      </w:pPr>
      <w:r>
        <w:rPr>
          <w:b/>
        </w:rPr>
        <w:t xml:space="preserve">3.  Изопроцессы в идеальном газе и влажность воздуха.</w:t>
      </w:r>
      <w:r/>
    </w:p>
    <w:p>
      <w:pPr>
        <w:pStyle w:val="940"/>
        <w:ind w:firstLine="708"/>
        <w:jc w:val="both"/>
      </w:pPr>
      <w:r>
        <w:t xml:space="preserve">Важнейшие элементы в разделе «Молекулярная физика. Термодинамика», это понимание основных положений МКТ, их опытно</w:t>
      </w:r>
      <w:r>
        <w:t xml:space="preserve">го обоснования и умение объяснять различные явления на основе этих положений. Следует обратить внимание на вопросы, связанные с объяснением явления влажности воздуха, распознавания и понимания того, какие условия и как влияют на протекание данного явления.</w:t>
      </w:r>
      <w:r/>
    </w:p>
    <w:p>
      <w:pPr>
        <w:pStyle w:val="940"/>
        <w:ind w:firstLine="708"/>
        <w:jc w:val="both"/>
        <w:rPr>
          <w:b/>
        </w:rPr>
      </w:pPr>
      <w:r>
        <w:rPr>
          <w:b/>
        </w:rPr>
        <w:t xml:space="preserve">4. Электростатика - раздел электродинамики. Сложности в решении задач.</w:t>
      </w:r>
      <w:r/>
    </w:p>
    <w:p>
      <w:pPr>
        <w:pStyle w:val="940"/>
        <w:ind w:firstLine="708"/>
        <w:jc w:val="both"/>
      </w:pPr>
      <w:r>
        <w:t xml:space="preserve">При изучении электростатики следует обратить особое внимание на освоение вопросов, связанных с электризацией, электростатической индукцией проводников и поляризацией диэлектриков в электрическом поле. </w:t>
      </w:r>
      <w:r/>
    </w:p>
    <w:p>
      <w:pPr>
        <w:pStyle w:val="940"/>
        <w:ind w:firstLine="708"/>
        <w:jc w:val="both"/>
      </w:pPr>
      <w:r>
        <w:rPr>
          <w:b/>
        </w:rPr>
        <w:t xml:space="preserve">5. Квантовая физика. Работа с графиками. Фотометрия.</w:t>
      </w:r>
      <w:r/>
    </w:p>
    <w:p>
      <w:pPr>
        <w:pStyle w:val="940"/>
        <w:ind w:firstLine="708"/>
        <w:jc w:val="both"/>
      </w:pPr>
      <w:r>
        <w:t xml:space="preserve">Глубокое понима</w:t>
      </w:r>
      <w:r>
        <w:t xml:space="preserve">ние законов фотоэффекта и умения работать с графиками, четко понимать, как протекает явление фотоэффекта, знать, что количество выбиваемых электронов зависит от интенсивности света, но их максимальная энергия определяется только частотой падающего света.  </w:t>
      </w:r>
      <w:r/>
    </w:p>
    <w:p>
      <w:pPr>
        <w:pStyle w:val="940"/>
        <w:ind w:firstLine="708"/>
        <w:jc w:val="both"/>
      </w:pPr>
      <w:r>
        <w:t xml:space="preserve">Направления курсов повышения квалификации для учителей физики:</w:t>
      </w:r>
      <w:r/>
    </w:p>
    <w:p>
      <w:pPr>
        <w:pStyle w:val="940"/>
        <w:numPr>
          <w:ilvl w:val="0"/>
          <w:numId w:val="58"/>
        </w:numPr>
        <w:ind w:left="0" w:firstLine="0"/>
        <w:jc w:val="both"/>
        <w:rPr>
          <w:color w:val="000000"/>
          <w:shd w:val="clear" w:color="auto" w:fill="ffffff"/>
        </w:rPr>
      </w:pPr>
      <w:r>
        <w:rPr>
          <w:color w:val="000000"/>
          <w:shd w:val="clear" w:color="auto" w:fill="ffffff"/>
        </w:rPr>
        <w:t xml:space="preserve">Системно-деятельностный подход в обучении физике.</w:t>
      </w:r>
      <w:r/>
    </w:p>
    <w:p>
      <w:pPr>
        <w:pStyle w:val="940"/>
        <w:numPr>
          <w:ilvl w:val="0"/>
          <w:numId w:val="58"/>
        </w:numPr>
        <w:ind w:left="0" w:firstLine="0"/>
        <w:jc w:val="both"/>
      </w:pPr>
      <w:r>
        <w:t xml:space="preserve">Актуальные вопросы преподавания физики на основе ФГОС нового поколения.</w:t>
      </w:r>
      <w:r/>
    </w:p>
    <w:p>
      <w:pPr>
        <w:pStyle w:val="940"/>
        <w:numPr>
          <w:ilvl w:val="0"/>
          <w:numId w:val="58"/>
        </w:numPr>
        <w:ind w:left="0" w:firstLine="0"/>
        <w:jc w:val="both"/>
      </w:pPr>
      <w:r>
        <w:t xml:space="preserve">Подготовка к ЕГЭ по физике в рамках обновления экзаменационных моделей.</w:t>
      </w:r>
      <w:r/>
    </w:p>
    <w:p>
      <w:pPr>
        <w:pStyle w:val="940"/>
      </w:pPr>
      <w:r/>
      <w:r/>
    </w:p>
    <w:p>
      <w:pPr>
        <w:pStyle w:val="940"/>
      </w:pPr>
      <w:r/>
      <w:r/>
    </w:p>
    <w:p>
      <w:pPr>
        <w:pStyle w:val="940"/>
      </w:pPr>
      <w:r/>
      <w:r/>
    </w:p>
    <w:p>
      <w:pPr>
        <w:pStyle w:val="940"/>
      </w:pPr>
      <w:r/>
      <w:r/>
    </w:p>
    <w:p>
      <w:pPr>
        <w:pStyle w:val="940"/>
      </w:pPr>
      <w:r/>
      <w:r/>
    </w:p>
    <w:p>
      <w:pPr>
        <w:pStyle w:val="940"/>
        <w:jc w:val="center"/>
      </w:pPr>
      <w:r/>
      <w:r/>
    </w:p>
    <w:p>
      <w:pPr>
        <w:pStyle w:val="940"/>
        <w:numPr>
          <w:ilvl w:val="1"/>
          <w:numId w:val="42"/>
        </w:numPr>
        <w:ind w:left="0" w:firstLine="0"/>
        <w:jc w:val="both"/>
        <w:keepLines/>
        <w:keepNext/>
        <w:spacing w:before="200" w:after="0"/>
      </w:pP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eastAsia="SimSun;宋体"/>
          <w:b/>
          <w:bCs/>
          <w:sz w:val="28"/>
        </w:rPr>
        <w:t xml:space="preserve">ом</w:t>
      </w:r>
      <w:r>
        <w:rPr>
          <w:rFonts w:eastAsia="SimSun;宋体"/>
          <w:b/>
          <w:bCs/>
          <w:sz w:val="28"/>
          <w:lang w:val="en-US"/>
        </w:rPr>
        <w:t xml:space="preserve"> отчет</w:t>
      </w:r>
      <w:r>
        <w:rPr>
          <w:rFonts w:eastAsia="SimSun;宋体"/>
          <w:b/>
          <w:bCs/>
          <w:sz w:val="28"/>
        </w:rPr>
        <w:t xml:space="preserve">е</w:t>
      </w:r>
      <w:r>
        <w:rPr>
          <w:rFonts w:eastAsia="SimSun;宋体"/>
          <w:b/>
          <w:bCs/>
          <w:sz w:val="28"/>
          <w:lang w:val="en-US"/>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eastAsia="SimSun;宋体"/>
          <w:b/>
          <w:bCs/>
          <w:sz w:val="28"/>
        </w:rPr>
        <w:t xml:space="preserve">.</w:t>
      </w:r>
      <w:r/>
    </w:p>
    <w:p>
      <w:pPr>
        <w:pStyle w:val="940"/>
      </w:pPr>
      <w:r/>
      <w:r/>
    </w:p>
    <w:p>
      <w:pPr>
        <w:pStyle w:val="940"/>
      </w:pPr>
      <w:r/>
      <w:hyperlink r:id="rId22"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keepLines/>
        <w:keepNext/>
        <w:spacing w:before="200" w:after="0"/>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1"/>
        <w:rPr>
          <w:rFonts w:ascii="Times New Roman" w:hAnsi="Times New Roman" w:cs="Times New Roman"/>
        </w:rPr>
      </w:pPr>
      <w:r>
        <w:rPr>
          <w:rFonts w:ascii="Times New Roman" w:hAnsi="Times New Roman" w:cs="Times New Roman"/>
        </w:rPr>
        <w:t xml:space="preserve">Раздел 5. Предложения в ДОРОЖНУЮ КАРТУ по развитию региональной системы образования</w:t>
      </w:r>
      <w:r/>
    </w:p>
    <w:p>
      <w:pPr>
        <w:pStyle w:val="943"/>
        <w:numPr>
          <w:ilvl w:val="0"/>
          <w:numId w:val="0"/>
        </w:numPr>
        <w:ind w:left="0" w:firstLine="0"/>
        <w:jc w:val="both"/>
      </w:pPr>
      <w:r>
        <w:rPr>
          <w:rFonts w:ascii="Times New Roman" w:hAnsi="Times New Roman" w:cs="Times New Roman"/>
          <w:lang w:val="ru-RU"/>
        </w:rPr>
        <w:t xml:space="preserve">5.1. </w:t>
      </w:r>
      <w:r>
        <w:rPr>
          <w:rFonts w:ascii="Times New Roman" w:hAnsi="Times New Roman" w:cs="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r/>
    </w:p>
    <w:p>
      <w:pPr>
        <w:pStyle w:val="940"/>
        <w:rPr>
          <w:lang w:val="en-US"/>
        </w:rPr>
      </w:pPr>
      <w:r>
        <w:rPr>
          <w:lang w:val="en-US"/>
        </w:rPr>
      </w:r>
      <w:r/>
    </w:p>
    <w:p>
      <w:pPr>
        <w:pStyle w:val="940"/>
        <w:jc w:val="right"/>
        <w:keepNext/>
        <w:spacing w:before="0" w:after="200"/>
        <w:rPr>
          <w:bCs/>
          <w:i/>
          <w:sz w:val="18"/>
          <w:szCs w:val="18"/>
          <w:lang w:val="en-US"/>
        </w:rPr>
      </w:pPr>
      <w:r>
        <w:rPr>
          <w:bCs/>
          <w:i/>
          <w:sz w:val="18"/>
          <w:szCs w:val="18"/>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1398"/>
        <w:gridCol w:w="2614"/>
        <w:gridCol w:w="3102"/>
        <w:gridCol w:w="2591"/>
      </w:tblGrid>
      <w:tr>
        <w:trPr>
          <w:trHeight w:val="365"/>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jc w:val="center"/>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rHeight w:val="4672"/>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(физика)</w:t>
            </w:r>
            <w:r/>
          </w:p>
        </w:tc>
        <w:tc>
          <w:tcPr>
            <w:tcBorders>
              <w:top w:val="single" w:color="000000" w:sz="4" w:space="0"/>
              <w:left w:val="single" w:color="000000" w:sz="4" w:space="0"/>
              <w:bottom w:val="single" w:color="000000" w:sz="4" w:space="0"/>
            </w:tcBorders>
            <w:tcW w:w="310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физики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ЕГ</w:t>
            </w:r>
            <w:r>
              <w:rPr>
                <w:lang w:eastAsia="en-US"/>
              </w:rPr>
              <w:t xml:space="preserve">Э – 11 в 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физике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физике.</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физике.</w:t>
            </w:r>
            <w:r/>
          </w:p>
          <w:p>
            <w:pPr>
              <w:pStyle w:val="940"/>
            </w:pPr>
            <w:r>
              <w:t xml:space="preserve">Разработаны рекомендации по изменению программы повышения квалификации учителей физики</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6.</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65 человек 2 часа, семинар, учителя -предметники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Результаты ЕГЭ и обучение решению задач по физике</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40 человек 2 часа, вебинар, учителя физики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restart"/>
            <w:textDirection w:val="lrTb"/>
            <w:noWrap w:val="false"/>
          </w:tcPr>
          <w:p>
            <w:pPr>
              <w:pStyle w:val="940"/>
            </w:pPr>
            <w:r>
              <w:rPr>
                <w:bCs/>
              </w:rPr>
              <w:t xml:space="preserve">Семинар и вебинар были направлены подготовку учителей физике к развитию у обучающихся таких умений и видов деятельности, как: </w:t>
            </w:r>
            <w:r>
              <w:t xml:space="preserve">умение описывать и объяснять физические яв</w:t>
            </w:r>
            <w:r>
              <w:t xml:space="preserve">ления и свойства тел, отличать гипотезы от научной теории, делать выводы на основе экспериментальных данных, измерять физические величины, представлять результаты измерений с учетом их погрешностей, применять полученные знания при решении физических задач.</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Методика обучения решению физических задач (повышенный и высокий уровни сложности</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78 человек, семинар, учителя физики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(физика)</w:t>
            </w:r>
            <w:r/>
          </w:p>
        </w:tc>
        <w:tc>
          <w:tcPr>
            <w:tcBorders>
              <w:top w:val="single" w:color="000000" w:sz="4" w:space="0"/>
              <w:left w:val="single" w:color="000000" w:sz="4" w:space="0"/>
              <w:bottom w:val="single" w:color="000000" w:sz="4" w:space="0"/>
            </w:tcBorders>
            <w:tcW w:w="3102" w:type="dxa"/>
            <w:textDirection w:val="lrTb"/>
            <w:noWrap w:val="false"/>
          </w:tcPr>
          <w:p>
            <w:pPr>
              <w:pStyle w:val="940"/>
              <w:jc w:val="both"/>
              <w:spacing w:before="0" w:after="160" w:line="254" w:lineRule="auto"/>
            </w:pPr>
            <w:r>
              <w:rPr>
                <w:lang w:eastAsia="en-US"/>
              </w:rPr>
              <w:t xml:space="preserve">17 человек,</w:t>
            </w:r>
            <w:r>
              <w:rPr>
                <w:sz w:val="22"/>
                <w:szCs w:val="22"/>
                <w:lang w:eastAsia="en-US"/>
              </w:rPr>
              <w:t xml:space="preserve"> </w:t>
            </w:r>
            <w:r>
              <w:rPr>
                <w:lang w:eastAsia="en-US"/>
              </w:rPr>
              <w:t xml:space="preserve">семинар, учителя - члены предметной комиссии по физике</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16"/>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rPr>
                <w:lang w:eastAsia="en-US"/>
              </w:rPr>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w:t>
            </w:r>
            <w:r>
              <w:rPr>
                <w:lang w:eastAsia="en-US"/>
              </w:rPr>
              <w:t xml:space="preserve">по образовательным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физике;</w:t>
            </w:r>
            <w:r/>
          </w:p>
          <w:p>
            <w:pPr>
              <w:pStyle w:val="940"/>
              <w:jc w:val="both"/>
              <w:spacing w:before="0" w:after="160" w:line="254" w:lineRule="auto"/>
              <w:rPr>
                <w:lang w:eastAsia="en-US"/>
              </w:rPr>
            </w:pPr>
            <w:r>
              <w:rPr>
                <w:lang w:eastAsia="en-US"/>
              </w:rPr>
              <w:t xml:space="preserve">•</w:t>
            </w:r>
            <w:r>
              <w:rPr>
                <w:lang w:eastAsia="en-US"/>
              </w:rPr>
              <w:tab/>
              <w:t xml:space="preserve">формированию у них представления о структуре и содержании  КИМ по физике;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9.</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i/>
              </w:rPr>
              <w:t xml:space="preserve"> (физика)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Количество слушателей – 97 человек.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w:t>
            </w:r>
            <w:r>
              <w:t xml:space="preserve"> и включают вопросы обновления технологий и содержания обучения русскому языку и литературе/ истории/ обществознанию/ географии/ математике/ физике и астрономии/ химии и др. в соответствии с концепциями преподавания учебных предметов (предметных областей).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Включение в повестки дня заседаний предметных секций регионального учебно-методического объединения учителей вопросов, связанных с организаций учебных занятий, ориентированных на подготовку выпускников к ЕГЭ</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10</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Применение цифровых ресурсов на уроках физики. Анализ результатов ЕГЭ 2020</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11 человек, учителя физики </w:t>
            </w:r>
            <w:r/>
          </w:p>
        </w:tc>
        <w:tc>
          <w:tcPr>
            <w:tcBorders>
              <w:top w:val="single" w:color="000000" w:sz="4" w:space="0"/>
              <w:left w:val="single" w:color="000000" w:sz="4" w:space="0"/>
              <w:bottom w:val="single" w:color="000000" w:sz="4" w:space="0"/>
              <w:right w:val="single" w:color="000000" w:sz="4" w:space="0"/>
            </w:tcBorders>
            <w:tcW w:w="2591" w:type="dxa"/>
            <w:vAlign w:val="center"/>
            <w:vMerge w:val="restart"/>
            <w:textDirection w:val="lrTb"/>
            <w:noWrap w:val="false"/>
          </w:tcPr>
          <w:p>
            <w:pPr>
              <w:pStyle w:val="940"/>
            </w:pPr>
            <w:r>
              <w:t xml:space="preserve">Включение в пов</w:t>
            </w:r>
            <w:r>
              <w:t xml:space="preserve">естки дня заседания предметной секций регионального учебно-методического объединения учителей физики вопросов, связанных с организацией учебных занятий, ориентированных на подготовку выпускников к ЕГЭ позволило развить соответствующие компетенции учителей.</w:t>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От опытов к решению задач (2 семинара)</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55 человек, учителя физики</w:t>
            </w:r>
            <w:r/>
          </w:p>
          <w:p>
            <w:pPr>
              <w:pStyle w:val="940"/>
            </w:pPr>
            <w:r>
              <w:t xml:space="preserve">64 человек, учителя физики</w:t>
            </w:r>
            <w:r/>
          </w:p>
        </w:tc>
        <w:tc>
          <w:tcPr>
            <w:tcBorders>
              <w:top w:val="single" w:color="000000" w:sz="4" w:space="0"/>
              <w:left w:val="single" w:color="000000" w:sz="4" w:space="0"/>
              <w:bottom w:val="single" w:color="000000" w:sz="4" w:space="0"/>
              <w:right w:val="single" w:color="000000" w:sz="4" w:space="0"/>
            </w:tcBorders>
            <w:tcW w:w="259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1398"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Уроки астрономии в школе по УМК А.В. Засова и В.Г. Сурдина</w:t>
            </w:r>
            <w:r/>
          </w:p>
        </w:tc>
        <w:tc>
          <w:tcPr>
            <w:tcBorders>
              <w:top w:val="single" w:color="000000" w:sz="4" w:space="0"/>
              <w:left w:val="single" w:color="000000" w:sz="4" w:space="0"/>
              <w:bottom w:val="single" w:color="000000" w:sz="4" w:space="0"/>
            </w:tcBorders>
            <w:tcW w:w="3102" w:type="dxa"/>
            <w:vAlign w:val="center"/>
            <w:textDirection w:val="lrTb"/>
            <w:noWrap w:val="false"/>
          </w:tcPr>
          <w:p>
            <w:pPr>
              <w:pStyle w:val="940"/>
            </w:pPr>
            <w:r>
              <w:t xml:space="preserve">25</w:t>
            </w:r>
            <w:r>
              <w:rPr>
                <w:sz w:val="22"/>
                <w:szCs w:val="22"/>
                <w:lang w:eastAsia="en-US"/>
              </w:rPr>
              <w:t xml:space="preserve"> </w:t>
            </w:r>
            <w:r>
              <w:t xml:space="preserve">человек, учителя физики и астрономии</w:t>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vMerge w:val="continue"/>
            <w:textDirection w:val="lrTb"/>
            <w:noWrap w:val="false"/>
          </w:tcPr>
          <w:p>
            <w:pPr>
              <w:pStyle w:val="940"/>
            </w:pPr>
            <w:r/>
            <w:r/>
          </w:p>
        </w:tc>
      </w:tr>
    </w:tbl>
    <w:p>
      <w:pPr>
        <w:pStyle w:val="1400"/>
        <w:numPr>
          <w:ilvl w:val="0"/>
          <w:numId w:val="42"/>
        </w:numPr>
        <w:contextualSpacing/>
        <w:keepLines/>
        <w:keepNext/>
        <w:spacing w:before="200" w:after="0" w:line="240" w:lineRule="auto"/>
        <w:rPr>
          <w:rFonts w:ascii="Times New Roman" w:hAnsi="Times New Roman" w:cs="Times New Roman" w:eastAsia="SimSun;宋体"/>
          <w:b/>
          <w:bCs/>
          <w:vanish/>
          <w:sz w:val="28"/>
          <w:szCs w:val="24"/>
          <w:lang w:val="en-US" w:eastAsia="ru-RU"/>
        </w:rPr>
      </w:pPr>
      <w:r>
        <w:rPr>
          <w:rFonts w:ascii="Times New Roman" w:hAnsi="Times New Roman" w:cs="Times New Roman" w:eastAsia="SimSun;宋体"/>
          <w:b/>
          <w:bCs/>
          <w:vanish/>
          <w:sz w:val="28"/>
          <w:szCs w:val="24"/>
          <w:lang w:val="en-US" w:eastAsia="ru-RU"/>
        </w:rPr>
      </w:r>
      <w:r/>
    </w:p>
    <w:p>
      <w:pPr>
        <w:pStyle w:val="940"/>
        <w:numPr>
          <w:ilvl w:val="1"/>
          <w:numId w:val="53"/>
        </w:numPr>
        <w:keepLines/>
        <w:keepNext/>
        <w:spacing w:before="200" w:after="0"/>
      </w:pPr>
      <w:r>
        <w:rPr>
          <w:rFonts w:eastAsia="Times New Roman"/>
          <w:b/>
          <w:bCs/>
          <w:sz w:val="28"/>
        </w:rPr>
        <w:t xml:space="preserve"> </w:t>
      </w:r>
      <w:r>
        <w:rPr>
          <w:rFonts w:eastAsia="SimSun;宋体"/>
          <w:b/>
          <w:bCs/>
          <w:sz w:val="28"/>
          <w:lang w:val="en-US"/>
        </w:rPr>
        <w:t xml:space="preserve">Предложения в дорожную карту на 2021-2022 учебный год</w:t>
      </w:r>
      <w:r/>
    </w:p>
    <w:p>
      <w:pPr>
        <w:pStyle w:val="940"/>
        <w:numPr>
          <w:ilvl w:val="2"/>
          <w:numId w:val="53"/>
        </w:numPr>
        <w:ind w:left="567" w:firstLine="0"/>
        <w:jc w:val="both"/>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учителей-предметников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 физики – не менее 20,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тебе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физики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Оценка результатов ГИА по физике</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numPr>
          <w:ilvl w:val="2"/>
          <w:numId w:val="53"/>
        </w:numPr>
        <w:ind w:left="567" w:firstLine="0"/>
        <w:jc w:val="both"/>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2"/>
        <w:gridCol w:w="7991"/>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jc w:val="center"/>
              <w:spacing w:before="0" w:after="0"/>
              <w:rPr>
                <w:lang w:eastAsia="en-US"/>
              </w:rPr>
            </w:pPr>
            <w:r>
              <w:rPr>
                <w:lang w:eastAsia="en-US"/>
              </w:rPr>
              <w:t xml:space="preserve">Мероприятие</w:t>
            </w:r>
            <w:r/>
          </w:p>
          <w:p>
            <w:pPr>
              <w:pStyle w:val="940"/>
              <w:contextualSpacing/>
              <w:jc w:val="center"/>
              <w:spacing w:before="0" w:after="0"/>
              <w:rPr>
                <w:i/>
                <w:lang w:eastAsia="en-US"/>
              </w:rPr>
            </w:pPr>
            <w:r>
              <w:rPr>
                <w:i/>
                <w:lang w:eastAsia="en-US"/>
              </w:rPr>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2"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rPr>
                <w:lang w:eastAsia="en-US"/>
              </w:rPr>
            </w:pPr>
            <w:r>
              <w:rPr>
                <w:lang w:eastAsia="en-US"/>
              </w:rPr>
              <w:t xml:space="preserve">Обновление содержания обучения физики с учетом нового ФГОС ООО и результатов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rPr>
                <w:sz w:val="22"/>
                <w:szCs w:val="22"/>
              </w:rPr>
            </w:pPr>
            <w:r>
              <w:rPr>
                <w:sz w:val="22"/>
                <w:szCs w:val="22"/>
              </w:rPr>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Проведение открытых заседаний предметной секций учителей физики рег</w:t>
            </w:r>
            <w:r>
              <w:t xml:space="preserve">ионального учебно-методического объединения с участием председателей предметных комиссий ЕГЭ с обсуждением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Декабрь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«Изопроцессы в идеальном газе и влажность воздуха»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3.2</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Апрель</w:t>
            </w:r>
            <w:r/>
          </w:p>
          <w:p>
            <w:pPr>
              <w:pStyle w:val="940"/>
              <w:contextualSpacing/>
              <w:spacing w:before="0" w:after="0"/>
            </w:pPr>
            <w:r>
              <w:t xml:space="preserve">2022</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«Квантовая физика: работа с графиками, фотометрия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5.</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Организация открытых заседа</w:t>
            </w:r>
            <w:r>
              <w:t xml:space="preserve">ний предметной секции учителей физики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5.1</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Октябрь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«Особенности обучения решению качественных задач»</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5.2</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Февраль</w:t>
            </w:r>
            <w:r/>
          </w:p>
          <w:p>
            <w:pPr>
              <w:pStyle w:val="940"/>
              <w:contextualSpacing/>
              <w:spacing w:before="0" w:after="0"/>
            </w:pPr>
            <w:r>
              <w:t xml:space="preserve">2022</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«Электростатика: сложности в решении задач.</w:t>
            </w:r>
            <w:r/>
          </w:p>
        </w:tc>
      </w:tr>
    </w:tbl>
    <w:p>
      <w:pPr>
        <w:pStyle w:val="940"/>
        <w:keepNext/>
        <w:spacing w:before="0" w:after="200"/>
        <w:rPr>
          <w:bCs/>
          <w:sz w:val="18"/>
          <w:szCs w:val="18"/>
        </w:rPr>
      </w:pPr>
      <w:r>
        <w:rPr>
          <w:bCs/>
          <w:sz w:val="18"/>
          <w:szCs w:val="18"/>
        </w:rPr>
      </w:r>
      <w:r/>
    </w:p>
    <w:p>
      <w:pPr>
        <w:pStyle w:val="940"/>
        <w:numPr>
          <w:ilvl w:val="2"/>
          <w:numId w:val="53"/>
        </w:numPr>
        <w:ind w:left="567" w:firstLine="0"/>
        <w:jc w:val="both"/>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rPr>
          <w:rFonts w:eastAsia="SimSun;宋体"/>
          <w:bCs/>
          <w:lang w:val="en-US"/>
        </w:rPr>
      </w:pPr>
      <w:r>
        <w:rPr>
          <w:rFonts w:eastAsia="SimSun;宋体"/>
          <w:bCs/>
          <w:lang w:val="en-US"/>
        </w:rPr>
        <w:t xml:space="preserve">Не планируются</w:t>
      </w:r>
      <w:r/>
    </w:p>
    <w:p>
      <w:pPr>
        <w:pStyle w:val="940"/>
        <w:numPr>
          <w:ilvl w:val="2"/>
          <w:numId w:val="53"/>
        </w:numPr>
        <w:ind w:left="567" w:firstLine="0"/>
        <w:jc w:val="both"/>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56"/>
        <w:gridCol w:w="1114"/>
        <w:gridCol w:w="8089"/>
      </w:tblGrid>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jc w:val="center"/>
              <w:spacing w:before="0" w:after="0"/>
              <w:rPr>
                <w:lang w:eastAsia="en-US"/>
              </w:rPr>
            </w:pPr>
            <w:r>
              <w:rPr>
                <w:lang w:eastAsia="en-US"/>
              </w:rPr>
              <w:t xml:space="preserve">Дата</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физике,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Выступления учителей физики,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физики и подготовки выпускников к ГИА</w:t>
            </w:r>
            <w:r/>
          </w:p>
        </w:tc>
      </w:tr>
    </w:tbl>
    <w:p>
      <w:pPr>
        <w:pStyle w:val="940"/>
        <w:keepNext/>
        <w:spacing w:before="0" w:after="200"/>
        <w:rPr>
          <w:bCs/>
          <w:sz w:val="18"/>
          <w:szCs w:val="18"/>
        </w:rPr>
      </w:pPr>
      <w:r>
        <w:rPr>
          <w:bCs/>
          <w:sz w:val="18"/>
          <w:szCs w:val="18"/>
        </w:rPr>
      </w:r>
      <w:r/>
    </w:p>
    <w:p>
      <w:pPr>
        <w:pStyle w:val="940"/>
        <w:numPr>
          <w:ilvl w:val="2"/>
          <w:numId w:val="53"/>
        </w:numPr>
        <w:ind w:left="567"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ind w:firstLine="567"/>
        <w:jc w:val="both"/>
        <w:rPr>
          <w:lang w:eastAsia="en-US"/>
        </w:rPr>
      </w:pPr>
      <w:r>
        <w:rPr>
          <w:lang w:eastAsia="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 </w:t>
      </w:r>
      <w:r>
        <w:rPr>
          <w:lang w:eastAsia="en-US"/>
        </w:rPr>
        <w:t xml:space="preserve">№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«Физика»</w:t>
      </w:r>
      <w:r/>
    </w:p>
    <w:p>
      <w:pPr>
        <w:pStyle w:val="940"/>
        <w:ind w:right="-1" w:firstLine="0"/>
        <w:jc w:val="both"/>
        <w:spacing w:line="360" w:lineRule="auto"/>
      </w:pPr>
      <w:r>
        <w:rPr>
          <w:rFonts w:eastAsia="Times New Roman"/>
          <w:sz w:val="28"/>
          <w:szCs w:val="28"/>
        </w:rPr>
        <w:t xml:space="preserve"> </w:t>
      </w:r>
      <w:r>
        <w:rPr>
          <w:rFonts w:eastAsia="Times New Roman"/>
          <w:sz w:val="28"/>
          <w:szCs w:val="28"/>
        </w:rPr>
        <w:tab/>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highlight w:val="yellow"/>
        </w:rPr>
      </w:pPr>
      <w:r>
        <w:rPr>
          <w:sz w:val="28"/>
          <w:szCs w:val="28"/>
          <w:highlight w:val="yellow"/>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41"/>
        <w:gridCol w:w="3020"/>
        <w:gridCol w:w="3202"/>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Тишкова Светлана </w:t>
            </w:r>
            <w:r/>
          </w:p>
          <w:p>
            <w:pPr>
              <w:pStyle w:val="940"/>
              <w:jc w:val="both"/>
              <w:rPr>
                <w:iCs/>
              </w:rPr>
            </w:pPr>
            <w:r>
              <w:rPr>
                <w:iCs/>
              </w:rPr>
              <w:t xml:space="preserve">Анатольевна, ФГБОУ ВО </w:t>
            </w:r>
            <w:r/>
          </w:p>
          <w:p>
            <w:pPr>
              <w:pStyle w:val="940"/>
              <w:jc w:val="both"/>
              <w:rPr>
                <w:iCs/>
              </w:rPr>
            </w:pPr>
            <w:r>
              <w:rPr>
                <w:iCs/>
              </w:rPr>
              <w:t xml:space="preserve">«Астраханский государственный университет», доцент </w:t>
            </w:r>
            <w:r/>
          </w:p>
          <w:p>
            <w:pPr>
              <w:pStyle w:val="940"/>
              <w:jc w:val="both"/>
              <w:rPr>
                <w:iCs/>
              </w:rPr>
            </w:pPr>
            <w:r>
              <w:rPr>
                <w:iCs/>
              </w:rPr>
              <w:t xml:space="preserve">кафедры общей физики, </w:t>
            </w:r>
            <w:r/>
          </w:p>
          <w:p>
            <w:pPr>
              <w:pStyle w:val="940"/>
              <w:jc w:val="both"/>
              <w:rPr>
                <w:iCs/>
              </w:rPr>
            </w:pPr>
            <w:r>
              <w:rPr>
                <w:iCs/>
              </w:rPr>
              <w:t xml:space="preserve">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«Физика»</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Ведущий эксперт </w:t>
            </w:r>
            <w:r/>
          </w:p>
          <w:p>
            <w:pPr>
              <w:pStyle w:val="940"/>
              <w:jc w:val="both"/>
              <w:rPr>
                <w:iCs/>
              </w:rPr>
            </w:pPr>
            <w:r>
              <w:rPr>
                <w:iCs/>
              </w:rPr>
              <w:t xml:space="preserve">предметной комиссии, </w:t>
            </w:r>
            <w:r/>
          </w:p>
          <w:p>
            <w:pPr>
              <w:pStyle w:val="940"/>
              <w:jc w:val="both"/>
            </w:pPr>
            <w:r>
              <w:rPr>
                <w:iCs/>
              </w:rPr>
              <w:t xml:space="preserve">председатель УМО</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Зубкова Ирина Николаевна, ГБОУ «АТЛ», учитель физики</w:t>
              <w:tab/>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Предметная комиссия                  </w:t>
            </w:r>
            <w:r/>
          </w:p>
          <w:p>
            <w:pPr>
              <w:pStyle w:val="940"/>
              <w:jc w:val="both"/>
              <w:rPr>
                <w:iCs/>
              </w:rPr>
            </w:pPr>
            <w:r>
              <w:rPr>
                <w:iCs/>
              </w:rPr>
              <w:t xml:space="preserve">по физике</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Рычин Иван </w:t>
            </w:r>
            <w:r/>
          </w:p>
          <w:p>
            <w:pPr>
              <w:pStyle w:val="940"/>
              <w:jc w:val="both"/>
              <w:rPr>
                <w:iCs/>
              </w:rPr>
            </w:pPr>
            <w:r>
              <w:rPr>
                <w:iCs/>
              </w:rPr>
              <w:t xml:space="preserve">Константинович,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заместитель </w:t>
            </w:r>
            <w:r/>
          </w:p>
          <w:p>
            <w:pPr>
              <w:pStyle w:val="940"/>
              <w:jc w:val="both"/>
              <w:rPr>
                <w:iCs/>
              </w:rPr>
            </w:pPr>
            <w:r>
              <w:rPr>
                <w:iCs/>
              </w:rPr>
              <w:t xml:space="preserve">начальника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Мясоедова Елена </w:t>
            </w:r>
            <w:r/>
          </w:p>
          <w:p>
            <w:pPr>
              <w:pStyle w:val="940"/>
              <w:jc w:val="both"/>
              <w:rPr>
                <w:iCs/>
              </w:rPr>
            </w:pPr>
            <w:r>
              <w:rPr>
                <w:iCs/>
              </w:rPr>
              <w:t xml:space="preserve">Анатольевна, ГАОУ АО </w:t>
            </w:r>
            <w:r/>
          </w:p>
          <w:p>
            <w:pPr>
              <w:pStyle w:val="940"/>
              <w:jc w:val="both"/>
              <w:rPr>
                <w:iCs/>
              </w:rPr>
            </w:pPr>
            <w:r>
              <w:rPr>
                <w:iCs/>
              </w:rPr>
              <w:t xml:space="preserve">ДПО «Институт развития </w:t>
            </w:r>
            <w:r/>
          </w:p>
          <w:p>
            <w:pPr>
              <w:pStyle w:val="940"/>
              <w:jc w:val="both"/>
            </w:pPr>
            <w:r>
              <w:rPr>
                <w:iCs/>
              </w:rPr>
              <w:t xml:space="preserve">образования», директор               </w:t>
            </w:r>
            <w:r/>
          </w:p>
          <w:p>
            <w:pPr>
              <w:pStyle w:val="940"/>
              <w:jc w:val="both"/>
              <w:rPr>
                <w:iCs/>
              </w:rPr>
            </w:pPr>
            <w:r>
              <w:rPr>
                <w:iCs/>
              </w:rPr>
              <w:t xml:space="preserve">по реализации публичных </w:t>
            </w:r>
            <w:r/>
          </w:p>
          <w:p>
            <w:pPr>
              <w:pStyle w:val="940"/>
              <w:jc w:val="both"/>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bl>
    <w:p>
      <w:pPr>
        <w:pStyle w:val="941"/>
        <w:rPr>
          <w:rFonts w:ascii="Times New Roman" w:hAnsi="Times New Roman" w:cs="Times New Roman"/>
        </w:rPr>
      </w:pPr>
      <w:r>
        <w:rPr>
          <w:rFonts w:ascii="Times New Roman" w:hAnsi="Times New Roman" w:cs="Times New Roman"/>
        </w:rPr>
      </w:r>
      <w:r/>
    </w:p>
    <w:p>
      <w:pPr>
        <w:pStyle w:val="940"/>
        <w:rPr>
          <w:rFonts w:ascii="Times New Roman" w:hAnsi="Times New Roman" w:cs="Times New Roman"/>
        </w:rPr>
      </w:pPr>
      <w:r>
        <w:rPr>
          <w:rFonts w:cs="Times New Roman"/>
        </w:rPr>
      </w:r>
      <w:r/>
    </w:p>
    <w:p>
      <w:pPr>
        <w:pStyle w:val="940"/>
      </w:pPr>
      <w:r/>
      <w:r/>
    </w:p>
    <w:p>
      <w:pPr>
        <w:pStyle w:val="941"/>
      </w:pPr>
      <w:r>
        <w:rPr>
          <w:rFonts w:ascii="Times New Roman" w:hAnsi="Times New Roman" w:cs="Times New Roman"/>
        </w:rPr>
        <w:t xml:space="preserve">Методический анализ результатов ЕГЭ</w:t>
        <w:br/>
      </w:r>
      <w:r>
        <w:rPr>
          <w:rStyle w:val="1378"/>
          <w:rFonts w:ascii="Times New Roman" w:hAnsi="Times New Roman" w:cs="Times New Roman"/>
          <w:b w:val="0"/>
          <w:bCs w:val="0"/>
          <w:sz w:val="32"/>
        </w:rPr>
        <w:t xml:space="preserve">по </w:t>
      </w:r>
      <w:r>
        <w:rPr>
          <w:rStyle w:val="1378"/>
          <w:rFonts w:ascii="Times New Roman" w:hAnsi="Times New Roman" w:cs="Times New Roman"/>
          <w:b w:val="0"/>
          <w:bCs w:val="0"/>
          <w:sz w:val="32"/>
          <w:u w:val="single"/>
          <w:lang w:val="ru-RU"/>
        </w:rPr>
        <w:t xml:space="preserve">Химии</w:t>
      </w:r>
      <w:r>
        <w:rPr>
          <w:rStyle w:val="1378"/>
          <w:rFonts w:ascii="Times New Roman" w:hAnsi="Times New Roman" w:cs="Times New Roman"/>
          <w:b w:val="0"/>
          <w:bCs w:val="0"/>
          <w:sz w:val="32"/>
        </w:rPr>
        <w:br/>
      </w:r>
      <w:r>
        <w:rPr>
          <w:rStyle w:val="1378"/>
          <w:rFonts w:ascii="Times New Roman" w:hAnsi="Times New Roman" w:cs="Times New Roman"/>
          <w:b w:val="0"/>
          <w:bCs w:val="0"/>
          <w:sz w:val="24"/>
          <w:szCs w:val="22"/>
          <w:lang w:val="ru-RU"/>
        </w:rPr>
        <w:t xml:space="preserve">  </w:t>
      </w:r>
      <w:r>
        <w:rPr>
          <w:rStyle w:val="1378"/>
          <w:rFonts w:ascii="Times New Roman" w:hAnsi="Times New Roman" w:cs="Times New Roman"/>
          <w:b w:val="0"/>
          <w:bCs w:val="0"/>
          <w:sz w:val="24"/>
          <w:szCs w:val="22"/>
        </w:rPr>
        <w:t xml:space="preserve">(учебный предмет)</w:t>
      </w:r>
      <w:r/>
    </w:p>
    <w:p>
      <w:pPr>
        <w:pStyle w:val="940"/>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0"/>
        <w:jc w:val="both"/>
        <w:rPr>
          <w:b/>
          <w:bCs/>
          <w:sz w:val="28"/>
          <w:szCs w:val="28"/>
        </w:rPr>
      </w:pPr>
      <w:r>
        <w:rPr>
          <w:b/>
          <w:bCs/>
          <w:sz w:val="28"/>
          <w:szCs w:val="28"/>
        </w:rPr>
      </w:r>
      <w:r/>
    </w:p>
    <w:p>
      <w:pPr>
        <w:pStyle w:val="943"/>
        <w:tabs>
          <w:tab w:val="left" w:pos="142" w:leader="none"/>
          <w:tab w:val="clear" w:pos="708" w:leader="none"/>
        </w:tabs>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rPr>
          <w:b/>
          <w:lang w:val="en-US" w:eastAsia="en-US"/>
        </w:rPr>
      </w:pPr>
      <w:r>
        <w:t xml:space="preserve">Таблица 2</w:t>
        <w:noBreakHyphen/>
        <w:t xml:space="preserve">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16"/>
        <w:gridCol w:w="1843"/>
        <w:gridCol w:w="1560"/>
        <w:gridCol w:w="1849"/>
        <w:gridCol w:w="1417"/>
        <w:gridCol w:w="1574"/>
      </w:tblGrid>
      <w:tr>
        <w:trPr/>
        <w:tc>
          <w:tcPr>
            <w:gridSpan w:val="2"/>
            <w:tcBorders>
              <w:top w:val="single" w:color="000000" w:sz="4" w:space="0"/>
              <w:left w:val="single" w:color="000000" w:sz="4" w:space="0"/>
              <w:bottom w:val="single" w:color="000000" w:sz="4" w:space="0"/>
            </w:tcBorders>
            <w:tcW w:w="3259"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409"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2991"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41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3"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5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rHeight w:val="455"/>
        </w:trPr>
        <w:tc>
          <w:tcPr>
            <w:tcBorders>
              <w:top w:val="single" w:color="000000" w:sz="4" w:space="0"/>
              <w:left w:val="single" w:color="000000" w:sz="4" w:space="0"/>
              <w:bottom w:val="single" w:color="000000" w:sz="4" w:space="0"/>
            </w:tcBorders>
            <w:tcW w:w="1416" w:type="dxa"/>
            <w:vAlign w:val="center"/>
            <w:textDirection w:val="lrTb"/>
            <w:noWrap w:val="false"/>
          </w:tcPr>
          <w:p>
            <w:pPr>
              <w:pStyle w:val="940"/>
              <w:ind w:right="-1" w:firstLine="0"/>
              <w:jc w:val="center"/>
              <w:spacing w:before="0" w:after="160" w:line="254" w:lineRule="auto"/>
              <w:rPr>
                <w:lang w:eastAsia="en-US"/>
              </w:rPr>
            </w:pPr>
            <w:r>
              <w:rPr>
                <w:lang w:eastAsia="en-US"/>
              </w:rPr>
              <w:t xml:space="preserve">736</w:t>
            </w:r>
            <w:r/>
          </w:p>
        </w:tc>
        <w:tc>
          <w:tcPr>
            <w:tcBorders>
              <w:top w:val="single" w:color="000000" w:sz="4" w:space="0"/>
              <w:left w:val="single" w:color="000000" w:sz="4" w:space="0"/>
              <w:bottom w:val="single" w:color="000000" w:sz="4" w:space="0"/>
            </w:tcBorders>
            <w:tcW w:w="1843" w:type="dxa"/>
            <w:vAlign w:val="center"/>
            <w:textDirection w:val="lrTb"/>
            <w:noWrap w:val="false"/>
          </w:tcPr>
          <w:p>
            <w:pPr>
              <w:pStyle w:val="940"/>
              <w:ind w:right="-1" w:firstLine="0"/>
              <w:jc w:val="center"/>
              <w:spacing w:before="0" w:after="160" w:line="254" w:lineRule="auto"/>
              <w:rPr>
                <w:lang w:eastAsia="en-US"/>
              </w:rPr>
            </w:pPr>
            <w:r>
              <w:rPr>
                <w:lang w:eastAsia="en-US"/>
              </w:rPr>
              <w:t xml:space="preserve">17,0</w:t>
            </w:r>
            <w:r/>
          </w:p>
        </w:tc>
        <w:tc>
          <w:tcPr>
            <w:tcBorders>
              <w:top w:val="single" w:color="000000" w:sz="4" w:space="0"/>
              <w:left w:val="single" w:color="000000" w:sz="4" w:space="0"/>
              <w:bottom w:val="single" w:color="000000" w:sz="4" w:space="0"/>
            </w:tcBorders>
            <w:tcW w:w="1560" w:type="dxa"/>
            <w:vAlign w:val="center"/>
            <w:textDirection w:val="lrTb"/>
            <w:noWrap w:val="false"/>
          </w:tcPr>
          <w:p>
            <w:pPr>
              <w:pStyle w:val="940"/>
              <w:ind w:right="-1" w:firstLine="0"/>
              <w:jc w:val="center"/>
              <w:spacing w:before="0" w:after="160" w:line="254" w:lineRule="auto"/>
              <w:rPr>
                <w:lang w:eastAsia="en-US"/>
              </w:rPr>
            </w:pPr>
            <w:r>
              <w:rPr>
                <w:lang w:eastAsia="en-US"/>
              </w:rPr>
              <w:t xml:space="preserve">717</w:t>
            </w:r>
            <w:r/>
          </w:p>
        </w:tc>
        <w:tc>
          <w:tcPr>
            <w:tcBorders>
              <w:top w:val="single" w:color="000000" w:sz="4" w:space="0"/>
              <w:left w:val="single" w:color="000000" w:sz="4" w:space="0"/>
              <w:bottom w:val="single" w:color="000000" w:sz="4" w:space="0"/>
            </w:tcBorders>
            <w:tcW w:w="1849" w:type="dxa"/>
            <w:vAlign w:val="center"/>
            <w:textDirection w:val="lrTb"/>
            <w:noWrap w:val="false"/>
          </w:tcPr>
          <w:p>
            <w:pPr>
              <w:pStyle w:val="940"/>
              <w:ind w:right="-1" w:firstLine="0"/>
              <w:jc w:val="center"/>
              <w:spacing w:before="0" w:after="160" w:line="254" w:lineRule="auto"/>
              <w:rPr>
                <w:lang w:eastAsia="en-US"/>
              </w:rPr>
            </w:pPr>
            <w:r>
              <w:rPr>
                <w:lang w:eastAsia="en-US"/>
              </w:rPr>
              <w:t xml:space="preserve">17,6</w:t>
            </w:r>
            <w:r/>
          </w:p>
        </w:tc>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pPr>
            <w:r>
              <w:t xml:space="preserve">767</w:t>
            </w:r>
            <w:r/>
          </w:p>
        </w:tc>
        <w:tc>
          <w:tcPr>
            <w:tcBorders>
              <w:top w:val="single" w:color="000000" w:sz="4" w:space="0"/>
              <w:left w:val="single" w:color="000000" w:sz="4" w:space="0"/>
              <w:bottom w:val="single" w:color="000000" w:sz="4" w:space="0"/>
              <w:right w:val="single" w:color="000000" w:sz="4" w:space="0"/>
            </w:tcBorders>
            <w:tcW w:w="1574" w:type="dxa"/>
            <w:vAlign w:val="center"/>
            <w:textDirection w:val="lrTb"/>
            <w:noWrap w:val="false"/>
          </w:tcPr>
          <w:p>
            <w:pPr>
              <w:pStyle w:val="940"/>
              <w:jc w:val="center"/>
            </w:pPr>
            <w:r>
              <w:t xml:space="preserve">18,8</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701"/>
        <w:gridCol w:w="848"/>
        <w:gridCol w:w="1841"/>
        <w:gridCol w:w="991"/>
        <w:gridCol w:w="1839"/>
        <w:gridCol w:w="846"/>
        <w:gridCol w:w="1593"/>
      </w:tblGrid>
      <w:tr>
        <w:trPr/>
        <w:tc>
          <w:tcPr>
            <w:tcBorders>
              <w:top w:val="single" w:color="000000" w:sz="4" w:space="0"/>
              <w:left w:val="single" w:color="000000" w:sz="4" w:space="0"/>
              <w:bottom w:val="single" w:color="000000" w:sz="4" w:space="0"/>
            </w:tcBorders>
            <w:tcW w:w="1701"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68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830"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43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701"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84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99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3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84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593"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701"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848" w:type="dxa"/>
            <w:vAlign w:val="center"/>
            <w:textDirection w:val="lrTb"/>
            <w:noWrap w:val="false"/>
          </w:tcPr>
          <w:p>
            <w:pPr>
              <w:pStyle w:val="940"/>
              <w:jc w:val="center"/>
              <w:spacing w:before="0" w:after="160" w:line="254" w:lineRule="auto"/>
              <w:rPr>
                <w:lang w:eastAsia="en-US"/>
              </w:rPr>
            </w:pPr>
            <w:r>
              <w:rPr>
                <w:lang w:eastAsia="en-US"/>
              </w:rPr>
              <w:t xml:space="preserve">510</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pPr>
            <w:r>
              <w:t xml:space="preserve">69,3</w:t>
            </w:r>
            <w:r/>
          </w:p>
        </w:tc>
        <w:tc>
          <w:tcPr>
            <w:tcBorders>
              <w:top w:val="single" w:color="000000" w:sz="4" w:space="0"/>
              <w:left w:val="single" w:color="000000" w:sz="4" w:space="0"/>
              <w:bottom w:val="single" w:color="000000" w:sz="4" w:space="0"/>
            </w:tcBorders>
            <w:tcW w:w="991" w:type="dxa"/>
            <w:vAlign w:val="center"/>
            <w:textDirection w:val="lrTb"/>
            <w:noWrap w:val="false"/>
          </w:tcPr>
          <w:p>
            <w:pPr>
              <w:pStyle w:val="940"/>
              <w:jc w:val="center"/>
            </w:pPr>
            <w:r>
              <w:t xml:space="preserve">483</w:t>
            </w:r>
            <w:r/>
          </w:p>
        </w:tc>
        <w:tc>
          <w:tcPr>
            <w:tcBorders>
              <w:top w:val="single" w:color="000000" w:sz="4" w:space="0"/>
              <w:left w:val="single" w:color="000000" w:sz="4" w:space="0"/>
              <w:bottom w:val="single" w:color="000000" w:sz="4" w:space="0"/>
            </w:tcBorders>
            <w:tcW w:w="1839" w:type="dxa"/>
            <w:vAlign w:val="center"/>
            <w:textDirection w:val="lrTb"/>
            <w:noWrap w:val="false"/>
          </w:tcPr>
          <w:p>
            <w:pPr>
              <w:pStyle w:val="940"/>
              <w:jc w:val="center"/>
            </w:pPr>
            <w:r>
              <w:t xml:space="preserve">67,4</w:t>
            </w:r>
            <w:r/>
          </w:p>
        </w:tc>
        <w:tc>
          <w:tcPr>
            <w:tcBorders>
              <w:top w:val="single" w:color="000000" w:sz="4" w:space="0"/>
              <w:left w:val="single" w:color="000000" w:sz="4" w:space="0"/>
              <w:bottom w:val="single" w:color="000000" w:sz="4" w:space="0"/>
            </w:tcBorders>
            <w:tcW w:w="846" w:type="dxa"/>
            <w:vAlign w:val="center"/>
            <w:textDirection w:val="lrTb"/>
            <w:noWrap w:val="false"/>
          </w:tcPr>
          <w:p>
            <w:pPr>
              <w:pStyle w:val="940"/>
              <w:jc w:val="center"/>
            </w:pPr>
            <w:r>
              <w:t xml:space="preserve">534</w:t>
            </w:r>
            <w:r/>
          </w:p>
        </w:tc>
        <w:tc>
          <w:tcPr>
            <w:tcBorders>
              <w:top w:val="single" w:color="000000" w:sz="4" w:space="0"/>
              <w:left w:val="single" w:color="000000" w:sz="4" w:space="0"/>
              <w:bottom w:val="single" w:color="000000" w:sz="4" w:space="0"/>
              <w:right w:val="single" w:color="000000" w:sz="4" w:space="0"/>
            </w:tcBorders>
            <w:tcW w:w="1593" w:type="dxa"/>
            <w:vAlign w:val="center"/>
            <w:textDirection w:val="lrTb"/>
            <w:noWrap w:val="false"/>
          </w:tcPr>
          <w:p>
            <w:pPr>
              <w:pStyle w:val="940"/>
              <w:jc w:val="center"/>
            </w:pPr>
            <w:r>
              <w:t xml:space="preserve">69,6</w:t>
            </w:r>
            <w:r/>
          </w:p>
        </w:tc>
      </w:tr>
      <w:tr>
        <w:trPr/>
        <w:tc>
          <w:tcPr>
            <w:tcBorders>
              <w:top w:val="single" w:color="000000" w:sz="4" w:space="0"/>
              <w:left w:val="single" w:color="000000" w:sz="4" w:space="0"/>
              <w:bottom w:val="single" w:color="000000" w:sz="4" w:space="0"/>
            </w:tcBorders>
            <w:tcW w:w="1701"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848" w:type="dxa"/>
            <w:vAlign w:val="center"/>
            <w:textDirection w:val="lrTb"/>
            <w:noWrap w:val="false"/>
          </w:tcPr>
          <w:p>
            <w:pPr>
              <w:pStyle w:val="940"/>
              <w:jc w:val="center"/>
              <w:spacing w:before="0" w:after="160" w:line="254" w:lineRule="auto"/>
              <w:rPr>
                <w:lang w:eastAsia="en-US"/>
              </w:rPr>
            </w:pPr>
            <w:r>
              <w:rPr>
                <w:lang w:eastAsia="en-US"/>
              </w:rPr>
              <w:t xml:space="preserve">226</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pPr>
            <w:r>
              <w:t xml:space="preserve">30,7</w:t>
            </w:r>
            <w:r/>
          </w:p>
        </w:tc>
        <w:tc>
          <w:tcPr>
            <w:tcBorders>
              <w:top w:val="single" w:color="000000" w:sz="4" w:space="0"/>
              <w:left w:val="single" w:color="000000" w:sz="4" w:space="0"/>
              <w:bottom w:val="single" w:color="000000" w:sz="4" w:space="0"/>
            </w:tcBorders>
            <w:tcW w:w="991" w:type="dxa"/>
            <w:vAlign w:val="center"/>
            <w:textDirection w:val="lrTb"/>
            <w:noWrap w:val="false"/>
          </w:tcPr>
          <w:p>
            <w:pPr>
              <w:pStyle w:val="940"/>
              <w:jc w:val="center"/>
            </w:pPr>
            <w:r>
              <w:t xml:space="preserve">234</w:t>
            </w:r>
            <w:r/>
          </w:p>
        </w:tc>
        <w:tc>
          <w:tcPr>
            <w:tcBorders>
              <w:top w:val="single" w:color="000000" w:sz="4" w:space="0"/>
              <w:left w:val="single" w:color="000000" w:sz="4" w:space="0"/>
              <w:bottom w:val="single" w:color="000000" w:sz="4" w:space="0"/>
            </w:tcBorders>
            <w:tcW w:w="1839" w:type="dxa"/>
            <w:vAlign w:val="center"/>
            <w:textDirection w:val="lrTb"/>
            <w:noWrap w:val="false"/>
          </w:tcPr>
          <w:p>
            <w:pPr>
              <w:pStyle w:val="940"/>
              <w:jc w:val="center"/>
            </w:pPr>
            <w:r>
              <w:t xml:space="preserve">32,6</w:t>
            </w:r>
            <w:r/>
          </w:p>
        </w:tc>
        <w:tc>
          <w:tcPr>
            <w:tcBorders>
              <w:top w:val="single" w:color="000000" w:sz="4" w:space="0"/>
              <w:left w:val="single" w:color="000000" w:sz="4" w:space="0"/>
              <w:bottom w:val="single" w:color="000000" w:sz="4" w:space="0"/>
            </w:tcBorders>
            <w:tcW w:w="846" w:type="dxa"/>
            <w:vAlign w:val="center"/>
            <w:textDirection w:val="lrTb"/>
            <w:noWrap w:val="false"/>
          </w:tcPr>
          <w:p>
            <w:pPr>
              <w:pStyle w:val="940"/>
              <w:jc w:val="center"/>
            </w:pPr>
            <w:r>
              <w:t xml:space="preserve">233</w:t>
            </w:r>
            <w:r/>
          </w:p>
        </w:tc>
        <w:tc>
          <w:tcPr>
            <w:tcBorders>
              <w:top w:val="single" w:color="000000" w:sz="4" w:space="0"/>
              <w:left w:val="single" w:color="000000" w:sz="4" w:space="0"/>
              <w:bottom w:val="single" w:color="000000" w:sz="4" w:space="0"/>
              <w:right w:val="single" w:color="000000" w:sz="4" w:space="0"/>
            </w:tcBorders>
            <w:tcW w:w="1593" w:type="dxa"/>
            <w:vAlign w:val="center"/>
            <w:textDirection w:val="lrTb"/>
            <w:noWrap w:val="false"/>
          </w:tcPr>
          <w:p>
            <w:pPr>
              <w:pStyle w:val="940"/>
              <w:jc w:val="center"/>
            </w:pPr>
            <w:r>
              <w:t xml:space="preserve">30,4</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658" w:type="dxa"/>
        <w:tblInd w:w="-5" w:type="dxa"/>
        <w:tblLayout w:type="fixed"/>
        <w:tblCellMar>
          <w:left w:w="108" w:type="dxa"/>
          <w:top w:w="0" w:type="dxa"/>
          <w:right w:w="108" w:type="dxa"/>
          <w:bottom w:w="0" w:type="dxa"/>
        </w:tblCellMar>
        <w:tblLook w:val="04A0" w:firstRow="1" w:lastRow="0" w:firstColumn="1" w:lastColumn="0" w:noHBand="0" w:noVBand="1"/>
      </w:tblPr>
      <w:tblGrid>
        <w:gridCol w:w="7243"/>
        <w:gridCol w:w="2415"/>
      </w:tblGrid>
      <w:tr>
        <w:trPr>
          <w:trHeight w:val="281"/>
        </w:trPr>
        <w:tc>
          <w:tcPr>
            <w:tcBorders>
              <w:top w:val="single" w:color="000000" w:sz="4" w:space="0"/>
              <w:left w:val="single" w:color="000000" w:sz="4" w:space="0"/>
              <w:bottom w:val="single" w:color="000000" w:sz="4" w:space="0"/>
            </w:tcBorders>
            <w:tcW w:w="7243"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767</w:t>
            </w:r>
            <w:r/>
          </w:p>
        </w:tc>
      </w:tr>
      <w:tr>
        <w:trPr>
          <w:trHeight w:val="556"/>
        </w:trPr>
        <w:tc>
          <w:tcPr>
            <w:tcBorders>
              <w:top w:val="single" w:color="000000" w:sz="4" w:space="0"/>
              <w:left w:val="single" w:color="000000" w:sz="4" w:space="0"/>
              <w:bottom w:val="single" w:color="000000" w:sz="4" w:space="0"/>
            </w:tcBorders>
            <w:tcW w:w="7243"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6"/>
              <w:t xml:space="preserve">*</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707</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49</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7</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5</w:t>
            </w:r>
            <w:r/>
          </w:p>
        </w:tc>
      </w:tr>
      <w:tr>
        <w:trPr>
          <w:trHeight w:val="281"/>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6</w:t>
            </w:r>
            <w:r/>
          </w:p>
        </w:tc>
      </w:tr>
      <w:tr>
        <w:trPr>
          <w:trHeight w:val="296"/>
        </w:trPr>
        <w:tc>
          <w:tcPr>
            <w:tcBorders>
              <w:top w:val="single" w:color="000000" w:sz="4" w:space="0"/>
              <w:left w:val="single" w:color="000000" w:sz="4" w:space="0"/>
              <w:bottom w:val="single" w:color="000000" w:sz="4" w:space="0"/>
            </w:tcBorders>
            <w:tcW w:w="7243"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230"/>
        <w:gridCol w:w="2429"/>
      </w:tblGrid>
      <w:tr>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707</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143</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546</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17</w:t>
            </w:r>
            <w:r/>
          </w:p>
        </w:tc>
      </w:tr>
    </w:tbl>
    <w:p>
      <w:pPr>
        <w:pStyle w:val="940"/>
      </w:pPr>
      <w:r/>
      <w:r/>
    </w:p>
    <w:p>
      <w:pPr>
        <w:pStyle w:val="943"/>
        <w:tabs>
          <w:tab w:val="left" w:pos="142" w:leader="none"/>
          <w:tab w:val="clear" w:pos="708" w:leader="none"/>
        </w:tabs>
      </w:pPr>
      <w:r>
        <w:rPr>
          <w:rFonts w:ascii="Times New Roman" w:hAnsi="Times New Roman" w:cs="Times New Roman"/>
          <w:lang w:val="ru-RU"/>
        </w:rPr>
        <w:t xml:space="preserve">1.5. </w:t>
      </w:r>
      <w:r>
        <w:rPr>
          <w:rFonts w:ascii="Times New Roman" w:hAnsi="Times New Roman" w:cs="Times New Roman"/>
        </w:rPr>
        <w:t xml:space="preserve">Количество участников ЕГЭ по предмету по АТЕ региона</w:t>
      </w:r>
      <w:r/>
    </w:p>
    <w:p>
      <w:pPr>
        <w:pStyle w:val="1409"/>
        <w:keepNext/>
        <w:rPr>
          <w:rFonts w:eastAsia="Times New Roman"/>
          <w:color w:val="000000"/>
        </w:rPr>
      </w:pPr>
      <w:r>
        <w:t xml:space="preserve">Таблица 2</w:t>
        <w:noBreakHyphen/>
        <w:t xml:space="preserve">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9"/>
        <w:gridCol w:w="2977"/>
        <w:gridCol w:w="2713"/>
      </w:tblGrid>
      <w:tr>
        <w:trPr>
          <w:trHeight w:val="945"/>
        </w:trPr>
        <w:tc>
          <w:tcPr>
            <w:shd w:val="clear" w:color="auto" w:fill="ffffff"/>
            <w:tcBorders>
              <w:top w:val="single" w:color="000000" w:sz="4" w:space="0"/>
              <w:left w:val="single" w:color="000000" w:sz="4" w:space="0"/>
              <w:bottom w:val="single" w:color="000000" w:sz="4" w:space="0"/>
            </w:tcBorders>
            <w:tcW w:w="3969"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химии</w:t>
            </w:r>
            <w:r/>
          </w:p>
        </w:tc>
        <w:tc>
          <w:tcPr>
            <w:shd w:val="clear" w:color="auto" w:fill="ffffff"/>
            <w:tcBorders>
              <w:top w:val="single" w:color="000000" w:sz="4" w:space="0"/>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436</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56,8</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38</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5,0</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14</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44</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5,7</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20</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2,6</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26</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3,4</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14</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261"/>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4,0</w:t>
            </w:r>
            <w:r/>
          </w:p>
        </w:tc>
      </w:tr>
      <w:tr>
        <w:trPr>
          <w:trHeight w:val="213"/>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26</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3,4</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0,8</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49</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6,4</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0,7</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2977" w:type="dxa"/>
            <w:vAlign w:val="bottom"/>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0,8</w:t>
            </w:r>
            <w:r/>
          </w:p>
        </w:tc>
      </w:tr>
      <w:tr>
        <w:trPr>
          <w:trHeight w:val="630"/>
        </w:trPr>
        <w:tc>
          <w:tcPr>
            <w:shd w:val="clear" w:color="auto" w:fill="ffffff"/>
            <w:tcBorders>
              <w:left w:val="single" w:color="000000" w:sz="4" w:space="0"/>
              <w:bottom w:val="single" w:color="000000" w:sz="4" w:space="0"/>
            </w:tcBorders>
            <w:tcW w:w="3969"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2977" w:type="dxa"/>
            <w:vAlign w:val="bottom"/>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2713"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3"/>
        <w:jc w:val="both"/>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1409"/>
        <w:keepNext/>
      </w:pPr>
      <w:r>
        <w:t xml:space="preserve">Таблица 2</w:t>
        <w:noBreakHyphen/>
        <w:t xml:space="preserve">6</w:t>
      </w:r>
      <w:r/>
    </w:p>
    <w:p>
      <w:pPr>
        <w:pStyle w:val="940"/>
      </w:p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09"/>
        <w:gridCol w:w="5734"/>
        <w:gridCol w:w="3216"/>
      </w:tblGrid>
      <w:tr>
        <w:trPr>
          <w:cantSplit/>
          <w:tblHeader/>
        </w:trPr>
        <w:tc>
          <w:tcPr>
            <w:tcBorders>
              <w:top w:val="single" w:color="000000" w:sz="4" w:space="0"/>
              <w:left w:val="single" w:color="000000" w:sz="4" w:space="0"/>
              <w:bottom w:val="single" w:color="000000" w:sz="4" w:space="0"/>
            </w:tcBorders>
            <w:tcW w:w="709"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5734"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5734" w:type="dxa"/>
            <w:textDirection w:val="lrTb"/>
            <w:noWrap w:val="false"/>
          </w:tcPr>
          <w:p>
            <w:pPr>
              <w:pStyle w:val="940"/>
            </w:pPr>
            <w:r>
              <w:t xml:space="preserve">УМК Химия. /Рудзитис Г.Е. (10-11), 2017</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55</w:t>
            </w:r>
            <w:r/>
          </w:p>
        </w:tc>
      </w:tr>
      <w:tr>
        <w:trPr>
          <w:cantSplit/>
        </w:trPr>
        <w:tc>
          <w:tcPr>
            <w:tcBorders>
              <w:top w:val="single" w:color="000000" w:sz="4" w:space="0"/>
              <w:left w:val="single" w:color="000000" w:sz="4" w:space="0"/>
              <w:bottom w:val="single" w:color="000000" w:sz="4" w:space="0"/>
            </w:tcBorders>
            <w:tcW w:w="709"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000000" w:sz="4" w:space="0"/>
              <w:left w:val="single" w:color="000000" w:sz="4" w:space="0"/>
              <w:bottom w:val="single" w:color="000000" w:sz="4" w:space="0"/>
            </w:tcBorders>
            <w:tcW w:w="5734" w:type="dxa"/>
            <w:textDirection w:val="lrTb"/>
            <w:noWrap w:val="false"/>
          </w:tcPr>
          <w:p>
            <w:pPr>
              <w:pStyle w:val="940"/>
            </w:pPr>
            <w:r>
              <w:t xml:space="preserve">Линия УМК Н. Е. Кузнецовой. Химия (10-11),2015</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45</w:t>
            </w:r>
            <w:r/>
          </w:p>
        </w:tc>
      </w:tr>
    </w:tbl>
    <w:p>
      <w:pPr>
        <w:pStyle w:val="940"/>
        <w:jc w:val="both"/>
        <w:rPr>
          <w:rFonts w:eastAsia="Times New Roman"/>
          <w:b/>
        </w:rPr>
      </w:pPr>
      <w:r>
        <w:rPr>
          <w:rFonts w:eastAsia="Times New Roman"/>
          <w:b/>
        </w:rPr>
      </w:r>
      <w:r/>
    </w:p>
    <w:p>
      <w:pPr>
        <w:pStyle w:val="943"/>
        <w:jc w:val="both"/>
      </w:pPr>
      <w:r>
        <w:rPr>
          <w:rFonts w:ascii="Times New Roman" w:hAnsi="Times New Roman" w:cs="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Процент участников ЕГЭ по химии в течение трех лет увеличивается. Разниц</w:t>
      </w:r>
      <w:r>
        <w:t xml:space="preserve">а по сравнению с 2020 годом составляет 1,2%, по сравнению с 2019 – 1,8%. Деление участников по гендерному признаку прямо противоположно физике – 69,6% участников составляют девушки. На наш взгляд, это связано с возрастающей популярностью медицинских вузов.</w:t>
      </w:r>
      <w:r/>
    </w:p>
    <w:p>
      <w:pPr>
        <w:pStyle w:val="940"/>
        <w:ind w:firstLine="708"/>
        <w:jc w:val="both"/>
      </w:pPr>
      <w:r>
        <w:t xml:space="preserve">Как и прежде, основная часть участников – выпускни</w:t>
      </w:r>
      <w:r>
        <w:t xml:space="preserve">ки текущего года (92,2%). Параллельно отмечается рост числа участников среди выпускников прошлых лет. Процентное соотношение участников по типу образовательной организации осталось прежним. Лидирующие позиции принадлежат выпускникам СОШ, лицеев и гимназий.</w:t>
      </w:r>
      <w:r/>
    </w:p>
    <w:p>
      <w:pPr>
        <w:pStyle w:val="940"/>
        <w:ind w:firstLine="708"/>
        <w:jc w:val="both"/>
      </w:pPr>
      <w:r>
        <w:t xml:space="preserve">Незначительные изменения доли участников по АТЕ происходят под влиянием демографической ситуации и урбанизационных процессов.</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2"/>
        <w:numPr>
          <w:ilvl w:val="0"/>
          <w:numId w:val="0"/>
        </w:numPr>
        <w:ind w:left="0" w:firstLine="0"/>
        <w:jc w:val="center"/>
        <w:rPr>
          <w:lang w:val="ru-RU"/>
        </w:rPr>
      </w:pPr>
      <w:r>
        <w:rPr>
          <w:lang w:val="ru-RU"/>
        </w:rPr>
      </w:r>
      <w:r/>
    </w:p>
    <w:p>
      <w:pPr>
        <w:pStyle w:val="940"/>
        <w:rPr>
          <w:lang w:val="ru-RU"/>
        </w:rPr>
      </w:pPr>
      <w:r>
        <w:rPr>
          <w:lang w:val="ru-RU"/>
        </w:rPr>
      </w:r>
      <w:r/>
    </w:p>
    <w:p>
      <w:pPr>
        <w:pStyle w:val="942"/>
        <w:jc w:val="center"/>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«Химия»</w:t>
      </w:r>
      <w:r/>
    </w:p>
    <w:p>
      <w:pPr>
        <w:pStyle w:val="1400"/>
        <w:numPr>
          <w:ilvl w:val="0"/>
          <w:numId w:val="19"/>
        </w:numPr>
        <w:contextualSpacing/>
        <w:ind w:left="0" w:right="0" w:firstLine="0"/>
        <w:keepLines/>
        <w:keepNext/>
        <w:spacing w:before="200" w:after="0" w:line="240" w:lineRule="auto"/>
        <w:rPr>
          <w:rFonts w:ascii="Times New Roman" w:hAnsi="Times New Roman" w:cs="Times New Roman" w:eastAsia="SimSun;宋体"/>
          <w:b/>
          <w:vanish/>
          <w:sz w:val="28"/>
          <w:szCs w:val="24"/>
          <w:lang w:eastAsia="ru-RU"/>
        </w:rPr>
      </w:pPr>
      <w:r>
        <w:rPr>
          <w:rFonts w:ascii="Times New Roman" w:hAnsi="Times New Roman" w:cs="Times New Roman" w:eastAsia="SimSun;宋体"/>
          <w:b/>
          <w:vanish/>
          <w:sz w:val="28"/>
          <w:szCs w:val="24"/>
          <w:lang w:eastAsia="ru-RU"/>
        </w:rPr>
      </w:r>
      <w:r/>
    </w:p>
    <w:p>
      <w:pPr>
        <w:pStyle w:val="943"/>
        <w:jc w:val="both"/>
        <w:tabs>
          <w:tab w:val="left" w:pos="142" w:leader="none"/>
          <w:tab w:val="clear" w:pos="708" w:leader="none"/>
        </w:tabs>
      </w:pPr>
      <w:r>
        <w:rPr>
          <w:rFonts w:ascii="Times New Roman" w:hAnsi="Times New Roman" w:cs="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w:t>
      </w:r>
      <w:r>
        <w:rPr>
          <w:rFonts w:ascii="Times New Roman" w:hAnsi="Times New Roman" w:cs="Times New Roman"/>
          <w:lang w:val="ru-RU"/>
        </w:rPr>
        <w:t xml:space="preserve"> </w:t>
      </w:r>
      <w:r>
        <w:rPr>
          <w:rFonts w:ascii="Times New Roman" w:hAnsi="Times New Roman" w:cs="Times New Roman"/>
        </w:rPr>
        <w:t xml:space="preserve">в</w:t>
      </w:r>
      <w:r>
        <w:rPr>
          <w:rFonts w:ascii="Times New Roman" w:hAnsi="Times New Roman" w:cs="Times New Roman"/>
          <w:lang w:val="ru-RU"/>
        </w:rPr>
        <w:t xml:space="preserve"> </w:t>
      </w:r>
      <w:r>
        <w:rPr>
          <w:rFonts w:ascii="Times New Roman" w:hAnsi="Times New Roman" w:cs="Times New Roman"/>
        </w:rPr>
        <w:t xml:space="preserve">2021</w:t>
      </w:r>
      <w:r>
        <w:rPr>
          <w:rFonts w:ascii="Times New Roman" w:hAnsi="Times New Roman" w:cs="Times New Roman"/>
          <w:lang w:val="ru-RU"/>
        </w:rPr>
        <w:t xml:space="preserve"> </w:t>
      </w:r>
      <w:r>
        <w:rPr>
          <w:rFonts w:ascii="Times New Roman" w:hAnsi="Times New Roman" w:cs="Times New Roman"/>
        </w:rPr>
        <w:t xml:space="preserve">г.</w:t>
      </w:r>
      <w:r>
        <w:rPr>
          <w:rFonts w:ascii="Times New Roman" w:hAnsi="Times New Roman" w:cs="Times New Roman"/>
          <w:lang w:val="ru-RU"/>
        </w:rPr>
        <w:t xml:space="preserve"> </w:t>
      </w:r>
      <w:r/>
    </w:p>
    <w:p>
      <w:pPr>
        <w:pStyle w:val="943"/>
        <w:jc w:val="both"/>
        <w:tabs>
          <w:tab w:val="left" w:pos="142" w:leader="none"/>
          <w:tab w:val="clear" w:pos="708" w:leader="none"/>
        </w:tabs>
        <w:rPr>
          <w:rFonts w:ascii="Times New Roman" w:hAnsi="Times New Roman" w:cs="Times New Roman"/>
          <w:b w:val="0"/>
          <w:i/>
          <w:sz w:val="24"/>
        </w:rPr>
      </w:pPr>
      <w:r>
        <w:rPr>
          <w:rFonts w:ascii="Times New Roman" w:hAnsi="Times New Roman" w:cs="Times New Roman"/>
          <w:b w:val="0"/>
          <w:i/>
          <w:sz w:val="24"/>
        </w:rPr>
        <w:t xml:space="preserve">(количество участников, получивших тот или иной тестовый балл)</w:t>
      </w:r>
      <w:r/>
    </w:p>
    <w:p>
      <w:pPr>
        <w:pStyle w:val="940"/>
        <w:rPr>
          <w:b/>
          <w:i/>
          <w:lang w:val="en-US" w:eastAsia="en-US"/>
        </w:rPr>
      </w:pPr>
      <w:r>
        <w:rPr>
          <w:b/>
          <w:i/>
          <w:lang w:val="en-US" w:eastAsia="en-US"/>
        </w:rPr>
        <mc:AlternateContent>
          <mc:Choice Requires="wpg">
            <w:drawing>
              <wp:anchor xmlns:wp="http://schemas.openxmlformats.org/drawingml/2006/wordprocessingDrawing" distT="0" distB="0" distL="114935" distR="114935" simplePos="0" relativeHeight="23" behindDoc="1" locked="0" layoutInCell="0" allowOverlap="1">
                <wp:simplePos x="0" y="0"/>
                <wp:positionH relativeFrom="column">
                  <wp:posOffset>-60960</wp:posOffset>
                </wp:positionH>
                <wp:positionV relativeFrom="paragraph">
                  <wp:posOffset>359410</wp:posOffset>
                </wp:positionV>
                <wp:extent cx="6047740" cy="2228215"/>
                <wp:effectExtent l="0" t="0" r="0" b="0"/>
                <wp:wrapTight wrapText="bothSides">
                  <wp:wrapPolygon edited="1">
                    <wp:start x="-30" y="-2034"/>
                    <wp:lineTo x="-30" y="21595"/>
                    <wp:lineTo x="21630" y="21595"/>
                    <wp:lineTo x="21630" y="-2034"/>
                    <wp:lineTo x="-30" y="-2034"/>
                  </wp:wrapPolygon>
                </wp:wrapTight>
                <wp:docPr id="10" name="Image7"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hidden="0"/>
                        <pic:cNvPicPr>
                          <a:picLocks noChangeAspect="1"/>
                        </pic:cNvPicPr>
                        <pic:nvPr isPhoto="0" userDrawn="0"/>
                      </pic:nvPicPr>
                      <pic:blipFill>
                        <a:blip r:embed="rId23"/>
                        <a:srcRect l="0" t="8248" r="0" b="0"/>
                        <a:stretch/>
                      </pic:blipFill>
                      <pic:spPr bwMode="auto">
                        <a:xfrm>
                          <a:off x="0" y="0"/>
                          <a:ext cx="6047740" cy="2228215"/>
                        </a:xfrm>
                        <a:prstGeom prst="rect">
                          <a:avLst/>
                        </a:prstGeom>
                        <a:ln w="9525">
                          <a:solidFill>
                            <a:srgbClr val="000000"/>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3;o:allowoverlap:true;o:allowincell:false;mso-position-horizontal-relative:text;margin-left:-4.8pt;mso-position-horizontal:absolute;mso-position-vertical-relative:text;margin-top:28.3pt;mso-position-vertical:absolute;width:476.2pt;height:175.4pt;" wrapcoords="-138 -9416 -138 99977 100139 99977 100139 -9416 -138 -9416" strokecolor="#000000" strokeweight="0.75pt">
                <v:path textboxrect="0,0,0,0"/>
                <v:imagedata r:id="rId23" o:title=""/>
              </v:shape>
            </w:pict>
          </mc:Fallback>
        </mc:AlternateContent>
      </w:r>
      <w:r/>
    </w:p>
    <w:p>
      <w:pPr>
        <w:pStyle w:val="940"/>
        <w:rPr>
          <w:b/>
          <w:i/>
          <w:lang w:val="en-US" w:eastAsia="en-US"/>
        </w:rPr>
      </w:pPr>
      <w:r>
        <w:rPr>
          <w:b/>
          <w:i/>
          <w:lang w:val="en-US" w:eastAsia="en-US"/>
        </w:rPr>
      </w:r>
      <w:r/>
    </w:p>
    <w:p>
      <w:pPr>
        <w:pStyle w:val="940"/>
        <w:jc w:val="center"/>
      </w:pPr>
      <w:r/>
      <w:r/>
    </w:p>
    <w:p>
      <w:pPr>
        <w:pStyle w:val="943"/>
        <w:tabs>
          <w:tab w:val="left" w:pos="142" w:leader="none"/>
          <w:tab w:val="clear" w:pos="708" w:leader="none"/>
        </w:tabs>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2.2. </w:t>
      </w:r>
      <w:r>
        <w:rPr>
          <w:rFonts w:ascii="Times New Roman" w:hAnsi="Times New Roman" w:cs="Times New Roman"/>
        </w:rPr>
        <w:t xml:space="preserve">Динамика результатов ЕГЭ по предмету за последние 3 года</w:t>
      </w:r>
      <w:r/>
    </w:p>
    <w:p>
      <w:pPr>
        <w:pStyle w:val="1409"/>
        <w:keepNext/>
        <w:rPr>
          <w:rFonts w:eastAsia="MS Mincho;ＭＳ 明朝"/>
        </w:rPr>
      </w:pPr>
      <w:r>
        <w:t xml:space="preserve">Таблица 2</w:t>
        <w:noBreakHyphen/>
        <w:t xml:space="preserve">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713"/>
        <w:gridCol w:w="1559"/>
        <w:gridCol w:w="1701"/>
        <w:gridCol w:w="1686"/>
      </w:tblGrid>
      <w:tr>
        <w:trPr>
          <w:cantSplit/>
          <w:trHeight w:val="338"/>
          <w:tblHeader/>
        </w:trPr>
        <w:tc>
          <w:tcPr>
            <w:tcBorders>
              <w:top w:val="single" w:color="000000" w:sz="4" w:space="0"/>
              <w:left w:val="single" w:color="000000" w:sz="4" w:space="0"/>
              <w:bottom w:val="single" w:color="000000" w:sz="4" w:space="0"/>
            </w:tcBorders>
            <w:tcW w:w="4713"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946"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5"/>
          <w:tblHeader/>
        </w:trPr>
        <w:tc>
          <w:tcPr>
            <w:tcBorders>
              <w:top w:val="single" w:color="000000" w:sz="4" w:space="0"/>
              <w:left w:val="single" w:color="000000" w:sz="4" w:space="0"/>
              <w:bottom w:val="single" w:color="000000" w:sz="4" w:space="0"/>
            </w:tcBorders>
            <w:tcW w:w="4713"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59"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701"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686"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49"/>
        </w:trPr>
        <w:tc>
          <w:tcPr>
            <w:tcBorders>
              <w:top w:val="single" w:color="000000" w:sz="4" w:space="0"/>
              <w:left w:val="single" w:color="000000" w:sz="4" w:space="0"/>
              <w:bottom w:val="single" w:color="000000" w:sz="4" w:space="0"/>
            </w:tcBorders>
            <w:tcW w:w="4713"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59" w:type="dxa"/>
            <w:vAlign w:val="center"/>
            <w:textDirection w:val="lrTb"/>
            <w:noWrap w:val="false"/>
          </w:tcPr>
          <w:p>
            <w:pPr>
              <w:pStyle w:val="940"/>
              <w:jc w:val="center"/>
              <w:rPr>
                <w:color w:val="000000"/>
              </w:rPr>
            </w:pPr>
            <w:r>
              <w:rPr>
                <w:color w:val="000000"/>
              </w:rPr>
              <w:t xml:space="preserve">16,3</w:t>
            </w:r>
            <w:r/>
          </w:p>
        </w:tc>
        <w:tc>
          <w:tcPr>
            <w:tcBorders>
              <w:top w:val="single" w:color="000000" w:sz="4" w:space="0"/>
              <w:left w:val="single" w:color="000000" w:sz="4" w:space="0"/>
              <w:bottom w:val="single" w:color="000000" w:sz="4" w:space="0"/>
            </w:tcBorders>
            <w:tcW w:w="1701" w:type="dxa"/>
            <w:vAlign w:val="center"/>
            <w:textDirection w:val="lrTb"/>
            <w:noWrap w:val="false"/>
          </w:tcPr>
          <w:p>
            <w:pPr>
              <w:pStyle w:val="940"/>
              <w:jc w:val="center"/>
              <w:rPr>
                <w:color w:val="000000"/>
              </w:rPr>
            </w:pPr>
            <w:r>
              <w:rPr>
                <w:color w:val="000000"/>
              </w:rPr>
              <w:t xml:space="preserve">13,6</w:t>
            </w:r>
            <w:r/>
          </w:p>
        </w:tc>
        <w:tc>
          <w:tcPr>
            <w:tcBorders>
              <w:top w:val="single" w:color="000000" w:sz="4" w:space="0"/>
              <w:left w:val="single" w:color="000000" w:sz="4" w:space="0"/>
              <w:bottom w:val="single" w:color="000000" w:sz="4" w:space="0"/>
              <w:right w:val="single" w:color="000000" w:sz="4" w:space="0"/>
            </w:tcBorders>
            <w:tcW w:w="1686" w:type="dxa"/>
            <w:textDirection w:val="lrTb"/>
            <w:noWrap w:val="false"/>
          </w:tcPr>
          <w:p>
            <w:pPr>
              <w:pStyle w:val="940"/>
              <w:jc w:val="center"/>
            </w:pPr>
            <w:r>
              <w:t xml:space="preserve">23,0</w:t>
            </w:r>
            <w:r/>
          </w:p>
        </w:tc>
      </w:tr>
      <w:tr>
        <w:trPr>
          <w:cantSplit/>
          <w:trHeight w:val="354"/>
        </w:trPr>
        <w:tc>
          <w:tcPr>
            <w:tcBorders>
              <w:top w:val="single" w:color="000000" w:sz="4" w:space="0"/>
              <w:left w:val="single" w:color="000000" w:sz="4" w:space="0"/>
              <w:bottom w:val="single" w:color="000000" w:sz="4" w:space="0"/>
            </w:tcBorders>
            <w:tcW w:w="4713"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59" w:type="dxa"/>
            <w:vAlign w:val="center"/>
            <w:textDirection w:val="lrTb"/>
            <w:noWrap w:val="false"/>
          </w:tcPr>
          <w:p>
            <w:pPr>
              <w:pStyle w:val="940"/>
              <w:jc w:val="center"/>
              <w:rPr>
                <w:color w:val="000000"/>
              </w:rPr>
            </w:pPr>
            <w:r>
              <w:rPr>
                <w:color w:val="000000"/>
              </w:rPr>
              <w:t xml:space="preserve">53,7</w:t>
            </w:r>
            <w:r/>
          </w:p>
        </w:tc>
        <w:tc>
          <w:tcPr>
            <w:tcBorders>
              <w:left w:val="single" w:color="000000" w:sz="4" w:space="0"/>
              <w:bottom w:val="single" w:color="000000" w:sz="4" w:space="0"/>
            </w:tcBorders>
            <w:tcW w:w="1701" w:type="dxa"/>
            <w:vAlign w:val="center"/>
            <w:textDirection w:val="lrTb"/>
            <w:noWrap w:val="false"/>
          </w:tcPr>
          <w:p>
            <w:pPr>
              <w:pStyle w:val="940"/>
              <w:jc w:val="center"/>
              <w:rPr>
                <w:color w:val="000000"/>
              </w:rPr>
            </w:pPr>
            <w:r>
              <w:rPr>
                <w:color w:val="000000"/>
              </w:rPr>
              <w:t xml:space="preserve">61,0</w:t>
            </w:r>
            <w:r/>
          </w:p>
        </w:tc>
        <w:tc>
          <w:tcPr>
            <w:tcBorders>
              <w:top w:val="single" w:color="000000" w:sz="4" w:space="0"/>
              <w:left w:val="single" w:color="000000" w:sz="4" w:space="0"/>
              <w:bottom w:val="single" w:color="000000" w:sz="4" w:space="0"/>
              <w:right w:val="single" w:color="000000" w:sz="4" w:space="0"/>
            </w:tcBorders>
            <w:tcW w:w="1686" w:type="dxa"/>
            <w:textDirection w:val="lrTb"/>
            <w:noWrap w:val="false"/>
          </w:tcPr>
          <w:p>
            <w:pPr>
              <w:pStyle w:val="940"/>
              <w:jc w:val="center"/>
            </w:pPr>
            <w:r>
              <w:t xml:space="preserve">50,4</w:t>
            </w:r>
            <w:r/>
          </w:p>
        </w:tc>
      </w:tr>
      <w:tr>
        <w:trPr>
          <w:cantSplit/>
          <w:trHeight w:val="338"/>
        </w:trPr>
        <w:tc>
          <w:tcPr>
            <w:tcBorders>
              <w:top w:val="single" w:color="000000" w:sz="4" w:space="0"/>
              <w:left w:val="single" w:color="000000" w:sz="4" w:space="0"/>
              <w:bottom w:val="single" w:color="000000" w:sz="4" w:space="0"/>
            </w:tcBorders>
            <w:tcW w:w="4713"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59" w:type="dxa"/>
            <w:vAlign w:val="center"/>
            <w:textDirection w:val="lrTb"/>
            <w:noWrap w:val="false"/>
          </w:tcPr>
          <w:p>
            <w:pPr>
              <w:pStyle w:val="940"/>
              <w:jc w:val="center"/>
              <w:rPr>
                <w:color w:val="000000"/>
              </w:rPr>
            </w:pPr>
            <w:r>
              <w:rPr>
                <w:color w:val="000000"/>
              </w:rPr>
              <w:t xml:space="preserve">7,5</w:t>
            </w:r>
            <w:r/>
          </w:p>
        </w:tc>
        <w:tc>
          <w:tcPr>
            <w:tcBorders>
              <w:left w:val="single" w:color="000000" w:sz="4" w:space="0"/>
              <w:bottom w:val="single" w:color="000000" w:sz="4" w:space="0"/>
            </w:tcBorders>
            <w:tcW w:w="1701" w:type="dxa"/>
            <w:vAlign w:val="center"/>
            <w:textDirection w:val="lrTb"/>
            <w:noWrap w:val="false"/>
          </w:tcPr>
          <w:p>
            <w:pPr>
              <w:pStyle w:val="940"/>
              <w:jc w:val="center"/>
              <w:rPr>
                <w:color w:val="000000"/>
              </w:rPr>
            </w:pPr>
            <w:r>
              <w:rPr>
                <w:color w:val="000000"/>
              </w:rPr>
              <w:t xml:space="preserve">18,6</w:t>
            </w:r>
            <w:r/>
          </w:p>
        </w:tc>
        <w:tc>
          <w:tcPr>
            <w:tcBorders>
              <w:top w:val="single" w:color="000000" w:sz="4" w:space="0"/>
              <w:left w:val="single" w:color="000000" w:sz="4" w:space="0"/>
              <w:bottom w:val="single" w:color="000000" w:sz="4" w:space="0"/>
              <w:right w:val="single" w:color="000000" w:sz="4" w:space="0"/>
            </w:tcBorders>
            <w:tcW w:w="1686" w:type="dxa"/>
            <w:textDirection w:val="lrTb"/>
            <w:noWrap w:val="false"/>
          </w:tcPr>
          <w:p>
            <w:pPr>
              <w:pStyle w:val="940"/>
              <w:jc w:val="center"/>
            </w:pPr>
            <w:r>
              <w:t xml:space="preserve">8,1</w:t>
            </w:r>
            <w:r/>
          </w:p>
        </w:tc>
      </w:tr>
      <w:tr>
        <w:trPr>
          <w:cantSplit/>
          <w:trHeight w:val="338"/>
        </w:trPr>
        <w:tc>
          <w:tcPr>
            <w:tcBorders>
              <w:top w:val="single" w:color="000000" w:sz="4" w:space="0"/>
              <w:left w:val="single" w:color="000000" w:sz="4" w:space="0"/>
              <w:bottom w:val="single" w:color="000000" w:sz="4" w:space="0"/>
            </w:tcBorders>
            <w:tcW w:w="4713"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59" w:type="dxa"/>
            <w:vAlign w:val="center"/>
            <w:textDirection w:val="lrTb"/>
            <w:noWrap w:val="false"/>
          </w:tcPr>
          <w:p>
            <w:pPr>
              <w:pStyle w:val="940"/>
              <w:jc w:val="center"/>
              <w:rPr>
                <w:color w:val="000000"/>
              </w:rPr>
            </w:pPr>
            <w:r>
              <w:rPr>
                <w:color w:val="000000"/>
              </w:rPr>
              <w:t xml:space="preserve">9</w:t>
            </w:r>
            <w:r/>
          </w:p>
        </w:tc>
        <w:tc>
          <w:tcPr>
            <w:tcBorders>
              <w:left w:val="single" w:color="000000" w:sz="4" w:space="0"/>
              <w:bottom w:val="single" w:color="000000" w:sz="4" w:space="0"/>
            </w:tcBorders>
            <w:tcW w:w="1701" w:type="dxa"/>
            <w:vAlign w:val="center"/>
            <w:textDirection w:val="lrTb"/>
            <w:noWrap w:val="false"/>
          </w:tcPr>
          <w:p>
            <w:pPr>
              <w:pStyle w:val="940"/>
              <w:jc w:val="center"/>
              <w:rPr>
                <w:color w:val="000000"/>
              </w:rPr>
            </w:pPr>
            <w:r>
              <w:rPr>
                <w:color w:val="000000"/>
              </w:rPr>
              <w:t xml:space="preserve">22</w:t>
            </w:r>
            <w:r/>
          </w:p>
        </w:tc>
        <w:tc>
          <w:tcPr>
            <w:tcBorders>
              <w:top w:val="single" w:color="000000" w:sz="4" w:space="0"/>
              <w:left w:val="single" w:color="000000" w:sz="4" w:space="0"/>
              <w:bottom w:val="single" w:color="000000" w:sz="4" w:space="0"/>
              <w:right w:val="single" w:color="000000" w:sz="4" w:space="0"/>
            </w:tcBorders>
            <w:tcW w:w="1686" w:type="dxa"/>
            <w:textDirection w:val="lrTb"/>
            <w:noWrap w:val="false"/>
          </w:tcPr>
          <w:p>
            <w:pPr>
              <w:pStyle w:val="940"/>
              <w:jc w:val="center"/>
            </w:pPr>
            <w:r>
              <w:t xml:space="preserve">1</w:t>
            </w:r>
            <w:r/>
          </w:p>
        </w:tc>
      </w:tr>
    </w:tbl>
    <w:p>
      <w:pPr>
        <w:pStyle w:val="940"/>
        <w:jc w:val="both"/>
        <w:tabs>
          <w:tab w:val="clear" w:pos="708" w:leader="none"/>
          <w:tab w:val="left" w:pos="709" w:leader="none"/>
        </w:tabs>
      </w:pPr>
      <w:r/>
      <w:r/>
    </w:p>
    <w:p>
      <w:pPr>
        <w:pStyle w:val="943"/>
        <w:jc w:val="both"/>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подготовки:</w:t>
      </w:r>
      <w:r/>
    </w:p>
    <w:p>
      <w:pPr>
        <w:pStyle w:val="943"/>
        <w:ind w:left="567" w:firstLine="0"/>
        <w:rPr>
          <w:rFonts w:ascii="Times New Roman" w:hAnsi="Times New Roman" w:cs="Times New Roman"/>
          <w:b w:val="0"/>
          <w:bCs w:val="0"/>
          <w:lang w:val="ru-RU"/>
        </w:rPr>
      </w:pP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 </w:t>
      </w:r>
      <w:r/>
    </w:p>
    <w:p>
      <w:pPr>
        <w:pStyle w:val="940"/>
        <w:rPr>
          <w:rFonts w:ascii="Times New Roman" w:hAnsi="Times New Roman" w:cs="Times New Roman"/>
          <w:b/>
          <w:bCs/>
          <w:lang w:val="ru-RU"/>
        </w:rPr>
      </w:pPr>
      <w:r>
        <w:rPr>
          <w:rFonts w:cs="Times New Roman"/>
          <w:b/>
          <w:bCs/>
          <w:lang w:val="ru-RU"/>
        </w:rPr>
      </w:r>
      <w:r/>
    </w:p>
    <w:p>
      <w:pPr>
        <w:pStyle w:val="1409"/>
        <w:keepNext/>
        <w:rPr>
          <w:sz w:val="24"/>
          <w:szCs w:val="24"/>
        </w:rPr>
      </w:pPr>
      <w:r>
        <w:rPr>
          <w:sz w:val="24"/>
          <w:szCs w:val="24"/>
        </w:rP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18"/>
        <w:gridCol w:w="1276"/>
        <w:gridCol w:w="1275"/>
        <w:gridCol w:w="1276"/>
        <w:gridCol w:w="1134"/>
        <w:gridCol w:w="1276"/>
        <w:gridCol w:w="992"/>
        <w:gridCol w:w="1012"/>
      </w:tblGrid>
      <w:tr>
        <w:trPr>
          <w:cantSplit/>
          <w:trHeight w:val="1052"/>
          <w:tblHeader/>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27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20,5</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60,0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53,1</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28,6</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1096"/>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44,8</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32,7</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57,1</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811"/>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25,9</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12,2</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14,3</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824"/>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8,6</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541"/>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pPr>
      <w:r/>
      <w:r/>
    </w:p>
    <w:p>
      <w:pPr>
        <w:pStyle w:val="940"/>
      </w:pPr>
      <w:r/>
      <w:r/>
    </w:p>
    <w:p>
      <w:pPr>
        <w:pStyle w:val="940"/>
      </w:pPr>
      <w:r/>
      <w:r/>
    </w:p>
    <w:p>
      <w:pPr>
        <w:pStyle w:val="940"/>
      </w:pPr>
      <w:r/>
      <w:r/>
    </w:p>
    <w:p>
      <w:pPr>
        <w:pStyle w:val="940"/>
      </w:pPr>
      <w:r/>
      <w:r/>
    </w:p>
    <w:p>
      <w:pPr>
        <w:pStyle w:val="943"/>
        <w:ind w:left="567" w:firstLine="0"/>
      </w:pP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940"/>
        <w:rPr>
          <w:b/>
          <w:bCs/>
          <w:lang w:val="en-US"/>
        </w:rPr>
      </w:pPr>
      <w:r>
        <w:rPr>
          <w:b/>
          <w:bCs/>
          <w:lang w:val="en-US"/>
        </w:rPr>
      </w:r>
      <w:r/>
    </w:p>
    <w:p>
      <w:pPr>
        <w:pStyle w:val="1409"/>
        <w:keepNext/>
        <w:rPr>
          <w:rFonts w:eastAsia="Times New Roman"/>
        </w:rPr>
      </w:pPr>
      <w:r>
        <w:t xml:space="preserve">Таблица 2</w:t>
        <w:noBreakHyphen/>
        <w:t xml:space="preserve">9</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788"/>
        <w:gridCol w:w="1688"/>
        <w:gridCol w:w="1688"/>
        <w:gridCol w:w="1483"/>
        <w:gridCol w:w="1483"/>
        <w:gridCol w:w="1631"/>
      </w:tblGrid>
      <w:tr>
        <w:trPr>
          <w:trHeight w:val="255"/>
        </w:trPr>
        <w:tc>
          <w:tcPr>
            <w:tcBorders>
              <w:top w:val="single" w:color="000000" w:sz="4" w:space="0"/>
              <w:left w:val="single" w:color="000000" w:sz="4" w:space="0"/>
              <w:bottom w:val="single" w:color="000000" w:sz="4" w:space="0"/>
            </w:tcBorders>
            <w:tcW w:w="1788" w:type="dxa"/>
            <w:vAlign w:val="bottom"/>
            <w:vMerge w:val="restart"/>
            <w:textDirection w:val="lrTb"/>
            <w:noWrap w:val="false"/>
          </w:tcPr>
          <w:p>
            <w:pPr>
              <w:pStyle w:val="940"/>
              <w:jc w:val="center"/>
              <w:rPr>
                <w:rFonts w:eastAsia="Times New Roman"/>
              </w:rPr>
            </w:pPr>
            <w:r>
              <w:rPr>
                <w:rFonts w:eastAsia="Times New Roman"/>
              </w:rPr>
            </w:r>
            <w:r/>
          </w:p>
        </w:tc>
        <w:tc>
          <w:tcPr>
            <w:gridSpan w:val="4"/>
            <w:tcBorders>
              <w:top w:val="single" w:color="000000" w:sz="4" w:space="0"/>
              <w:left w:val="single" w:color="000000" w:sz="4" w:space="0"/>
              <w:bottom w:val="single" w:color="000000" w:sz="4" w:space="0"/>
            </w:tcBorders>
            <w:tcW w:w="6342"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31"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040"/>
        </w:trPr>
        <w:tc>
          <w:tcPr>
            <w:tcBorders>
              <w:top w:val="single" w:color="000000" w:sz="4" w:space="0"/>
              <w:left w:val="single" w:color="000000" w:sz="4" w:space="0"/>
              <w:bottom w:val="single" w:color="000000" w:sz="4" w:space="0"/>
            </w:tcBorders>
            <w:tcW w:w="1788" w:type="dxa"/>
            <w:vAlign w:val="bottom"/>
            <w:vMerge w:val="continue"/>
            <w:textDirection w:val="lrTb"/>
            <w:noWrap w:val="false"/>
          </w:tcPr>
          <w:p>
            <w:pPr>
              <w:pStyle w:val="940"/>
              <w:rPr>
                <w:rFonts w:eastAsia="Times New Roman"/>
                <w:sz w:val="22"/>
                <w:szCs w:val="22"/>
                <w:lang w:eastAsia="en-US"/>
              </w:rPr>
            </w:pPr>
            <w:r>
              <w:rPr>
                <w:rFonts w:eastAsia="Times New Roman"/>
                <w:sz w:val="22"/>
                <w:szCs w:val="22"/>
                <w:lang w:eastAsia="en-US"/>
              </w:rPr>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8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8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31" w:type="dxa"/>
            <w:vAlign w:val="bottom"/>
            <w:vMerge w:val="continue"/>
            <w:textDirection w:val="lrTb"/>
            <w:noWrap w:val="false"/>
          </w:tcPr>
          <w:p>
            <w:pPr>
              <w:pStyle w:val="940"/>
              <w:rPr>
                <w:rFonts w:eastAsia="Times New Roman"/>
              </w:rPr>
            </w:pPr>
            <w:r>
              <w:rPr>
                <w:rFonts w:eastAsia="Times New Roman"/>
              </w:rPr>
            </w:r>
            <w:r/>
          </w:p>
        </w:tc>
      </w:tr>
      <w:tr>
        <w:trPr>
          <w:trHeight w:val="255"/>
        </w:trPr>
        <w:tc>
          <w:tcPr>
            <w:tcBorders>
              <w:left w:val="single" w:color="000000" w:sz="4" w:space="0"/>
              <w:bottom w:val="single" w:color="000000" w:sz="4" w:space="0"/>
            </w:tcBorders>
            <w:tcW w:w="1788" w:type="dxa"/>
            <w:vAlign w:val="bottom"/>
            <w:textDirection w:val="lrTb"/>
            <w:noWrap w:val="false"/>
          </w:tcPr>
          <w:p>
            <w:pPr>
              <w:pStyle w:val="940"/>
              <w:rPr>
                <w:rFonts w:eastAsia="Times New Roman"/>
              </w:rPr>
            </w:pPr>
            <w:r>
              <w:rPr>
                <w:rFonts w:eastAsia="Times New Roman"/>
              </w:rPr>
              <w:t xml:space="preserve">СОШ</w:t>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24,2</w:t>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46,9</w:t>
            </w:r>
            <w:r/>
          </w:p>
        </w:tc>
        <w:tc>
          <w:tcPr>
            <w:tcBorders>
              <w:left w:val="single" w:color="000000" w:sz="4" w:space="0"/>
              <w:bottom w:val="single" w:color="000000" w:sz="4" w:space="0"/>
            </w:tcBorders>
            <w:tcW w:w="1483" w:type="dxa"/>
            <w:vAlign w:val="bottom"/>
            <w:textDirection w:val="lrTb"/>
            <w:noWrap w:val="false"/>
          </w:tcPr>
          <w:p>
            <w:pPr>
              <w:pStyle w:val="940"/>
              <w:jc w:val="center"/>
              <w:rPr>
                <w:rFonts w:eastAsia="Times New Roman"/>
              </w:rPr>
            </w:pPr>
            <w:r>
              <w:rPr>
                <w:rFonts w:eastAsia="Times New Roman"/>
              </w:rPr>
              <w:t xml:space="preserve">23,1</w:t>
            </w:r>
            <w:r/>
          </w:p>
        </w:tc>
        <w:tc>
          <w:tcPr>
            <w:tcBorders>
              <w:left w:val="single" w:color="000000" w:sz="4" w:space="0"/>
              <w:bottom w:val="single" w:color="000000" w:sz="4" w:space="0"/>
            </w:tcBorders>
            <w:tcW w:w="1483" w:type="dxa"/>
            <w:vAlign w:val="bottom"/>
            <w:textDirection w:val="lrTb"/>
            <w:noWrap w:val="false"/>
          </w:tcPr>
          <w:p>
            <w:pPr>
              <w:pStyle w:val="940"/>
              <w:jc w:val="center"/>
              <w:rPr>
                <w:rFonts w:eastAsia="Times New Roman"/>
              </w:rPr>
            </w:pPr>
            <w:r>
              <w:rPr>
                <w:rFonts w:eastAsia="Times New Roman"/>
              </w:rPr>
              <w:t xml:space="preserve">5,9</w:t>
            </w:r>
            <w:r/>
          </w:p>
        </w:tc>
        <w:tc>
          <w:tcPr>
            <w:tcBorders>
              <w:left w:val="single" w:color="000000" w:sz="4" w:space="0"/>
              <w:bottom w:val="single" w:color="000000" w:sz="4" w:space="0"/>
              <w:right w:val="single" w:color="000000" w:sz="4" w:space="0"/>
            </w:tcBorders>
            <w:tcW w:w="163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788"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88" w:type="dxa"/>
            <w:vAlign w:val="bottom"/>
            <w:textDirection w:val="lrTb"/>
            <w:noWrap w:val="false"/>
          </w:tcPr>
          <w:p>
            <w:pPr>
              <w:pStyle w:val="940"/>
              <w:jc w:val="center"/>
              <w:rPr>
                <w:color w:val="000000"/>
              </w:rPr>
            </w:pPr>
            <w:r>
              <w:rPr>
                <w:color w:val="000000"/>
              </w:rPr>
              <w:t xml:space="preserve">7,7</w:t>
            </w:r>
            <w:r/>
          </w:p>
        </w:tc>
        <w:tc>
          <w:tcPr>
            <w:tcBorders>
              <w:top w:val="single" w:color="000000" w:sz="4" w:space="0"/>
              <w:left w:val="single" w:color="000000" w:sz="4" w:space="0"/>
              <w:bottom w:val="single" w:color="000000" w:sz="4" w:space="0"/>
            </w:tcBorders>
            <w:tcW w:w="1688" w:type="dxa"/>
            <w:vAlign w:val="bottom"/>
            <w:textDirection w:val="lrTb"/>
            <w:noWrap w:val="false"/>
          </w:tcPr>
          <w:p>
            <w:pPr>
              <w:pStyle w:val="940"/>
              <w:jc w:val="center"/>
              <w:rPr>
                <w:color w:val="000000"/>
              </w:rPr>
            </w:pPr>
            <w:r>
              <w:rPr>
                <w:color w:val="000000"/>
              </w:rPr>
              <w:t xml:space="preserve">40,6</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rPr>
                <w:color w:val="000000"/>
              </w:rPr>
            </w:pPr>
            <w:r>
              <w:rPr>
                <w:color w:val="000000"/>
              </w:rPr>
              <w:t xml:space="preserve">36,4</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rPr>
                <w:color w:val="000000"/>
              </w:rPr>
            </w:pPr>
            <w:r>
              <w:rPr>
                <w:color w:val="000000"/>
              </w:rPr>
              <w:t xml:space="preserve">15,4</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rPr>
                <w:color w:val="000000"/>
              </w:rPr>
            </w:pPr>
            <w:r>
              <w:rPr>
                <w:color w:val="000000"/>
              </w:rPr>
              <w:t xml:space="preserve">0</w:t>
            </w:r>
            <w:r/>
          </w:p>
        </w:tc>
      </w:tr>
      <w:tr>
        <w:trPr>
          <w:trHeight w:val="255"/>
        </w:trPr>
        <w:tc>
          <w:tcPr>
            <w:tcBorders>
              <w:left w:val="single" w:color="000000" w:sz="4" w:space="0"/>
              <w:bottom w:val="single" w:color="000000" w:sz="4" w:space="0"/>
            </w:tcBorders>
            <w:tcW w:w="1788" w:type="dxa"/>
            <w:vAlign w:val="bottom"/>
            <w:textDirection w:val="lrTb"/>
            <w:noWrap w:val="false"/>
          </w:tcPr>
          <w:p>
            <w:pPr>
              <w:pStyle w:val="940"/>
              <w:rPr>
                <w:rFonts w:eastAsia="Times New Roman"/>
              </w:rPr>
            </w:pPr>
            <w:r>
              <w:rPr>
                <w:rFonts w:eastAsia="Times New Roman"/>
              </w:rPr>
              <w:t xml:space="preserve">О(c)ОШ</w:t>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8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8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83" w:type="dxa"/>
            <w:vAlign w:val="bottom"/>
            <w:textDirection w:val="lrTb"/>
            <w:noWrap w:val="false"/>
          </w:tcPr>
          <w:p>
            <w:pPr>
              <w:pStyle w:val="940"/>
              <w:jc w:val="center"/>
            </w:pPr>
            <w:r>
              <w:rPr>
                <w:rFonts w:eastAsia="Times New Roman"/>
              </w:rPr>
              <w:t xml:space="preserve">0,0</w:t>
            </w:r>
            <w:r/>
          </w:p>
        </w:tc>
        <w:tc>
          <w:tcPr>
            <w:tcBorders>
              <w:left w:val="single" w:color="000000" w:sz="4" w:space="0"/>
              <w:bottom w:val="single" w:color="000000" w:sz="4" w:space="0"/>
              <w:right w:val="single" w:color="000000" w:sz="4" w:space="0"/>
            </w:tcBorders>
            <w:tcW w:w="163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788"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88" w:type="dxa"/>
            <w:vAlign w:val="bottom"/>
            <w:textDirection w:val="lrTb"/>
            <w:noWrap w:val="false"/>
          </w:tcPr>
          <w:p>
            <w:pPr>
              <w:pStyle w:val="940"/>
              <w:jc w:val="center"/>
              <w:rPr>
                <w:color w:val="000000"/>
              </w:rPr>
            </w:pPr>
            <w:r>
              <w:rPr>
                <w:color w:val="000000"/>
              </w:rPr>
              <w:t xml:space="preserve">11,8</w:t>
            </w:r>
            <w:r/>
          </w:p>
        </w:tc>
        <w:tc>
          <w:tcPr>
            <w:tcBorders>
              <w:top w:val="single" w:color="000000" w:sz="4" w:space="0"/>
              <w:left w:val="single" w:color="000000" w:sz="4" w:space="0"/>
              <w:bottom w:val="single" w:color="000000" w:sz="4" w:space="0"/>
            </w:tcBorders>
            <w:tcW w:w="1688" w:type="dxa"/>
            <w:vAlign w:val="bottom"/>
            <w:textDirection w:val="lrTb"/>
            <w:noWrap w:val="false"/>
          </w:tcPr>
          <w:p>
            <w:pPr>
              <w:pStyle w:val="940"/>
              <w:jc w:val="center"/>
              <w:rPr>
                <w:color w:val="000000"/>
              </w:rPr>
            </w:pPr>
            <w:r>
              <w:rPr>
                <w:color w:val="000000"/>
              </w:rPr>
              <w:t xml:space="preserve">11,8</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rPr>
                <w:color w:val="000000"/>
              </w:rPr>
            </w:pPr>
            <w:r>
              <w:rPr>
                <w:color w:val="000000"/>
              </w:rPr>
              <w:t xml:space="preserve">29,4</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rPr>
                <w:color w:val="000000"/>
              </w:rPr>
            </w:pPr>
            <w:r>
              <w:rPr>
                <w:color w:val="000000"/>
              </w:rPr>
              <w:t xml:space="preserve">41,2</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rPr>
                <w:color w:val="000000"/>
              </w:rPr>
            </w:pPr>
            <w:r>
              <w:rPr>
                <w:color w:val="000000"/>
              </w:rPr>
              <w:t xml:space="preserve">1</w:t>
            </w:r>
            <w:r/>
          </w:p>
        </w:tc>
      </w:tr>
    </w:tbl>
    <w:p>
      <w:pPr>
        <w:pStyle w:val="940"/>
      </w:pPr>
      <w:r/>
      <w:r/>
    </w:p>
    <w:p>
      <w:pPr>
        <w:pStyle w:val="943"/>
        <w:ind w:left="567" w:firstLine="0"/>
      </w:pP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1409"/>
        <w:keepNext/>
        <w:rPr>
          <w:rFonts w:eastAsia="Times New Roman"/>
        </w:rPr>
      </w:pPr>
      <w:r>
        <w:t xml:space="preserve">Таблица 2</w:t>
        <w:noBreakHyphen/>
        <w:t xml:space="preserve">10</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802"/>
        <w:gridCol w:w="1750"/>
        <w:gridCol w:w="1668"/>
        <w:gridCol w:w="1465"/>
        <w:gridCol w:w="1465"/>
        <w:gridCol w:w="1611"/>
      </w:tblGrid>
      <w:tr>
        <w:trPr>
          <w:trHeight w:val="255"/>
        </w:trPr>
        <w:tc>
          <w:tcPr>
            <w:tcBorders>
              <w:top w:val="single" w:color="000000" w:sz="4" w:space="0"/>
              <w:left w:val="single" w:color="000000" w:sz="4" w:space="0"/>
              <w:bottom w:val="single" w:color="000000" w:sz="4" w:space="0"/>
            </w:tcBorders>
            <w:tcW w:w="1802" w:type="dxa"/>
            <w:vAlign w:val="center"/>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348"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11" w:type="dxa"/>
            <w:vAlign w:val="center"/>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040"/>
        </w:trPr>
        <w:tc>
          <w:tcPr>
            <w:tcBorders>
              <w:top w:val="single" w:color="000000" w:sz="4" w:space="0"/>
              <w:left w:val="single" w:color="000000" w:sz="4" w:space="0"/>
              <w:bottom w:val="single" w:color="000000" w:sz="4" w:space="0"/>
            </w:tcBorders>
            <w:tcW w:w="1802" w:type="dxa"/>
            <w:vAlign w:val="center"/>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750" w:type="dxa"/>
            <w:vAlign w:val="center"/>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68"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65"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65" w:type="dxa"/>
            <w:vAlign w:val="center"/>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11" w:type="dxa"/>
            <w:vAlign w:val="center"/>
            <w:vMerge w:val="continue"/>
            <w:textDirection w:val="lrTb"/>
            <w:noWrap w:val="false"/>
          </w:tcPr>
          <w:p>
            <w:pPr>
              <w:pStyle w:val="940"/>
              <w:rPr>
                <w:rFonts w:eastAsia="Times New Roman"/>
              </w:rPr>
            </w:pPr>
            <w:r>
              <w:rPr>
                <w:rFonts w:eastAsia="Times New Roman"/>
              </w:rPr>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20,4</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46,3</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25,2</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7,8</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1</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18,4</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42,1</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21,1</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18,4</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21,4</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42,9</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21,4</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14,3</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18,2</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34,1</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34,1</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13,6</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38,5</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53,8</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7,7</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38,9</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27,8</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22,2</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5,0</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45,0</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30,0</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26,9</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46,2</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26,9</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7,1</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64,3</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21,4</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7,1</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23,8</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38,1</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9,5</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22,6</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48,4</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25,8</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3,2</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19,2</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38,5</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42,3</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465" w:type="dxa"/>
            <w:vAlign w:val="bottom"/>
            <w:textDirection w:val="lrTb"/>
            <w:noWrap w:val="false"/>
          </w:tcPr>
          <w:p>
            <w:pPr>
              <w:pStyle w:val="940"/>
              <w:jc w:val="center"/>
            </w:pPr>
            <w:r>
              <w:rPr>
                <w:rFonts w:eastAsia="Times New Roman"/>
              </w:rPr>
              <w:t xml:space="preserve">33,3</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53,1</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32,7</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12,2</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2,0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60,0</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r>
        <w:trPr>
          <w:trHeight w:val="255"/>
        </w:trPr>
        <w:tc>
          <w:tcPr>
            <w:tcBorders>
              <w:left w:val="single" w:color="000000" w:sz="4" w:space="0"/>
              <w:bottom w:val="single" w:color="000000" w:sz="4" w:space="0"/>
            </w:tcBorders>
            <w:tcW w:w="1802"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750"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668"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6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11" w:type="dxa"/>
            <w:vAlign w:val="bottom"/>
            <w:textDirection w:val="lrTb"/>
            <w:noWrap w:val="false"/>
          </w:tcPr>
          <w:p>
            <w:pPr>
              <w:pStyle w:val="940"/>
              <w:jc w:val="center"/>
              <w:rPr>
                <w:rFonts w:eastAsia="Times New Roman"/>
              </w:rPr>
            </w:pPr>
            <w:r>
              <w:rPr>
                <w:rFonts w:eastAsia="Times New Roman"/>
              </w:rPr>
              <w:t xml:space="preserve">0</w:t>
            </w:r>
            <w:r/>
          </w:p>
        </w:tc>
      </w:tr>
    </w:tbl>
    <w:p>
      <w:pPr>
        <w:pStyle w:val="943"/>
        <w:jc w:val="both"/>
        <w:tabs>
          <w:tab w:val="left" w:pos="142" w:leader="none"/>
          <w:tab w:val="clear" w:pos="708" w:leader="none"/>
        </w:tabs>
      </w:pPr>
      <w:r>
        <w:rPr>
          <w:rFonts w:ascii="Times New Roman" w:hAnsi="Times New Roman" w:cs="Times New Roman"/>
          <w:lang w:val="ru-RU"/>
        </w:rPr>
        <w:t xml:space="preserve">2.4. </w:t>
      </w: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ind w:left="567" w:firstLine="0"/>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1409"/>
        <w:keepNext/>
      </w:pPr>
      <w:r>
        <w:t xml:space="preserve">Таблица 2</w:t>
        <w:noBreakHyphen/>
        <w:t xml:space="preserve">11</w:t>
      </w:r>
      <w:r/>
    </w:p>
    <w:tbl>
      <w:tblPr>
        <w:tblW w:w="9702" w:type="dxa"/>
        <w:tblInd w:w="-5" w:type="dxa"/>
        <w:tblLayout w:type="fixed"/>
        <w:tblCellMar>
          <w:left w:w="108" w:type="dxa"/>
          <w:top w:w="0" w:type="dxa"/>
          <w:right w:w="108" w:type="dxa"/>
          <w:bottom w:w="0" w:type="dxa"/>
        </w:tblCellMar>
        <w:tblLook w:val="04A0" w:firstRow="1" w:lastRow="0" w:firstColumn="1" w:lastColumn="0" w:noHBand="0" w:noVBand="1"/>
      </w:tblPr>
      <w:tblGrid>
        <w:gridCol w:w="709"/>
        <w:gridCol w:w="4235"/>
        <w:gridCol w:w="1530"/>
        <w:gridCol w:w="1500"/>
        <w:gridCol w:w="1728"/>
      </w:tblGrid>
      <w:tr>
        <w:trPr>
          <w:trHeight w:val="1410"/>
        </w:trPr>
        <w:tc>
          <w:tcPr>
            <w:tcBorders>
              <w:top w:val="single" w:color="000000" w:sz="4" w:space="0"/>
              <w:left w:val="single" w:color="000000" w:sz="4" w:space="0"/>
              <w:bottom w:val="single" w:color="000000" w:sz="4" w:space="0"/>
            </w:tcBorders>
            <w:tcW w:w="709" w:type="dxa"/>
            <w:textDirection w:val="lrTb"/>
            <w:noWrap w:val="false"/>
          </w:tcPr>
          <w:p>
            <w:pPr>
              <w:pStyle w:val="940"/>
              <w:rPr>
                <w:bCs/>
              </w:rPr>
            </w:pPr>
            <w:r>
              <w:rPr>
                <w:bCs/>
              </w:rPr>
              <w:t xml:space="preserve">№</w:t>
            </w:r>
            <w:r/>
          </w:p>
        </w:tc>
        <w:tc>
          <w:tcPr>
            <w:tcBorders>
              <w:top w:val="single" w:color="000000" w:sz="4" w:space="0"/>
              <w:left w:val="single" w:color="000000" w:sz="4" w:space="0"/>
              <w:bottom w:val="single" w:color="000000" w:sz="4" w:space="0"/>
            </w:tcBorders>
            <w:tcW w:w="4235" w:type="dxa"/>
            <w:textDirection w:val="lrTb"/>
            <w:noWrap w:val="false"/>
          </w:tcPr>
          <w:p>
            <w:pPr>
              <w:pStyle w:val="940"/>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530" w:type="dxa"/>
            <w:textDirection w:val="lrTb"/>
            <w:noWrap w:val="false"/>
          </w:tcPr>
          <w:p>
            <w:pPr>
              <w:pStyle w:val="940"/>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00" w:type="dxa"/>
            <w:textDirection w:val="lrTb"/>
            <w:noWrap w:val="false"/>
          </w:tcPr>
          <w:p>
            <w:pPr>
              <w:pStyle w:val="940"/>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1</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ГБОУ АО "Школа-интернат одаренных детей им. А.П.Гужвина"</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53,3</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33,3</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6,7</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2</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МАОУ "СОШ №1 с УИОП имени С.Г.Хуснетдинова  МО "Ахтубинский район"</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46,7</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33,3</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3</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МБОУ г. Астрахани "Гимназия №3"</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21,4</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50,0</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0,0</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МБОУ г. Астрахани "Лицей № 1"</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17,9</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42,9</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3,6</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МБОУ г. Астрахани "Гимназия № 4"</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12,5</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41,7</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4,2</w:t>
            </w:r>
            <w:r/>
          </w:p>
        </w:tc>
      </w:tr>
      <w:tr>
        <w:trPr>
          <w:trHeight w:val="300"/>
        </w:trPr>
        <w:tc>
          <w:tcPr>
            <w:tcBorders>
              <w:top w:val="single" w:color="000000" w:sz="4" w:space="0"/>
              <w:left w:val="single" w:color="000000" w:sz="4" w:space="0"/>
              <w:bottom w:val="single" w:color="000000" w:sz="4" w:space="0"/>
            </w:tcBorders>
            <w:tcW w:w="709" w:type="dxa"/>
            <w:textDirection w:val="lrTb"/>
            <w:noWrap w:val="false"/>
          </w:tcPr>
          <w:p>
            <w:pPr>
              <w:pStyle w:val="940"/>
              <w:jc w:val="center"/>
            </w:pPr>
            <w:r>
              <w:t xml:space="preserve">6</w:t>
            </w:r>
            <w:r/>
          </w:p>
        </w:tc>
        <w:tc>
          <w:tcPr>
            <w:tcBorders>
              <w:top w:val="single" w:color="000000" w:sz="4" w:space="0"/>
              <w:left w:val="single" w:color="000000" w:sz="4" w:space="0"/>
              <w:bottom w:val="single" w:color="000000" w:sz="4" w:space="0"/>
            </w:tcBorders>
            <w:tcW w:w="4235" w:type="dxa"/>
            <w:textDirection w:val="lrTb"/>
            <w:noWrap w:val="false"/>
          </w:tcPr>
          <w:p>
            <w:pPr>
              <w:pStyle w:val="940"/>
            </w:pPr>
            <w:r>
              <w:t xml:space="preserve">МБОУ г. Астрахани "Лицей № 2"</w:t>
            </w:r>
            <w:r/>
          </w:p>
        </w:tc>
        <w:tc>
          <w:tcPr>
            <w:tcBorders>
              <w:top w:val="single" w:color="000000" w:sz="4" w:space="0"/>
              <w:left w:val="single" w:color="000000" w:sz="4" w:space="0"/>
              <w:bottom w:val="single" w:color="000000" w:sz="4" w:space="0"/>
            </w:tcBorders>
            <w:tcW w:w="1530" w:type="dxa"/>
            <w:textDirection w:val="lrTb"/>
            <w:noWrap w:val="false"/>
          </w:tcPr>
          <w:p>
            <w:pPr>
              <w:pStyle w:val="940"/>
              <w:jc w:val="center"/>
            </w:pPr>
            <w:r>
              <w:t xml:space="preserve">7,4</w:t>
            </w:r>
            <w:r/>
          </w:p>
        </w:tc>
        <w:tc>
          <w:tcPr>
            <w:tcBorders>
              <w:top w:val="single" w:color="000000" w:sz="4" w:space="0"/>
              <w:left w:val="single" w:color="000000" w:sz="4" w:space="0"/>
              <w:bottom w:val="single" w:color="000000" w:sz="4" w:space="0"/>
            </w:tcBorders>
            <w:tcW w:w="1500" w:type="dxa"/>
            <w:textDirection w:val="lrTb"/>
            <w:noWrap w:val="false"/>
          </w:tcPr>
          <w:p>
            <w:pPr>
              <w:pStyle w:val="940"/>
              <w:jc w:val="center"/>
            </w:pPr>
            <w:r>
              <w:t xml:space="preserve">44,4</w:t>
            </w:r>
            <w:r/>
          </w:p>
        </w:tc>
        <w:tc>
          <w:tcPr>
            <w:tcBorders>
              <w:top w:val="single" w:color="000000" w:sz="4" w:space="0"/>
              <w:left w:val="single" w:color="000000" w:sz="4" w:space="0"/>
              <w:bottom w:val="single" w:color="000000" w:sz="4" w:space="0"/>
              <w:right w:val="single" w:color="000000" w:sz="4" w:space="0"/>
            </w:tcBorders>
            <w:tcW w:w="1728" w:type="dxa"/>
            <w:textDirection w:val="lrTb"/>
            <w:noWrap w:val="false"/>
          </w:tcPr>
          <w:p>
            <w:pPr>
              <w:pStyle w:val="940"/>
              <w:jc w:val="center"/>
            </w:pPr>
            <w:r>
              <w:t xml:space="preserve">3,7</w:t>
            </w:r>
            <w:r/>
          </w:p>
        </w:tc>
      </w:tr>
    </w:tbl>
    <w:p>
      <w:pPr>
        <w:pStyle w:val="940"/>
      </w:pPr>
      <w:r/>
      <w:r/>
    </w:p>
    <w:p>
      <w:pPr>
        <w:pStyle w:val="943"/>
        <w:ind w:left="567" w:firstLine="0"/>
        <w:jc w:val="both"/>
      </w:pPr>
      <w:r>
        <w:rPr>
          <w:rFonts w:ascii="Times New Roman" w:hAnsi="Times New Roman" w:cs="Times New Roman" w:eastAsia="Times New Roman"/>
          <w:bCs w:val="0"/>
          <w:lang w:val="ru-RU"/>
        </w:rPr>
        <w:t xml:space="preserve">2.4.2.</w:t>
      </w: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П</w:t>
      </w:r>
      <w:r>
        <w:rPr>
          <w:rFonts w:ascii="Times New Roman" w:hAnsi="Times New Roman" w:cs="Times New Roman"/>
          <w:b w:val="0"/>
          <w:bCs w:val="0"/>
        </w:rPr>
        <w:t xml:space="preserve">еречень ОО, продемонстрировавших низкие результаты ЕГЭ по предмету</w:t>
      </w:r>
      <w:r/>
    </w:p>
    <w:p>
      <w:pPr>
        <w:pStyle w:val="1409"/>
        <w:keepNext/>
        <w:rPr>
          <w:rFonts w:eastAsia="Times New Roman"/>
          <w:color w:val="000000"/>
        </w:rPr>
      </w:pPr>
      <w:r>
        <w:rPr>
          <w:rFonts w:eastAsia="Times New Roman"/>
          <w:color w:val="000000"/>
        </w:rPr>
        <w:t xml:space="preserve">Таблица 2</w:t>
        <w:noBreakHyphen/>
        <w:t xml:space="preserve">12</w:t>
      </w:r>
      <w:r/>
    </w:p>
    <w:tbl>
      <w:tblPr>
        <w:tblW w:w="9672" w:type="dxa"/>
        <w:tblInd w:w="-5" w:type="dxa"/>
        <w:tblLayout w:type="fixed"/>
        <w:tblCellMar>
          <w:left w:w="108" w:type="dxa"/>
          <w:top w:w="0" w:type="dxa"/>
          <w:right w:w="108" w:type="dxa"/>
          <w:bottom w:w="0" w:type="dxa"/>
        </w:tblCellMar>
        <w:tblLook w:val="04A0" w:firstRow="1" w:lastRow="0" w:firstColumn="1" w:lastColumn="0" w:noHBand="0" w:noVBand="1"/>
      </w:tblPr>
      <w:tblGrid>
        <w:gridCol w:w="726"/>
        <w:gridCol w:w="4111"/>
        <w:gridCol w:w="1753"/>
        <w:gridCol w:w="1531"/>
        <w:gridCol w:w="1551"/>
      </w:tblGrid>
      <w:tr>
        <w:trPr>
          <w:trHeight w:val="1442"/>
        </w:trPr>
        <w:tc>
          <w:tcPr>
            <w:tcBorders>
              <w:top w:val="single" w:color="000000" w:sz="4" w:space="0"/>
              <w:left w:val="single" w:color="000000" w:sz="4" w:space="0"/>
              <w:bottom w:val="single" w:color="000000" w:sz="4" w:space="0"/>
            </w:tcBorders>
            <w:tcW w:w="726"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4111"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753"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31"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551"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6"/>
        </w:trPr>
        <w:tc>
          <w:tcPr>
            <w:tcBorders>
              <w:left w:val="single" w:color="000000" w:sz="4" w:space="0"/>
              <w:bottom w:val="single" w:color="000000" w:sz="4" w:space="0"/>
            </w:tcBorders>
            <w:tcW w:w="726"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4111"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№39"</w:t>
            </w:r>
            <w:r/>
          </w:p>
        </w:tc>
        <w:tc>
          <w:tcPr>
            <w:tcBorders>
              <w:left w:val="single" w:color="000000" w:sz="4" w:space="0"/>
              <w:bottom w:val="single" w:color="000000" w:sz="4" w:space="0"/>
            </w:tcBorders>
            <w:tcW w:w="1753" w:type="dxa"/>
            <w:vAlign w:val="bottom"/>
            <w:textDirection w:val="lrTb"/>
            <w:noWrap w:val="false"/>
          </w:tcPr>
          <w:p>
            <w:pPr>
              <w:pStyle w:val="940"/>
              <w:jc w:val="center"/>
              <w:rPr>
                <w:rFonts w:eastAsia="Times New Roman"/>
                <w:color w:val="000000"/>
              </w:rPr>
            </w:pPr>
            <w:r>
              <w:rPr>
                <w:rFonts w:eastAsia="Times New Roman"/>
                <w:color w:val="000000"/>
              </w:rPr>
              <w:t xml:space="preserve">60,0</w:t>
            </w:r>
            <w:r/>
          </w:p>
        </w:tc>
        <w:tc>
          <w:tcPr>
            <w:tcBorders>
              <w:left w:val="single" w:color="000000" w:sz="4" w:space="0"/>
              <w:bottom w:val="single" w:color="000000" w:sz="4" w:space="0"/>
            </w:tcBorders>
            <w:tcW w:w="1531" w:type="dxa"/>
            <w:vAlign w:val="bottom"/>
            <w:textDirection w:val="lrTb"/>
            <w:noWrap w:val="false"/>
          </w:tcPr>
          <w:p>
            <w:pPr>
              <w:pStyle w:val="940"/>
              <w:jc w:val="center"/>
              <w:rPr>
                <w:rFonts w:eastAsia="Times New Roman"/>
                <w:color w:val="000000"/>
              </w:rPr>
            </w:pPr>
            <w:r>
              <w:rPr>
                <w:rFonts w:eastAsia="Times New Roman"/>
                <w:color w:val="000000"/>
              </w:rPr>
              <w:t xml:space="preserve">6,7</w:t>
            </w:r>
            <w:r/>
          </w:p>
        </w:tc>
        <w:tc>
          <w:tcPr>
            <w:tcBorders>
              <w:left w:val="single" w:color="000000" w:sz="4" w:space="0"/>
              <w:bottom w:val="single" w:color="000000" w:sz="4" w:space="0"/>
              <w:right w:val="single" w:color="000000" w:sz="4" w:space="0"/>
            </w:tcBorders>
            <w:tcW w:w="1551"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726" w:type="dxa"/>
            <w:vAlign w:val="bottom"/>
            <w:textDirection w:val="lrTb"/>
            <w:noWrap w:val="false"/>
          </w:tcPr>
          <w:p>
            <w:pPr>
              <w:pStyle w:val="940"/>
              <w:jc w:val="center"/>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4111" w:type="dxa"/>
            <w:vAlign w:val="bottom"/>
            <w:textDirection w:val="lrTb"/>
            <w:noWrap w:val="false"/>
          </w:tcPr>
          <w:p>
            <w:pPr>
              <w:pStyle w:val="940"/>
              <w:rPr>
                <w:rFonts w:eastAsia="Times New Roman"/>
                <w:color w:val="000000"/>
              </w:rPr>
            </w:pPr>
            <w:r>
              <w:rPr>
                <w:rFonts w:eastAsia="Times New Roman"/>
                <w:color w:val="000000"/>
              </w:rPr>
              <w:t xml:space="preserve">МБОУ г.Астрахани "СОШ №23"</w:t>
            </w:r>
            <w:r/>
          </w:p>
        </w:tc>
        <w:tc>
          <w:tcPr>
            <w:tcBorders>
              <w:left w:val="single" w:color="000000" w:sz="4" w:space="0"/>
              <w:bottom w:val="single" w:color="000000" w:sz="4" w:space="0"/>
            </w:tcBorders>
            <w:tcW w:w="1753" w:type="dxa"/>
            <w:vAlign w:val="bottom"/>
            <w:textDirection w:val="lrTb"/>
            <w:noWrap w:val="false"/>
          </w:tcPr>
          <w:p>
            <w:pPr>
              <w:pStyle w:val="940"/>
              <w:jc w:val="center"/>
              <w:rPr>
                <w:rFonts w:eastAsia="Times New Roman"/>
                <w:color w:val="000000"/>
              </w:rPr>
            </w:pPr>
            <w:r>
              <w:rPr>
                <w:rFonts w:eastAsia="Times New Roman"/>
                <w:color w:val="000000"/>
              </w:rPr>
              <w:t xml:space="preserve">40,0</w:t>
            </w:r>
            <w:r/>
          </w:p>
        </w:tc>
        <w:tc>
          <w:tcPr>
            <w:tcBorders>
              <w:left w:val="single" w:color="000000" w:sz="4" w:space="0"/>
              <w:bottom w:val="single" w:color="000000" w:sz="4" w:space="0"/>
            </w:tcBorders>
            <w:tcW w:w="1531" w:type="dxa"/>
            <w:vAlign w:val="bottom"/>
            <w:textDirection w:val="lrTb"/>
            <w:noWrap w:val="false"/>
          </w:tcPr>
          <w:p>
            <w:pPr>
              <w:pStyle w:val="940"/>
              <w:jc w:val="center"/>
              <w:rPr>
                <w:rFonts w:eastAsia="Times New Roman"/>
                <w:color w:val="000000"/>
              </w:rPr>
            </w:pPr>
            <w:r>
              <w:rPr>
                <w:rFonts w:eastAsia="Times New Roman"/>
                <w:color w:val="000000"/>
              </w:rPr>
              <w:t xml:space="preserve">20,0</w:t>
            </w:r>
            <w:r/>
          </w:p>
        </w:tc>
        <w:tc>
          <w:tcPr>
            <w:tcBorders>
              <w:left w:val="single" w:color="000000" w:sz="4" w:space="0"/>
              <w:bottom w:val="single" w:color="000000" w:sz="4" w:space="0"/>
              <w:right w:val="single" w:color="000000" w:sz="4" w:space="0"/>
            </w:tcBorders>
            <w:tcW w:w="1551"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726" w:type="dxa"/>
            <w:vAlign w:val="bottom"/>
            <w:textDirection w:val="lrTb"/>
            <w:noWrap w:val="false"/>
          </w:tcPr>
          <w:p>
            <w:pPr>
              <w:pStyle w:val="940"/>
              <w:jc w:val="center"/>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4111"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28"</w:t>
            </w:r>
            <w:r/>
          </w:p>
        </w:tc>
        <w:tc>
          <w:tcPr>
            <w:tcBorders>
              <w:left w:val="single" w:color="000000" w:sz="4" w:space="0"/>
              <w:bottom w:val="single" w:color="000000" w:sz="4" w:space="0"/>
            </w:tcBorders>
            <w:tcW w:w="1753" w:type="dxa"/>
            <w:vAlign w:val="bottom"/>
            <w:textDirection w:val="lrTb"/>
            <w:noWrap w:val="false"/>
          </w:tcPr>
          <w:p>
            <w:pPr>
              <w:pStyle w:val="940"/>
              <w:jc w:val="center"/>
              <w:rPr>
                <w:rFonts w:eastAsia="Times New Roman"/>
                <w:color w:val="000000"/>
              </w:rPr>
            </w:pPr>
            <w:r>
              <w:rPr>
                <w:rFonts w:eastAsia="Times New Roman"/>
                <w:color w:val="000000"/>
              </w:rPr>
              <w:t xml:space="preserve">38,5</w:t>
            </w:r>
            <w:r/>
          </w:p>
        </w:tc>
        <w:tc>
          <w:tcPr>
            <w:tcBorders>
              <w:left w:val="single" w:color="000000" w:sz="4" w:space="0"/>
              <w:bottom w:val="single" w:color="000000" w:sz="4" w:space="0"/>
            </w:tcBorders>
            <w:tcW w:w="1531" w:type="dxa"/>
            <w:vAlign w:val="bottom"/>
            <w:textDirection w:val="lrTb"/>
            <w:noWrap w:val="false"/>
          </w:tcPr>
          <w:p>
            <w:pPr>
              <w:pStyle w:val="940"/>
              <w:jc w:val="center"/>
              <w:rPr>
                <w:rFonts w:eastAsia="Times New Roman"/>
                <w:color w:val="000000"/>
              </w:rPr>
            </w:pPr>
            <w:r>
              <w:rPr>
                <w:rFonts w:eastAsia="Times New Roman"/>
                <w:color w:val="000000"/>
              </w:rPr>
              <w:t xml:space="preserve">15,4</w:t>
            </w:r>
            <w:r/>
          </w:p>
        </w:tc>
        <w:tc>
          <w:tcPr>
            <w:tcBorders>
              <w:left w:val="single" w:color="000000" w:sz="4" w:space="0"/>
              <w:bottom w:val="single" w:color="000000" w:sz="4" w:space="0"/>
              <w:right w:val="single" w:color="000000" w:sz="4" w:space="0"/>
            </w:tcBorders>
            <w:tcW w:w="1551"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726" w:type="dxa"/>
            <w:vAlign w:val="bottom"/>
            <w:textDirection w:val="lrTb"/>
            <w:noWrap w:val="false"/>
          </w:tcPr>
          <w:p>
            <w:pPr>
              <w:pStyle w:val="940"/>
              <w:jc w:val="center"/>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4111" w:type="dxa"/>
            <w:vAlign w:val="bottom"/>
            <w:textDirection w:val="lrTb"/>
            <w:noWrap w:val="false"/>
          </w:tcPr>
          <w:p>
            <w:pPr>
              <w:pStyle w:val="940"/>
              <w:rPr>
                <w:rFonts w:eastAsia="Times New Roman"/>
                <w:color w:val="000000"/>
              </w:rPr>
            </w:pPr>
            <w:r>
              <w:rPr>
                <w:rFonts w:eastAsia="Times New Roman"/>
                <w:color w:val="000000"/>
              </w:rPr>
              <w:t xml:space="preserve">МБОУ г.Астрахани "СОШ №18"</w:t>
            </w:r>
            <w:r/>
          </w:p>
        </w:tc>
        <w:tc>
          <w:tcPr>
            <w:tcBorders>
              <w:left w:val="single" w:color="000000" w:sz="4" w:space="0"/>
              <w:bottom w:val="single" w:color="000000" w:sz="4" w:space="0"/>
            </w:tcBorders>
            <w:tcW w:w="1753" w:type="dxa"/>
            <w:vAlign w:val="bottom"/>
            <w:textDirection w:val="lrTb"/>
            <w:noWrap w:val="false"/>
          </w:tcPr>
          <w:p>
            <w:pPr>
              <w:pStyle w:val="940"/>
              <w:jc w:val="center"/>
              <w:rPr>
                <w:rFonts w:eastAsia="Times New Roman"/>
                <w:color w:val="000000"/>
              </w:rPr>
            </w:pPr>
            <w:r>
              <w:rPr>
                <w:rFonts w:eastAsia="Times New Roman"/>
                <w:color w:val="000000"/>
              </w:rPr>
              <w:t xml:space="preserve">33,3</w:t>
            </w:r>
            <w:r/>
          </w:p>
        </w:tc>
        <w:tc>
          <w:tcPr>
            <w:tcBorders>
              <w:left w:val="single" w:color="000000" w:sz="4" w:space="0"/>
              <w:bottom w:val="single" w:color="000000" w:sz="4" w:space="0"/>
            </w:tcBorders>
            <w:tcW w:w="1531" w:type="dxa"/>
            <w:vAlign w:val="bottom"/>
            <w:textDirection w:val="lrTb"/>
            <w:noWrap w:val="false"/>
          </w:tcPr>
          <w:p>
            <w:pPr>
              <w:pStyle w:val="940"/>
              <w:jc w:val="center"/>
              <w:rPr>
                <w:rFonts w:eastAsia="Times New Roman"/>
                <w:color w:val="000000"/>
              </w:rPr>
            </w:pPr>
            <w:r>
              <w:rPr>
                <w:rFonts w:eastAsia="Times New Roman"/>
                <w:color w:val="000000"/>
              </w:rPr>
              <w:t xml:space="preserve">16,7</w:t>
            </w:r>
            <w:r/>
          </w:p>
        </w:tc>
        <w:tc>
          <w:tcPr>
            <w:tcBorders>
              <w:left w:val="single" w:color="000000" w:sz="4" w:space="0"/>
              <w:bottom w:val="single" w:color="000000" w:sz="4" w:space="0"/>
              <w:right w:val="single" w:color="000000" w:sz="4" w:space="0"/>
            </w:tcBorders>
            <w:tcW w:w="1551"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3"/>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940"/>
        <w:jc w:val="both"/>
      </w:pPr>
      <w:r/>
      <w:r/>
    </w:p>
    <w:p>
      <w:pPr>
        <w:pStyle w:val="940"/>
        <w:ind w:firstLine="708"/>
        <w:jc w:val="both"/>
      </w:pPr>
      <w:r>
        <w:t xml:space="preserve">Резко упал ср</w:t>
      </w:r>
      <w:r>
        <w:t xml:space="preserve">едний балл в сравнении с 2020 г. (более, чем на 10). И почти на 10% возросло количество участников, не преодолевших минимальный барьер, параллельно с уменьшением количества участников, получивших более 80 б. Данные изменения аналогично прослеживаются по вс</w:t>
      </w:r>
      <w:r>
        <w:t xml:space="preserve">ем АТЕ области (два района, не показавшие увеличения количества не достигших минимального уровня, считать исключением бессмысленно из-за небольшого процента участников экзамена в них). С большой степенью вероятности полученные в 2021 г. результаты пока нел</w:t>
      </w:r>
      <w:r>
        <w:t xml:space="preserve">ьзя считать тенденцией к падению уровня знаний по химии, т.к. более объективным является сравнение с 2019 и 2018 гг., а не с 2020 г. В 2020 г. регион сдавал химию в резервный день во второй половине июля. Абсолютно все участники имели дополнительное время </w:t>
      </w:r>
      <w:r>
        <w:t xml:space="preserve">для подготовки и обобщения знаний после окончания всех остальных экзаменов. А уж после поднявшегося в СМИ бурного обсуждения основного этапа, к химии было привлечено пристальное внимание всех, особенно к «сложным задачам второй части» и методам их решения.</w:t>
      </w:r>
      <w:r/>
    </w:p>
    <w:p>
      <w:pPr>
        <w:pStyle w:val="940"/>
        <w:ind w:firstLine="708"/>
        <w:jc w:val="both"/>
      </w:pPr>
      <w:r>
        <w:t xml:space="preserve">В сравнении с 2018 и 2019 гг. падение среднего балла есть, но не столь катастрофично (с 53.6 до 50.4) за счет увелич</w:t>
      </w:r>
      <w:r>
        <w:t xml:space="preserve">ения количества участников, не преодолевших минимальный барьер. В 2021 г. химию сдавали первой, и, вероятно, именно этой группе участников не хватило «последней ночи» на два-три раздела, успешное выполнение заданий из которых добавило бы необходимые баллы.</w:t>
      </w:r>
      <w:r/>
    </w:p>
    <w:p>
      <w:pPr>
        <w:pStyle w:val="940"/>
        <w:ind w:firstLine="708"/>
        <w:jc w:val="both"/>
      </w:pPr>
      <w:r>
        <w:t xml:space="preserve">В целом, список ОО, лидирующих по области, значительных изменений не претерпевает, хотя и среди них появились учебные заведения, учащиеся которых не преодо</w:t>
      </w:r>
      <w:r>
        <w:t xml:space="preserve">лели минимального барьера, а количество 81-100-балльников уменьшилось. К сожалению, в списке ОО, продемонстрировавших низкие результаты по предмету, также появились «постоянные участники», и этот факт требует пристального внимания для исправления ситуации.</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center"/>
      </w:pPr>
      <w:r>
        <w:rPr>
          <w:rFonts w:eastAsia="SimSun;宋体"/>
          <w:b/>
          <w:bCs/>
          <w:sz w:val="28"/>
          <w:szCs w:val="28"/>
          <w:lang w:val="en-US"/>
        </w:rPr>
        <w:t xml:space="preserve">Раздел 3. АНАЛИЗ РЕЗУЛЬТАТОВ ВЫПОЛНЕНИЯ ОТДЕЛЬНЫХ ЗАДАНИЙ ИЛИ ГРУПП ЗАДАНИ</w:t>
      </w:r>
      <w:r>
        <w:rPr>
          <w:rFonts w:eastAsia="SimSun;宋体"/>
          <w:b/>
          <w:bCs/>
          <w:sz w:val="28"/>
          <w:szCs w:val="28"/>
        </w:rPr>
        <w:t xml:space="preserve">Й</w:t>
      </w:r>
      <w:r/>
    </w:p>
    <w:p>
      <w:pPr>
        <w:pStyle w:val="940"/>
        <w:numPr>
          <w:ilvl w:val="1"/>
          <w:numId w:val="58"/>
        </w:numPr>
        <w:keepLines/>
        <w:keepNext/>
        <w:spacing w:before="200" w:after="0"/>
      </w:pPr>
      <w:r>
        <w:rPr>
          <w:rFonts w:eastAsia="Times New Roman"/>
          <w:b/>
          <w:bCs/>
          <w:sz w:val="28"/>
        </w:rPr>
        <w:t xml:space="preserve"> </w:t>
      </w:r>
      <w:r>
        <w:rPr>
          <w:rFonts w:eastAsia="SimSun;宋体"/>
          <w:b/>
          <w:bCs/>
          <w:sz w:val="28"/>
          <w:lang w:val="en-US"/>
        </w:rPr>
        <w:t xml:space="preserve">Краткая характеристика КИМ по учебному предмету</w:t>
      </w:r>
      <w:r/>
    </w:p>
    <w:p>
      <w:pPr>
        <w:pStyle w:val="940"/>
        <w:ind w:firstLine="708"/>
        <w:jc w:val="both"/>
      </w:pPr>
      <w:r>
        <w:t xml:space="preserve">Каждый вариант экзаменационной работы по химии построен по единому плану: работа состоит из двух частей, включающих в себя 35 заданий. Часть 1 содержит 29 заданий с кратким ответом, в их числе 21 задание базового уровня сложности (в вари</w:t>
      </w:r>
      <w:r>
        <w:t xml:space="preserve">анте они присутствуют под номерами: 1–7, 10–15, 18–21, 26–29) и 8 заданий повышенного уровня сложности (их порядковые номера: 8, 9, 16, 17, 22–25). Часть 2 содержит 6 заданий высокого уровня сложности, с развёрнутым ответом. Это задания под номерами 30–35.</w:t>
      </w:r>
      <w:r/>
    </w:p>
    <w:p>
      <w:pPr>
        <w:pStyle w:val="940"/>
        <w:ind w:firstLine="708"/>
        <w:jc w:val="both"/>
      </w:pPr>
      <w:r>
        <w:t xml:space="preserve">Задания базового уровня сложно</w:t>
      </w:r>
      <w:r>
        <w:t xml:space="preserve">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w:t>
      </w:r>
      <w:r>
        <w:t xml:space="preserve">. Согласно требованиям стандарта к уровню подготовки выпускников эти знания являются обязательными для освоения каждым обучающимся. Задания данной группы имеют сходство по формальному признаку – по форме краткого ответа, который записывается в виде двух ли</w:t>
      </w:r>
      <w:r>
        <w:t xml:space="preserve">бо трёх цифр или в виде числа с заданной степенью точности. Между тем по формулировкам условия они имеют значительные различия, чем, в свою очередь, определяются различия в поиске верного ответа. При этом каждое отдельное задание базового уровня сложности </w:t>
      </w:r>
      <w:r>
        <w:t xml:space="preserve">независимо от формата, в котором оно представлено, ориентировано на проверку усвоения только одного определённого элемента содержания, но выполнение любого из этих заданий предполагает обязательный и тщательный анализ условия и применение знаний в системе.</w:t>
      </w:r>
      <w:r/>
    </w:p>
    <w:p>
      <w:pPr>
        <w:pStyle w:val="940"/>
        <w:ind w:firstLine="708"/>
        <w:jc w:val="both"/>
      </w:pPr>
      <w:r>
        <w:t xml:space="preserve">Задания повышенного уровня сложности с кратким ответом, который устанавливается в ходе выполнения задания и записывается согласно указаниям в виде о</w:t>
      </w:r>
      <w:r>
        <w:t xml:space="preserve">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предыдущей группы они предус</w:t>
      </w:r>
      <w:r>
        <w:t xml:space="preserve">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выявляют сформированность умений систематизировать и обобщать полученные знания.</w:t>
      </w:r>
      <w:r/>
    </w:p>
    <w:p>
      <w:pPr>
        <w:pStyle w:val="940"/>
        <w:ind w:firstLine="708"/>
        <w:jc w:val="both"/>
      </w:pPr>
      <w:r>
        <w:t xml:space="preserve">Для оценки сформированности интеллектуальных умений более высокого уровня, таких как устанавливать причинно-следственные связи между отдельным</w:t>
      </w:r>
      <w:r>
        <w:t xml:space="preserve">и элементами знаний (например, между составом, строением и свойствами веществ), формулировать ответ в определённой логике с аргументацией сделанных выводов и заключений, используются задания высокого уровня сложности с развёрнутым ответом. Задания с развёр</w:t>
      </w:r>
      <w:r>
        <w:t xml:space="preserve">нутым ответом,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следующие разновидности:</w:t>
      </w:r>
      <w:r/>
    </w:p>
    <w:p>
      <w:pPr>
        <w:pStyle w:val="940"/>
        <w:jc w:val="both"/>
      </w:pPr>
      <w:r>
        <w:rPr>
          <w:rFonts w:eastAsia="Times New Roman"/>
        </w:rPr>
        <w:t xml:space="preserve"> </w:t>
      </w:r>
      <w:r>
        <w:rPr>
          <w:rFonts w:eastAsia="Times New Roman"/>
        </w:rPr>
        <w:tab/>
      </w:r>
      <w:r>
        <w:t xml:space="preserve">–</w:t>
      </w:r>
      <w:r>
        <w:rPr>
          <w:rFonts w:eastAsia="Times New Roman"/>
        </w:rPr>
        <w:t xml:space="preserve"> </w:t>
      </w:r>
      <w:r>
        <w:t xml:space="preserve">задания, проверяющие усвоение важнейших элементов содержания, таких, например, как «окислительно-восстановительные реакции», «реакции ионного обмена»; </w:t>
      </w:r>
      <w:r/>
    </w:p>
    <w:p>
      <w:pPr>
        <w:pStyle w:val="940"/>
        <w:jc w:val="both"/>
      </w:pPr>
      <w:r>
        <w:rPr>
          <w:rFonts w:eastAsia="Times New Roman"/>
        </w:rPr>
        <w:t xml:space="preserve"> </w:t>
      </w:r>
      <w:r>
        <w:rPr>
          <w:rFonts w:eastAsia="Times New Roman"/>
        </w:rPr>
        <w:tab/>
      </w:r>
      <w:r>
        <w:t xml:space="preserve">–</w:t>
      </w:r>
      <w:r>
        <w:rPr>
          <w:rFonts w:eastAsia="Times New Roman"/>
        </w:rPr>
        <w:t xml:space="preserve"> </w:t>
      </w:r>
      <w:r>
        <w:t xml:space="preserve">задания, проверяющие усвоение знаний о взаимосвязи веществ различных классов (на примерах превращений неорганических и органических веществ); </w:t>
      </w:r>
      <w:r/>
    </w:p>
    <w:p>
      <w:pPr>
        <w:pStyle w:val="940"/>
        <w:ind w:firstLine="708"/>
        <w:jc w:val="both"/>
      </w:pPr>
      <w:r>
        <w:t xml:space="preserve">–</w:t>
      </w:r>
      <w:r>
        <w:rPr>
          <w:rFonts w:eastAsia="Times New Roman"/>
        </w:rPr>
        <w:t xml:space="preserve"> </w:t>
      </w:r>
      <w:r>
        <w:t xml:space="preserve">расчётные задачи. Задания с развёрнутым ответом ориентированы на проверку умений:</w:t>
      </w:r>
      <w:r/>
    </w:p>
    <w:p>
      <w:pPr>
        <w:pStyle w:val="940"/>
        <w:jc w:val="both"/>
      </w:pPr>
      <w:r>
        <w:rPr>
          <w:rFonts w:eastAsia="Times New Roman"/>
        </w:rPr>
        <w:t xml:space="preserve"> </w:t>
      </w:r>
      <w:r>
        <w:rPr>
          <w:rFonts w:eastAsia="Times New Roman"/>
        </w:rPr>
        <w:tab/>
      </w:r>
      <w:r>
        <w:t xml:space="preserve">–</w:t>
      </w:r>
      <w:r>
        <w:rPr>
          <w:rFonts w:eastAsia="Times New Roman"/>
        </w:rPr>
        <w:t xml:space="preserve"> </w:t>
      </w:r>
      <w:r>
        <w:t xml:space="preserve">объяснят</w:t>
      </w:r>
      <w:r>
        <w:t xml:space="preserve">ь обусловленность свойств и применения веществ их составом и строением, характер взаимного влияния атомов в молекулах органических соединений, взаимосвязь неорганических и органических веществ, сущность и закономерность протекания изученных типов реакций; </w:t>
      </w:r>
      <w:r/>
    </w:p>
    <w:p>
      <w:pPr>
        <w:pStyle w:val="940"/>
        <w:ind w:firstLine="708"/>
        <w:jc w:val="both"/>
      </w:pPr>
      <w:r>
        <w:t xml:space="preserve">–</w:t>
      </w:r>
      <w:r>
        <w:rPr>
          <w:rFonts w:eastAsia="Times New Roman"/>
        </w:rPr>
        <w:t xml:space="preserve"> </w:t>
      </w:r>
      <w:r>
        <w:t xml:space="preserve">проводить комбинированные расчёты по химическим уравнениям.</w:t>
      </w:r>
      <w:r/>
    </w:p>
    <w:p>
      <w:pPr>
        <w:pStyle w:val="940"/>
        <w:ind w:firstLine="708"/>
        <w:jc w:val="both"/>
      </w:pPr>
      <w:r>
        <w:t xml:space="preserve">В целом, содержание КИМ ЕГЭ соответствует общим целям обучения химии в средней школе и дает возможность дифференцированной оценки учебных достижений выпускников.</w:t>
      </w:r>
      <w:r/>
    </w:p>
    <w:p>
      <w:pPr>
        <w:pStyle w:val="940"/>
        <w:ind w:firstLine="708"/>
        <w:jc w:val="both"/>
      </w:pPr>
      <w:r>
        <w:t xml:space="preserve">Изменения структуры и содержания КИМ ЕГЭ 2021 г. по химии в сравнении с экзаменационной моделью 2020 г. отсутствуют. Внесены изменения в оценивание двух заданий: задания 10 и 18 оцениваются в 1 балл (вместо 2 баллов в 2020 г.).</w:t>
      </w:r>
      <w:r/>
    </w:p>
    <w:p>
      <w:pPr>
        <w:pStyle w:val="940"/>
        <w:numPr>
          <w:ilvl w:val="1"/>
          <w:numId w:val="58"/>
        </w:numPr>
        <w:keepLines/>
        <w:keepNext/>
        <w:spacing w:before="200" w:after="0"/>
        <w:rPr>
          <w:rFonts w:eastAsia="SimSun;宋体"/>
          <w:b/>
          <w:bCs/>
          <w:sz w:val="28"/>
          <w:lang w:val="en-US"/>
        </w:rPr>
      </w:pPr>
      <w:r>
        <w:rPr>
          <w:rFonts w:eastAsia="SimSun;宋体"/>
          <w:b/>
          <w:bCs/>
          <w:sz w:val="28"/>
          <w:lang w:val="en-US"/>
        </w:rPr>
        <w:t xml:space="preserve">Анализ выполнения заданий КИМ</w:t>
      </w:r>
      <w:r/>
    </w:p>
    <w:p>
      <w:pPr>
        <w:pStyle w:val="940"/>
        <w:numPr>
          <w:ilvl w:val="2"/>
          <w:numId w:val="58"/>
        </w:numPr>
        <w:ind w:left="567" w:firstLine="0"/>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rPr>
          <w:rFonts w:eastAsia="SimSun;宋体"/>
          <w:sz w:val="28"/>
          <w:lang w:val="en-US"/>
        </w:rPr>
      </w:pPr>
      <w:r>
        <w:rPr>
          <w:rFonts w:eastAsia="SimSun;宋体"/>
          <w:sz w:val="28"/>
          <w:lang w:val="en-US"/>
        </w:rPr>
      </w:r>
      <w:r/>
    </w:p>
    <w:p>
      <w:pPr>
        <w:pStyle w:val="1409"/>
        <w:keepNext/>
        <w:rPr>
          <w:lang w:val="en-US"/>
        </w:rPr>
      </w:pPr>
      <w:r>
        <w:rPr>
          <w:lang w:val="en-US"/>
        </w:rPr>
        <w:t xml:space="preserve">Таблица 2-13</w:t>
      </w:r>
      <w:r/>
    </w:p>
    <w:tbl>
      <w:tblPr>
        <w:tblW w:w="10110" w:type="dxa"/>
        <w:tblInd w:w="-405" w:type="dxa"/>
        <w:tblLayout w:type="fixed"/>
        <w:tblCellMar>
          <w:left w:w="57" w:type="dxa"/>
          <w:top w:w="0" w:type="dxa"/>
          <w:right w:w="57" w:type="dxa"/>
          <w:bottom w:w="0" w:type="dxa"/>
        </w:tblCellMar>
        <w:tblLook w:val="04A0" w:firstRow="1" w:lastRow="0" w:firstColumn="1" w:lastColumn="0" w:noHBand="0" w:noVBand="1"/>
      </w:tblPr>
      <w:tblGrid>
        <w:gridCol w:w="822"/>
        <w:gridCol w:w="2946"/>
        <w:gridCol w:w="1091"/>
        <w:gridCol w:w="861"/>
        <w:gridCol w:w="1437"/>
        <w:gridCol w:w="1439"/>
        <w:gridCol w:w="737"/>
        <w:gridCol w:w="777"/>
      </w:tblGrid>
      <w:tr>
        <w:trPr>
          <w:cantSplit/>
          <w:trHeight w:val="313"/>
        </w:trPr>
        <w:tc>
          <w:tcPr>
            <w:tcBorders>
              <w:top w:val="single" w:color="000000" w:sz="8" w:space="0"/>
              <w:left w:val="single" w:color="000000" w:sz="8" w:space="0"/>
            </w:tcBorders>
            <w:tcW w:w="822"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2946"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091"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5251" w:type="dxa"/>
            <w:textDirection w:val="lrTb"/>
            <w:noWrap w:val="false"/>
          </w:tcPr>
          <w:p>
            <w:pPr>
              <w:pStyle w:val="940"/>
              <w:jc w:val="center"/>
              <w:rPr>
                <w:bCs/>
              </w:rPr>
            </w:pPr>
            <w:r>
              <w:t xml:space="preserve">Процент выполнения задания </w:t>
              <w:br/>
              <w:t xml:space="preserve">в субъекте Российской Федерации</w:t>
            </w:r>
            <w:r/>
          </w:p>
        </w:tc>
      </w:tr>
      <w:tr>
        <w:trPr>
          <w:cantSplit/>
          <w:trHeight w:val="635"/>
        </w:trPr>
        <w:tc>
          <w:tcPr>
            <w:tcBorders>
              <w:top w:val="single" w:color="000000" w:sz="8" w:space="0"/>
              <w:left w:val="single" w:color="000000" w:sz="8" w:space="0"/>
            </w:tcBorders>
            <w:tcW w:w="822"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2946"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091"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jc w:val="center"/>
            </w:pPr>
            <w:r>
              <w:t xml:space="preserve">средний</w:t>
            </w:r>
            <w:r/>
          </w:p>
        </w:tc>
        <w:tc>
          <w:tcPr>
            <w:tcBorders>
              <w:top w:val="single" w:color="000000" w:sz="8" w:space="0"/>
              <w:left w:val="single" w:color="000000" w:sz="8" w:space="0"/>
              <w:bottom w:val="single" w:color="000000" w:sz="8" w:space="0"/>
            </w:tcBorders>
            <w:tcW w:w="1437" w:type="dxa"/>
            <w:textDirection w:val="lrTb"/>
            <w:noWrap w:val="false"/>
          </w:tcPr>
          <w:p>
            <w:pPr>
              <w:pStyle w:val="940"/>
              <w:jc w:val="center"/>
              <w:rPr>
                <w:bCs/>
              </w:rPr>
            </w:pPr>
            <w:r>
              <w:rPr>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rPr>
                <w:bCs/>
              </w:rPr>
            </w:pPr>
            <w:r>
              <w:rPr>
                <w:bCs/>
              </w:rPr>
              <w:t xml:space="preserve">в группе от минимального до 60 т.б.</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rPr>
                <w:bCs/>
              </w:rPr>
            </w:pPr>
            <w:r>
              <w:rPr>
                <w:bCs/>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rPr>
                <w:bCs/>
              </w:rPr>
            </w:pPr>
            <w:r>
              <w:rPr>
                <w:bCs/>
              </w:rPr>
              <w:t xml:space="preserve">в группе от 81 до 100 т.б.</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jc w:val="center"/>
            </w:pPr>
            <w:r>
              <w:t xml:space="preserve">1</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 </w:t>
            </w:r>
            <w:r>
              <w:rPr>
                <w:color w:val="000000"/>
              </w:rPr>
              <w:t xml:space="preserve">Строение электронных оболочек атомов элементов первых четырёх периодов: s-, p- и d-элементы. Электронная конфигурация атома. Основное и возбуждённое состояния атомов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68,03</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43,45</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63,09</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86,34</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Закономерности изменения химических свойств элементов и их соединений по периодам и группам.</w:t>
            </w:r>
            <w:r>
              <w:rPr>
                <w:color w:val="000000"/>
              </w:rPr>
              <w:t xml:space="preserve">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 Характеристика переходных элементов – меди, цинка, хрома, железа– по их положению в Период</w:t>
            </w:r>
            <w:r>
              <w:rPr>
                <w:color w:val="000000"/>
              </w:rPr>
              <w:t xml:space="preserve">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Периодической системе химических элементов Д.И. Менделеева и особенностями строения их атомов </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58,13</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26,90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54,26</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77,60</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93,55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spacing w:before="0" w:after="160" w:line="276" w:lineRule="auto"/>
              <w:rPr>
                <w:color w:val="000000"/>
                <w:lang w:eastAsia="en-US"/>
              </w:rPr>
            </w:pPr>
            <w:r>
              <w:rPr>
                <w:color w:val="000000"/>
                <w:lang w:eastAsia="en-US"/>
              </w:rPr>
              <w:t xml:space="preserve">Электроотрицательность. Степень окисления и валентность химических элементов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49,50</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19,31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40,06</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73,77</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4</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Ковалентная химическая связь, её разновидности и механизмы образ</w:t>
            </w:r>
            <w:r>
              <w:rPr>
                <w:color w:val="000000"/>
              </w:rPr>
              <w:t xml:space="preserve">ования. Характеристики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51,77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16,55</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45,11</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76,50</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95,16</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5</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Классификация неорганических веществ. Номенклатура неорганических веществ (тривиальная и международная)</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60,96</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28,28</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57,41</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80,87</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6</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pPr>
            <w:r>
              <w:rPr>
                <w:color w:val="000000"/>
              </w:rPr>
              <w:t xml:space="preserve">Характерные химические свойства простых веществ–металлов: щелочных, щелочноземельных, магния, алюминия</w:t>
            </w:r>
            <w:r>
              <w:rPr>
                <w:color w:val="000000"/>
              </w:rPr>
              <w:t xml:space="preserve">; переходных металлов: меди, цинка, хрома, железа. Характерные химические свойства простых веществ–неметаллов: водорода, галогенов, кислорода, серы, азота, фосфора, углерода, кремния. Характерные химические свойства оксидов: оснóвных, амфотерных, кислотных</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66,62</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31,03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62,78</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91,26</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7</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Характерные химические свойства оснований и амфотерных гидроксидов. Характерные химические свой</w:t>
            </w:r>
            <w:r>
              <w:rPr>
                <w:color w:val="000000"/>
              </w:rPr>
              <w:t xml:space="preserve">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Сильные и слабые электролиты. Реакции ионного обмена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64,71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31,03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58,99</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89,62</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99,19</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8</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pPr>
            <w:r>
              <w:rPr>
                <w:color w:val="000000"/>
              </w:rPr>
              <w:t xml:space="preserve">Характерные химические свойства неорганических веществ:  – простых веществ–металлов:  щелочных, щелочноземельных, магния, алюминия, переходных металлов (меди, цинка, хрома, железа);  – простых веществ–неметаллов:  водорода, </w:t>
            </w:r>
            <w:r>
              <w:rPr>
                <w:color w:val="000000"/>
              </w:rPr>
              <w:t xml:space="preserve">галогенов, кислорода,  серы, азота, фосфора, углерода, кремния;  – оксидов: оснóвных, амфотерных, кислотных;  – оснований и амфотерных гидроксидов;  – кислот;  – солей: средних, кислых, оснóвных, комплексных (на примере гидроксосоединений алюминия и цинка)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47,52</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6,21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37,54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81,42</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95,16</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9</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pPr>
            <w:r>
              <w:rPr>
                <w:color w:val="000000"/>
              </w:rPr>
              <w:t xml:space="preserve">Характерные химические свойства неорганических веществ: простых веществ–металлов:  щелочных, щелочноземельных, магния, алюминия, переходных металлов (меди, цинка, хрома, железа);  – простых веществ–неметаллов: водорода, г</w:t>
            </w:r>
            <w:r>
              <w:rPr>
                <w:color w:val="000000"/>
              </w:rPr>
              <w:t xml:space="preserve">алогенов, кислорода,  серы, азота, фосфора, углерода, кремния;  – оксидов: оснóвных, амфотерных, кислотных;  – оснований и амфотерных гидроксидов;  – кислот;  – солей: средних, кислых, оснóвных, комплексных (на примере гидроксосоединений алюминия и цинка) </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51,13</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23,10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39,91</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77,60</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95,97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10</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Взаимосвязь неорганических веществ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33,80</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12,07</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34,07</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45,08</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50,00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11</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Классификация органических веществ. Номенклатура органических веществ (тривиальная и международная)</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64,50</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17,24</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60,88</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96,17</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100,00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12</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Теория строения органических соединений: гомология и изомерия (структурная и пространственная). Взаимное влияние атомов в молекулах. Типы связей в молекулах органических веществ. Гибридизация атомных орбиталей углерода. Радикал. Функциональная группа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50,21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8,97</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41,96</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80,33</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100,00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13</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58,56</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13,10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53,31</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89,62</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100,00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14</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w:t>
            </w:r>
            <w:r>
              <w:rPr>
                <w:color w:val="000000"/>
              </w:rPr>
              <w:t xml:space="preserve">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36,92</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8,28</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23,34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63,39</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95,16</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15</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55,30</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17,93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49,84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80,33</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16</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Характерные химические свойства углеводо</w:t>
            </w:r>
            <w:r>
              <w:rPr>
                <w:color w:val="000000"/>
              </w:rPr>
              <w:t xml:space="preserve">родов: алканов, циклоалканов, алкенов, диенов, алкинов, ароматических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38,47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4,14</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22,08</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74,86</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95,16</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17</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Характерные химические свойства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48,37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10,00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41,17</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75,68</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94,35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18</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Взаимосвязь углеводородов, кислородсодержащих и азотсодержащих органических соединений</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30,27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8,97</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27,60</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45,08</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50,00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19</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Классификация химических реакций в неорганической и органической химии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32,39</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6,21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25,24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51,37</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74,19</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20</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Скорость реакции, её зависимость от различных факторов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31,40</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11,03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22,40</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49,18</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72,58</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21</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Реакции окислительно-восстановительные</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74,82</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29,66</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79,50</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93,99</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100,00</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22</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Электролиз расплавов и растворов (солей, щелочей, кислот)</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75,67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32,41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82,65</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90,71</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96,77</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23</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Гидролиз солей. Среда водных растворов: кислая, нейтральная,  щелочная</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67,04</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17,93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68,93</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92,08</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98,39</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24</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Обратимые и необратимые химические реакции. Химическое равновесие. Смещение равновесия под действием различных факторов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33,31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6,21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25,39</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52,19</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81,45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25</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Качественные реакции на неорганические вещества и ионы. Качественные реакции органических соединений</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П</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49,01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6,55</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39,59</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82,51</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97,58</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26</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rPr>
                <w:color w:val="000000"/>
              </w:rPr>
            </w:pPr>
            <w:r>
              <w:rPr>
                <w:color w:val="000000"/>
              </w:rPr>
              <w:t xml:space="preserve">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w:t>
            </w:r>
            <w:r>
              <w:rPr>
                <w:color w:val="000000"/>
              </w:rPr>
              <w:t xml:space="preserve">ии.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 на примере промышленного получения а</w:t>
            </w:r>
            <w:r>
              <w:rPr>
                <w:color w:val="000000"/>
              </w:rPr>
              <w:t xml:space="preserve">ммиака,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44,27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11,72</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34,70</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70,49</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91,94</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27</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Расчёты с использованием понятия «массовая доля вещества в растворе»</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47,81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14,48</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36,28</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78,14</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95,16</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28</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Расчёты объёмных отношений газов при химических реакциях. Расчёты по термохимическим уравнениям</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55,45</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10,34</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52,37</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83,61</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93,55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29</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Расчёты массы вещества или объема газов по известному количеству вещества, массе или объёму одного из участвующих в реакции веществ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Б</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46,11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2,76</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35,33</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83,06</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93,55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30</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Реакции окислительно-восстановительные</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27,37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0,00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15,14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53,15</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74,19</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31</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Электролитическая диссоциация электролитов в водных растворах. Сильные и слабые электролиты. Реакции ионного обмена.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46,11</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4,83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40,85</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73,50</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88,71</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32</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Реакции, подтверждающие взаимосвязь различных классов неорганических веществ</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29,63</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1,72</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16,64</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53,96</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89,52</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33</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Реакции, подтверждающие взаимосвязь органических соединений</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24,72</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0,41</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9,91</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47,43</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90,32</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34</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Расчёты с использованием понятий «растворимость», «массовая доля вещества в растворе».  Расчёты массы (объёма, количества вещества) продуктов реакции, если </w:t>
            </w:r>
            <w:r>
              <w:rPr>
                <w:color w:val="000000"/>
              </w:rPr>
              <w:t xml:space="preserve">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Расчёты массовой или объёмной доли выхода продукта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6,68</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0,00</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0,39</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6,15</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56,05</w:t>
            </w:r>
            <w:r/>
          </w:p>
        </w:tc>
      </w:tr>
      <w:tr>
        <w:trPr>
          <w:trHeight w:val="309"/>
        </w:trPr>
        <w:tc>
          <w:tcPr>
            <w:tcBorders>
              <w:top w:val="single" w:color="000000" w:sz="8" w:space="0"/>
              <w:left w:val="single" w:color="000000" w:sz="8" w:space="0"/>
              <w:bottom w:val="single" w:color="000000" w:sz="8" w:space="0"/>
            </w:tcBorders>
            <w:tcW w:w="822" w:type="dxa"/>
            <w:vAlign w:val="center"/>
            <w:textDirection w:val="lrTb"/>
            <w:noWrap w:val="false"/>
          </w:tcPr>
          <w:p>
            <w:pPr>
              <w:pStyle w:val="940"/>
              <w:ind w:firstLine="67"/>
              <w:jc w:val="center"/>
            </w:pPr>
            <w:r>
              <w:t xml:space="preserve">35</w:t>
            </w:r>
            <w:r/>
          </w:p>
        </w:tc>
        <w:tc>
          <w:tcPr>
            <w:tcBorders>
              <w:top w:val="single" w:color="000000" w:sz="8" w:space="0"/>
              <w:left w:val="single" w:color="000000" w:sz="8" w:space="0"/>
              <w:bottom w:val="single" w:color="000000" w:sz="8" w:space="0"/>
            </w:tcBorders>
            <w:tcW w:w="2946" w:type="dxa"/>
            <w:vAlign w:val="center"/>
            <w:textDirection w:val="lrTb"/>
            <w:noWrap w:val="false"/>
          </w:tcPr>
          <w:p>
            <w:pPr>
              <w:pStyle w:val="940"/>
              <w:ind w:firstLine="67"/>
              <w:rPr>
                <w:color w:val="000000"/>
              </w:rPr>
            </w:pPr>
            <w:r>
              <w:rPr>
                <w:color w:val="000000"/>
              </w:rPr>
              <w:t xml:space="preserve">Установление молекулярной и структурной формулы вещества</w:t>
            </w:r>
            <w:r/>
          </w:p>
        </w:tc>
        <w:tc>
          <w:tcPr>
            <w:tcBorders>
              <w:top w:val="single" w:color="000000" w:sz="8" w:space="0"/>
              <w:left w:val="single" w:color="000000" w:sz="8" w:space="0"/>
              <w:bottom w:val="single" w:color="000000" w:sz="8" w:space="0"/>
            </w:tcBorders>
            <w:tcW w:w="1091" w:type="dxa"/>
            <w:vAlign w:val="center"/>
            <w:textDirection w:val="lrTb"/>
            <w:noWrap w:val="false"/>
          </w:tcPr>
          <w:p>
            <w:pPr>
              <w:pStyle w:val="940"/>
              <w:ind w:hanging="112"/>
              <w:jc w:val="center"/>
            </w:pPr>
            <w:r>
              <w:t xml:space="preserve">В</w:t>
            </w:r>
            <w:r/>
          </w:p>
        </w:tc>
        <w:tc>
          <w:tcPr>
            <w:tcBorders>
              <w:top w:val="single" w:color="000000" w:sz="8" w:space="0"/>
              <w:left w:val="single" w:color="000000" w:sz="8" w:space="0"/>
              <w:bottom w:val="single" w:color="000000" w:sz="8" w:space="0"/>
            </w:tcBorders>
            <w:tcW w:w="861" w:type="dxa"/>
            <w:vAlign w:val="center"/>
            <w:textDirection w:val="lrTb"/>
            <w:noWrap w:val="false"/>
          </w:tcPr>
          <w:p>
            <w:pPr>
              <w:pStyle w:val="940"/>
              <w:ind w:firstLine="67"/>
              <w:jc w:val="center"/>
            </w:pPr>
            <w:r>
              <w:t xml:space="preserve">17,87</w:t>
            </w:r>
            <w:r/>
          </w:p>
        </w:tc>
        <w:tc>
          <w:tcPr>
            <w:tcBorders>
              <w:top w:val="single" w:color="000000" w:sz="8" w:space="0"/>
              <w:left w:val="single" w:color="000000" w:sz="8" w:space="0"/>
              <w:bottom w:val="single" w:color="000000" w:sz="8" w:space="0"/>
            </w:tcBorders>
            <w:tcW w:w="1437" w:type="dxa"/>
            <w:vAlign w:val="center"/>
            <w:textDirection w:val="lrTb"/>
            <w:noWrap w:val="false"/>
          </w:tcPr>
          <w:p>
            <w:pPr>
              <w:pStyle w:val="940"/>
              <w:jc w:val="center"/>
            </w:pPr>
            <w:r>
              <w:t xml:space="preserve">0,23</w:t>
            </w:r>
            <w:r/>
          </w:p>
        </w:tc>
        <w:tc>
          <w:tcPr>
            <w:tcBorders>
              <w:top w:val="single" w:color="000000" w:sz="8" w:space="0"/>
              <w:left w:val="single" w:color="000000" w:sz="8" w:space="0"/>
              <w:bottom w:val="single" w:color="000000" w:sz="8" w:space="0"/>
            </w:tcBorders>
            <w:tcW w:w="1439" w:type="dxa"/>
            <w:vAlign w:val="center"/>
            <w:textDirection w:val="lrTb"/>
            <w:noWrap w:val="false"/>
          </w:tcPr>
          <w:p>
            <w:pPr>
              <w:pStyle w:val="940"/>
              <w:jc w:val="center"/>
            </w:pPr>
            <w:r>
              <w:t xml:space="preserve">5,47</w:t>
            </w:r>
            <w:r/>
          </w:p>
        </w:tc>
        <w:tc>
          <w:tcPr>
            <w:tcBorders>
              <w:top w:val="single" w:color="000000" w:sz="8" w:space="0"/>
              <w:left w:val="single" w:color="000000" w:sz="8" w:space="0"/>
              <w:bottom w:val="single" w:color="000000" w:sz="8" w:space="0"/>
            </w:tcBorders>
            <w:tcW w:w="737" w:type="dxa"/>
            <w:vAlign w:val="center"/>
            <w:textDirection w:val="lrTb"/>
            <w:noWrap w:val="false"/>
          </w:tcPr>
          <w:p>
            <w:pPr>
              <w:pStyle w:val="940"/>
              <w:jc w:val="center"/>
            </w:pPr>
            <w:r>
              <w:t xml:space="preserve">31,51</w:t>
            </w:r>
            <w:r/>
          </w:p>
        </w:tc>
        <w:tc>
          <w:tcPr>
            <w:tcBorders>
              <w:top w:val="single" w:color="000000" w:sz="8" w:space="0"/>
              <w:left w:val="single" w:color="000000" w:sz="8" w:space="0"/>
              <w:bottom w:val="single" w:color="000000" w:sz="8" w:space="0"/>
              <w:right w:val="single" w:color="000000" w:sz="8" w:space="0"/>
            </w:tcBorders>
            <w:tcW w:w="777" w:type="dxa"/>
            <w:vAlign w:val="center"/>
            <w:textDirection w:val="lrTb"/>
            <w:noWrap w:val="false"/>
          </w:tcPr>
          <w:p>
            <w:pPr>
              <w:pStyle w:val="940"/>
              <w:jc w:val="center"/>
            </w:pPr>
            <w:r>
              <w:t xml:space="preserve">82,26</w:t>
            </w:r>
            <w:r/>
          </w:p>
        </w:tc>
      </w:tr>
    </w:tbl>
    <w:p>
      <w:pPr>
        <w:pStyle w:val="940"/>
        <w:jc w:val="both"/>
        <w:rPr>
          <w:i/>
          <w:iCs/>
        </w:rPr>
      </w:pPr>
      <w:r>
        <w:rPr>
          <w:i/>
          <w:iCs/>
        </w:rPr>
      </w:r>
      <w:r/>
    </w:p>
    <w:p>
      <w:pPr>
        <w:pStyle w:val="940"/>
        <w:numPr>
          <w:ilvl w:val="2"/>
          <w:numId w:val="58"/>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ind w:firstLine="567"/>
        <w:jc w:val="both"/>
        <w:rPr>
          <w:iCs/>
        </w:rPr>
      </w:pPr>
      <w:r>
        <w:rPr>
          <w:iCs/>
        </w:rPr>
      </w:r>
      <w:r/>
    </w:p>
    <w:p>
      <w:pPr>
        <w:pStyle w:val="940"/>
        <w:ind w:firstLine="567"/>
        <w:jc w:val="both"/>
        <w:rPr>
          <w:iCs/>
        </w:rPr>
      </w:pPr>
      <w:r>
        <w:rPr>
          <w:iCs/>
        </w:rPr>
        <w:t xml:space="preserve">Сравнительный анализ выполнения заданий базового уровня по отношению к 2020 году показал снижение среднего процента выполнения по большинству заданий</w:t>
      </w:r>
      <w:r/>
    </w:p>
    <w:p>
      <w:pPr>
        <w:pStyle w:val="940"/>
        <w:ind w:firstLine="567"/>
        <w:jc w:val="both"/>
        <w:rPr>
          <w:iCs/>
        </w:rPr>
      </w:pPr>
      <w:r>
        <w:rPr>
          <w:iCs/>
        </w:rPr>
        <w:t xml:space="preserve">Наиболее существенным можно считать снижение результативности выполнения следующих заданий (и в среднем и по каждой группе участников):</w:t>
      </w:r>
      <w:r/>
    </w:p>
    <w:p>
      <w:pPr>
        <w:pStyle w:val="940"/>
        <w:ind w:firstLine="567"/>
        <w:jc w:val="both"/>
      </w:pPr>
      <w:r>
        <w:rPr>
          <w:iCs/>
        </w:rPr>
        <w:t xml:space="preserve">- № 2 (-23%) – Закономерности изменения химических свойств элементов и их соединений по периодам и группам. Причем максимальное падение произошло в группах до 60 баллов, т.е. сопоставить одновременно и пр</w:t>
      </w:r>
      <w:r>
        <w:rPr>
          <w:iCs/>
        </w:rPr>
        <w:t xml:space="preserve">инадлежность к семейству, и изменение радиуса оказалось проблемным. То ли на семейство внимания не обратили, то ли радиус не в ту сторону увеличили. Но именно эти вопросы часто вызывают затруднения вследствие заучивания закономерностей без особого осмыслен</w:t>
      </w:r>
      <w:r>
        <w:rPr>
          <w:iCs/>
        </w:rPr>
        <w:t xml:space="preserve">ия причины. Поэтому при малейшем сбое (справа налево или слева направо??) вероятность неправильного ответа 50/50. В группе с высоким уровнем подготовки эта проблема чаще отсутствует, и неверные ответы появляются обычно при невнимательном прочтении задания.</w:t>
      </w:r>
      <w:r/>
    </w:p>
    <w:p>
      <w:pPr>
        <w:pStyle w:val="940"/>
        <w:ind w:firstLine="567"/>
        <w:jc w:val="both"/>
      </w:pPr>
      <w:r>
        <w:rPr>
          <w:iCs/>
        </w:rPr>
        <w:t xml:space="preserve">- № 3 (-34%) – Электроотрицательность. Степень окисления и валентность химических элементов. Скорее в</w:t>
      </w:r>
      <w:r>
        <w:rPr>
          <w:iCs/>
        </w:rPr>
        <w:t xml:space="preserve">сего, снижение процента выполнивших вызвано конкретной формулировкой, предложенной в задании. Расчет степени окисления затруднений не вызывает, но появление формулы иона, да еще в общем виде, сразу вызвало проблему. Причина – аналогична предыдущему пункту.</w:t>
      </w:r>
      <w:r/>
    </w:p>
    <w:p>
      <w:pPr>
        <w:pStyle w:val="940"/>
        <w:ind w:firstLine="567"/>
        <w:jc w:val="both"/>
      </w:pPr>
      <w:r>
        <w:rPr>
          <w:iCs/>
        </w:rPr>
        <w:t xml:space="preserve">- № 10 (-33%) – Взаимосвязь неорганических веществ. Задание было, есть и будет пр</w:t>
      </w:r>
      <w:r>
        <w:rPr>
          <w:iCs/>
        </w:rPr>
        <w:t xml:space="preserve">облемным. Сильно зависит от конкретики предложенного варианта. В 2021 г оказалось сложнее для выполнения, скорее всего, из-за восстановления оксида, которое надо связать со способами получения металлов + вечный вопрос «HCl или Cl2?», чтобы железо стало +3.</w:t>
      </w:r>
      <w:r/>
    </w:p>
    <w:p>
      <w:pPr>
        <w:pStyle w:val="940"/>
        <w:ind w:firstLine="567"/>
        <w:jc w:val="both"/>
      </w:pPr>
      <w:r>
        <w:rPr>
          <w:iCs/>
        </w:rPr>
        <w:t xml:space="preserve">- № 14 (-32%) – Характерные химические свойства предельных одноатомных и многоатомных спиртов, фенола. Характерные хи</w:t>
      </w:r>
      <w:r>
        <w:rPr>
          <w:iCs/>
        </w:rPr>
        <w:t xml:space="preserve">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 В 2020 г был рост выполнения, что позволило обрадоваться, что наконец-то методические рекомен</w:t>
      </w:r>
      <w:r>
        <w:rPr>
          <w:iCs/>
        </w:rPr>
        <w:t xml:space="preserve">дации возымели действие, и задание выходит за рамки проблемных. Увы, но опять вернулись к предыдущим годам. На эти темы из года в год обращается внимание учителей, как на недостаточно изученные. Это же подтверждает и нестабильность результатов задания №17.</w:t>
      </w:r>
      <w:r/>
    </w:p>
    <w:p>
      <w:pPr>
        <w:pStyle w:val="940"/>
        <w:ind w:firstLine="567"/>
        <w:jc w:val="both"/>
      </w:pPr>
      <w:r>
        <w:rPr>
          <w:iCs/>
        </w:rPr>
        <w:t xml:space="preserve">- № 18 (- 43%) – Взаимосвязь углеводородов, кислородсодержащих и азотсодержащих органических соединений. Как следствие предыдущего пункта.</w:t>
      </w:r>
      <w:r/>
    </w:p>
    <w:p>
      <w:pPr>
        <w:pStyle w:val="940"/>
        <w:ind w:firstLine="567"/>
        <w:jc w:val="both"/>
      </w:pPr>
      <w:r>
        <w:rPr>
          <w:iCs/>
        </w:rPr>
        <w:t xml:space="preserve">- № 20 (-56%) - Скорость реакции, её зависимость от различных факторов. К сожалению, повышение на 20% правильных ответов в 2020 г и рост баллов по этому заданию во всех группах, </w:t>
      </w:r>
      <w:r>
        <w:rPr>
          <w:iCs/>
        </w:rPr>
        <w:t xml:space="preserve">не повторились в 2021г. Вероятно, появление в задании формулировки «все факторы» оказалось невыполнимым даже для претендентов на высшие баллы. В отдельности каждый фактор затруднений не вызывает, но собрать все вместе без ошибок – резко повышает сложность.</w:t>
      </w:r>
      <w:r/>
    </w:p>
    <w:p>
      <w:pPr>
        <w:pStyle w:val="940"/>
        <w:jc w:val="both"/>
        <w:rPr>
          <w:iCs/>
        </w:rPr>
      </w:pPr>
      <w:r>
        <w:rPr>
          <w:iCs/>
        </w:rPr>
        <w:t xml:space="preserve">Повысилась, хотя и в меньшей степени, результативность выполнения отдельных заданий базового уровня:</w:t>
      </w:r>
      <w:r/>
    </w:p>
    <w:p>
      <w:pPr>
        <w:pStyle w:val="940"/>
        <w:ind w:firstLine="708"/>
        <w:jc w:val="both"/>
      </w:pPr>
      <w:r>
        <w:rPr>
          <w:iCs/>
        </w:rPr>
        <w:t xml:space="preserve">- № 15 (+15%) – Характерные химические свойства азотсодержащих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w:t>
      </w:r>
      <w:r/>
    </w:p>
    <w:p>
      <w:pPr>
        <w:pStyle w:val="940"/>
        <w:ind w:firstLine="708"/>
        <w:jc w:val="both"/>
      </w:pPr>
      <w:r>
        <w:rPr>
          <w:iCs/>
        </w:rPr>
        <w:t xml:space="preserve">- № 26 (+10%) – 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w:t>
      </w:r>
      <w:r>
        <w:rPr>
          <w:iCs/>
        </w:rPr>
        <w:t xml:space="preserve">и.  Научные методы исследования химических веществ и превращений. Методы разделения смесей и очистки веществ.  Понятие о металлургии: общие способы получения металлов.  Общие научные принципы химического производства ( на примере промышленного получения ам</w:t>
      </w:r>
      <w:r>
        <w:rPr>
          <w:iCs/>
        </w:rPr>
        <w:t xml:space="preserve">миака, серной кислоты, метанола). Химическое загрязнение окружающей среды и его последствия. Природные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 </w:t>
      </w:r>
      <w:r/>
    </w:p>
    <w:p>
      <w:pPr>
        <w:pStyle w:val="940"/>
        <w:ind w:firstLine="708"/>
        <w:jc w:val="both"/>
      </w:pPr>
      <w:r>
        <w:rPr>
          <w:iCs/>
        </w:rPr>
        <w:t xml:space="preserve">- № 1 (+5%) -  Строение электронных оболочек атомов элементов перв</w:t>
      </w:r>
      <w:r>
        <w:rPr>
          <w:iCs/>
        </w:rPr>
        <w:t xml:space="preserve">ых четырёх периодов: s-, p- и d-элементы. Электронная конфигурация атома. Основное и возбуждённое состояния атомов. В сочетании с провалом задания № 2 вряд ли можно считать эти результаты обнадеживающими в плане оценки всего раздела «строение атома. ПСХЭ».</w:t>
      </w:r>
      <w:r/>
    </w:p>
    <w:p>
      <w:pPr>
        <w:pStyle w:val="940"/>
        <w:ind w:firstLine="708"/>
        <w:jc w:val="both"/>
        <w:rPr>
          <w:iCs/>
        </w:rPr>
      </w:pPr>
      <w:r>
        <w:rPr>
          <w:iCs/>
        </w:rPr>
        <w:t xml:space="preserve">Анализ выполнения заданий повышенного уровня сложности показывает большую стабильность результативности по сравнению с заданиями базового уровня</w:t>
      </w:r>
      <w:r/>
    </w:p>
    <w:p>
      <w:pPr>
        <w:pStyle w:val="940"/>
        <w:jc w:val="both"/>
      </w:pPr>
      <w:r>
        <w:rPr>
          <w:iCs/>
        </w:rPr>
        <w:t xml:space="preserve">Резкое снижение результативности можно отметить лишь по заданию 24: 33,31% (65,50% в 2020 году) - Обратимые и необратимые химические реакции. Химическое равновесие. Смещение равновесия под действием различных факторов.</w:t>
      </w:r>
      <w:r/>
    </w:p>
    <w:p>
      <w:pPr>
        <w:pStyle w:val="940"/>
        <w:ind w:firstLine="708"/>
        <w:jc w:val="both"/>
        <w:rPr>
          <w:iCs/>
        </w:rPr>
      </w:pPr>
      <w:r>
        <w:rPr>
          <w:iCs/>
        </w:rPr>
        <w:t xml:space="preserve">В остальных заданиях повышенного уровня снижение результативности незначительное, а в отдельных заданиях % их выполнения повысился:</w:t>
      </w:r>
      <w:r/>
    </w:p>
    <w:p>
      <w:pPr>
        <w:pStyle w:val="940"/>
        <w:ind w:firstLine="708"/>
        <w:jc w:val="both"/>
      </w:pPr>
      <w:r>
        <w:rPr>
          <w:iCs/>
        </w:rPr>
        <w:t xml:space="preserve">- № 9 (+10) - Характерные химические свойства неорганических веществ</w:t>
      </w:r>
      <w:r/>
    </w:p>
    <w:p>
      <w:pPr>
        <w:pStyle w:val="940"/>
        <w:ind w:left="708" w:firstLine="0"/>
        <w:jc w:val="both"/>
      </w:pPr>
      <w:r>
        <w:rPr>
          <w:iCs/>
        </w:rPr>
        <w:t xml:space="preserve">- № 25 (+6) - Качественные реакции на неорганические вещества и ионы. Качественные реакции органических соединений.</w:t>
      </w:r>
      <w:r/>
    </w:p>
    <w:p>
      <w:pPr>
        <w:pStyle w:val="940"/>
        <w:ind w:firstLine="708"/>
        <w:jc w:val="both"/>
        <w:rPr>
          <w:iCs/>
        </w:rPr>
      </w:pPr>
      <w:r>
        <w:rPr>
          <w:iCs/>
        </w:rPr>
        <w:t xml:space="preserve">По всем заданиям высокого уровня сложности (задания с развернутым ответом) произошло снижение результативности.</w:t>
      </w:r>
      <w:r/>
    </w:p>
    <w:p>
      <w:pPr>
        <w:pStyle w:val="940"/>
        <w:ind w:firstLine="708"/>
        <w:jc w:val="both"/>
      </w:pPr>
      <w:r>
        <w:rPr>
          <w:iCs/>
        </w:rPr>
        <w:t xml:space="preserve">Задание № 30 проверяет умение составлять уравнение окислительно-восстановительной реакции на основе выбора веществ из предложенного перечня с выполнением дополнительных условий, умения определять степени окисления элементов и составлять электронный баланс.</w:t>
      </w:r>
      <w:r/>
    </w:p>
    <w:p>
      <w:pPr>
        <w:pStyle w:val="940"/>
        <w:ind w:firstLine="708"/>
        <w:jc w:val="both"/>
      </w:pPr>
      <w:r>
        <w:rPr>
          <w:iCs/>
        </w:rPr>
        <w:t xml:space="preserve">Результативность выполнения этого задания снизилась незначительно (27,37% против30,56% в 2020 году). Снижение произошло как в среднем, так и в двух группах участников: не преодолевших м</w:t>
      </w:r>
      <w:r>
        <w:rPr>
          <w:iCs/>
        </w:rPr>
        <w:t xml:space="preserve">инимальный порог и в группе 81-100 баллов. В целом, задание вызвало «разброд и шатания» как у учащихся, так и у экспертов, оценивающих работы. В 2020 г. практически исчезли неверно уравненные реакции, т.е. если уж сумели написать нужную реакцию, то и все о</w:t>
      </w:r>
      <w:r>
        <w:rPr>
          <w:iCs/>
        </w:rPr>
        <w:t xml:space="preserve">стальное выполнили верно. В 2021 г. очень сложным оказалось определить правильное или неправильное уравнение предложено, экзаменуемые твердо усвоили принцип «все, что не запрещено, - разрешено». В итоге, баланс на грани «может такое быть – не может такое б</w:t>
      </w:r>
      <w:r>
        <w:rPr>
          <w:iCs/>
        </w:rPr>
        <w:t xml:space="preserve">ыть» ограничивался рамками «может быть окислителем – может быть восстановителем». Возможно, стоит вернуться к старым формулировкам? Или предлагать более однозначные наборы реагентов, иначе теряется смысл этого задания как задания высокого уровня сложности.</w:t>
      </w:r>
      <w:r/>
    </w:p>
    <w:p>
      <w:pPr>
        <w:pStyle w:val="940"/>
        <w:ind w:firstLine="708"/>
        <w:jc w:val="both"/>
        <w:rPr>
          <w:iCs/>
        </w:rPr>
      </w:pPr>
      <w:r>
        <w:rPr>
          <w:iCs/>
        </w:rPr>
        <w:t xml:space="preserve">Задание 31 проверяет умение составлять уравнения реакций ионного обмена на основе выбора веществ </w:t>
      </w:r>
      <w:r>
        <w:rPr>
          <w:iCs/>
        </w:rPr>
        <w:t xml:space="preserve">из предложенного списка с выполнением дополнительных условий. Процент выполнения этого задания снизился с 59,35 до 46,11. И снова снижение произошло как в среднем, так и в двух группах участников: не преодолевших минимальный порог и в группе 81-100 баллов.</w:t>
      </w:r>
      <w:r/>
    </w:p>
    <w:p>
      <w:pPr>
        <w:pStyle w:val="940"/>
        <w:ind w:firstLine="708"/>
        <w:jc w:val="both"/>
        <w:rPr>
          <w:iCs/>
        </w:rPr>
      </w:pPr>
      <w:r>
        <w:rPr>
          <w:iCs/>
        </w:rPr>
        <w:t xml:space="preserve">Значительно снизилась результативность выполнения заданий 32 и 33 на установление взаимосвязи между основными классами неорганических веществ и органических соединений:</w:t>
      </w:r>
      <w:r/>
    </w:p>
    <w:p>
      <w:pPr>
        <w:pStyle w:val="940"/>
        <w:ind w:firstLine="708"/>
        <w:jc w:val="both"/>
      </w:pPr>
      <w:r>
        <w:rPr>
          <w:iCs/>
        </w:rPr>
        <w:t xml:space="preserve">№</w:t>
      </w:r>
      <w:r>
        <w:rPr>
          <w:rFonts w:eastAsia="Times New Roman"/>
          <w:iCs/>
        </w:rPr>
        <w:t xml:space="preserve"> </w:t>
      </w:r>
      <w:r>
        <w:rPr>
          <w:iCs/>
        </w:rPr>
        <w:t xml:space="preserve">32 - 24,72% против 43,88% в 2020 году;</w:t>
      </w:r>
      <w:r/>
    </w:p>
    <w:p>
      <w:pPr>
        <w:pStyle w:val="940"/>
        <w:ind w:firstLine="708"/>
        <w:jc w:val="both"/>
      </w:pPr>
      <w:r>
        <w:rPr>
          <w:iCs/>
        </w:rPr>
        <w:t xml:space="preserve">№</w:t>
      </w:r>
      <w:r>
        <w:rPr>
          <w:rFonts w:eastAsia="Times New Roman"/>
          <w:iCs/>
        </w:rPr>
        <w:t xml:space="preserve"> </w:t>
      </w:r>
      <w:r>
        <w:rPr>
          <w:iCs/>
        </w:rPr>
        <w:t xml:space="preserve">33 – 24,72% против 47,21% в 2020 году.</w:t>
      </w:r>
      <w:r/>
    </w:p>
    <w:p>
      <w:pPr>
        <w:pStyle w:val="940"/>
        <w:ind w:firstLine="708"/>
        <w:jc w:val="both"/>
        <w:rPr>
          <w:iCs/>
        </w:rPr>
      </w:pPr>
      <w:r>
        <w:rPr>
          <w:iCs/>
        </w:rPr>
        <w:t xml:space="preserve">Но здесь, как всегда, многое зависит от попавшегося варианта. Нельзя с</w:t>
      </w:r>
      <w:r>
        <w:rPr>
          <w:iCs/>
        </w:rPr>
        <w:t xml:space="preserve">казать, что задания были запредельно сложными, но ошибка в одном из уравнений (при невнимательном прочтении условия или игнорировании одного из указанных условий) почти везде влекла за собой следующее неверное уравнение, в итоге терялось минимум два балла.</w:t>
      </w:r>
      <w:r/>
    </w:p>
    <w:p>
      <w:pPr>
        <w:pStyle w:val="940"/>
        <w:ind w:firstLine="708"/>
        <w:jc w:val="both"/>
        <w:rPr>
          <w:iCs/>
        </w:rPr>
      </w:pPr>
      <w:r>
        <w:rPr>
          <w:iCs/>
        </w:rPr>
        <w:t xml:space="preserve">Результативность выполнения задания 34 (комплексная расчетная задача) составила 6,68% (в 2020 году – 13,72%); в группе с высоким уровнем подготовки результат, как и в прошлом году, превышает 50%.</w:t>
      </w:r>
      <w:r/>
    </w:p>
    <w:p>
      <w:pPr>
        <w:pStyle w:val="940"/>
        <w:ind w:firstLine="567"/>
        <w:jc w:val="both"/>
      </w:pPr>
      <w:r>
        <w:rPr>
          <w:rFonts w:eastAsia="Times New Roman"/>
          <w:iCs/>
        </w:rPr>
        <w:t xml:space="preserve">  </w:t>
      </w:r>
      <w:r>
        <w:rPr>
          <w:iCs/>
        </w:rPr>
        <w:t xml:space="preserve">Снизилась и результативность выполнения задания 35 (задача на вывод формулы органического вещества) с 30,32% в 2020 году до 17,87% в 2021 году. Практически все, кто приступает к решению этой задачи, знают алгоритм вывода формулы </w:t>
      </w:r>
      <w:r>
        <w:rPr>
          <w:iCs/>
        </w:rPr>
        <w:t xml:space="preserve">и чисто математически справляются с этим заданием. Но составить структурную формулу и записать уравнения, как и раньше, под силу не всем. Т.е. по сути, нужно рассматривать этот компонент уже не как вывод формулы, а как знание структур и химических свойств.</w:t>
      </w:r>
      <w:r/>
    </w:p>
    <w:p>
      <w:pPr>
        <w:pStyle w:val="940"/>
        <w:numPr>
          <w:ilvl w:val="2"/>
          <w:numId w:val="58"/>
        </w:numPr>
        <w:ind w:left="567"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ind w:firstLine="567"/>
        <w:jc w:val="both"/>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rPr>
          <w:rFonts w:eastAsia="Times New Roman"/>
          <w:bCs/>
          <w:iCs/>
        </w:rPr>
        <w:t xml:space="preserve">.</w:t>
      </w:r>
      <w:r/>
    </w:p>
    <w:p>
      <w:pPr>
        <w:pStyle w:val="940"/>
        <w:ind w:firstLine="567"/>
        <w:jc w:val="both"/>
        <w:rPr>
          <w:rFonts w:eastAsia="Times New Roman"/>
          <w:bCs/>
          <w:iCs/>
        </w:rPr>
      </w:pPr>
      <w:r>
        <w:rPr>
          <w:rFonts w:eastAsia="Times New Roman"/>
          <w:bCs/>
          <w:iCs/>
        </w:rPr>
        <w:t xml:space="preserve">Наиболее успешными в 2021 г оказались задания (на тему):</w:t>
      </w:r>
      <w:r/>
    </w:p>
    <w:p>
      <w:pPr>
        <w:pStyle w:val="940"/>
        <w:ind w:firstLine="567"/>
        <w:jc w:val="both"/>
        <w:rPr>
          <w:rFonts w:eastAsia="Times New Roman"/>
          <w:bCs/>
          <w:iCs/>
        </w:rPr>
      </w:pPr>
      <w:r>
        <w:rPr>
          <w:rFonts w:eastAsia="Times New Roman"/>
          <w:bCs/>
          <w:iCs/>
        </w:rPr>
        <w:t xml:space="preserve">- задания базового уровня сложности из разделов «Теоретические основы химии», «Неорганическая химия», «Органическая химия» и «Методы познания в химии»:</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1 – Строение электронных оболочек атомов элементов первых четырёх периодов: s-, p- и d-элементы. Электронная конфигурация атома.</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6 – свойства простых веществ–металлов и неметаллов, оксидов.</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21- Реакции окислительно-восстановительные</w:t>
      </w:r>
      <w:r/>
    </w:p>
    <w:p>
      <w:pPr>
        <w:pStyle w:val="940"/>
        <w:ind w:firstLine="567"/>
        <w:jc w:val="both"/>
        <w:rPr>
          <w:rFonts w:eastAsia="Times New Roman"/>
          <w:bCs/>
          <w:iCs/>
        </w:rPr>
      </w:pPr>
      <w:r>
        <w:rPr>
          <w:rFonts w:eastAsia="Times New Roman"/>
          <w:bCs/>
          <w:iCs/>
        </w:rPr>
        <w:t xml:space="preserve">- задания повышенного уровня сложности</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22 – Электролиз расплавов и растворов (солей, щелочей, кислот) (аналогично предыдущим годам)</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23 –  Гидролиз солей. Среда водных растворов</w:t>
      </w:r>
      <w:r/>
    </w:p>
    <w:p>
      <w:pPr>
        <w:pStyle w:val="940"/>
        <w:ind w:firstLine="567"/>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567"/>
        <w:jc w:val="both"/>
        <w:rPr>
          <w:rFonts w:eastAsia="Times New Roman"/>
          <w:bCs/>
          <w:iCs/>
        </w:rPr>
      </w:pPr>
      <w:r>
        <w:rPr>
          <w:rFonts w:eastAsia="Times New Roman"/>
          <w:bCs/>
          <w:iCs/>
        </w:rPr>
        <w:t xml:space="preserve">Задания, вызвавшие затруднения (на тему):</w:t>
      </w:r>
      <w:r/>
    </w:p>
    <w:p>
      <w:pPr>
        <w:pStyle w:val="940"/>
        <w:ind w:firstLine="567"/>
        <w:jc w:val="both"/>
        <w:rPr>
          <w:rFonts w:eastAsia="Times New Roman"/>
          <w:bCs/>
          <w:iCs/>
        </w:rPr>
      </w:pPr>
      <w:r>
        <w:rPr>
          <w:rFonts w:eastAsia="Times New Roman"/>
          <w:bCs/>
          <w:iCs/>
        </w:rPr>
        <w:t xml:space="preserve">- задания базового уровня сложности из различных разделов, с которыми справились менее 50% участников ЕГЭ:</w:t>
      </w:r>
      <w:r/>
    </w:p>
    <w:p>
      <w:pPr>
        <w:pStyle w:val="940"/>
        <w:ind w:firstLine="567"/>
        <w:jc w:val="both"/>
      </w:pPr>
      <w:r>
        <w:rPr>
          <w:rFonts w:eastAsia="Times New Roman"/>
          <w:bCs/>
          <w:iCs/>
        </w:rPr>
        <w:t xml:space="preserve">№ </w:t>
      </w:r>
      <w:r>
        <w:rPr>
          <w:rFonts w:eastAsia="Times New Roman"/>
          <w:bCs/>
          <w:iCs/>
        </w:rPr>
        <w:t xml:space="preserve">8 – Характерные химические свойства неорганических веществ.</w:t>
      </w:r>
      <w:r/>
    </w:p>
    <w:p>
      <w:pPr>
        <w:pStyle w:val="940"/>
        <w:ind w:firstLine="567"/>
        <w:jc w:val="both"/>
        <w:rPr>
          <w:rFonts w:eastAsia="Times New Roman"/>
          <w:bCs/>
          <w:iCs/>
        </w:rPr>
      </w:pPr>
      <w:r>
        <w:rPr>
          <w:rFonts w:eastAsia="Times New Roman"/>
          <w:bCs/>
          <w:iCs/>
        </w:rPr>
        <w:t xml:space="preserve">№ </w:t>
      </w:r>
      <w:r>
        <w:rPr>
          <w:rFonts w:eastAsia="Times New Roman"/>
          <w:bCs/>
          <w:iCs/>
        </w:rPr>
        <w:t xml:space="preserve">14 – Характе</w:t>
      </w:r>
      <w:r>
        <w:rPr>
          <w:rFonts w:eastAsia="Times New Roman"/>
          <w:bCs/>
          <w:iCs/>
        </w:rPr>
        <w:t xml:space="preserve">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w:t>
      </w:r>
      <w:r/>
    </w:p>
    <w:p>
      <w:pPr>
        <w:pStyle w:val="940"/>
        <w:ind w:firstLine="567"/>
        <w:jc w:val="both"/>
      </w:pPr>
      <w:r>
        <w:rPr>
          <w:rFonts w:eastAsia="Times New Roman"/>
          <w:bCs/>
          <w:iCs/>
        </w:rPr>
        <w:t xml:space="preserve">№ </w:t>
      </w:r>
      <w:r>
        <w:rPr>
          <w:rFonts w:eastAsia="Times New Roman"/>
          <w:bCs/>
          <w:iCs/>
        </w:rPr>
        <w:t xml:space="preserve">18 – Взаимосвязь углеводородов, кислородсодержащих и азотсодержащих органических соединений.</w:t>
      </w:r>
      <w:r/>
    </w:p>
    <w:p>
      <w:pPr>
        <w:pStyle w:val="940"/>
        <w:ind w:firstLine="567"/>
        <w:jc w:val="both"/>
      </w:pPr>
      <w:r>
        <w:rPr>
          <w:rFonts w:eastAsia="Times New Roman"/>
          <w:bCs/>
          <w:iCs/>
        </w:rPr>
        <w:t xml:space="preserve">№ </w:t>
      </w:r>
      <w:r>
        <w:rPr>
          <w:rFonts w:eastAsia="Times New Roman"/>
          <w:bCs/>
          <w:iCs/>
        </w:rPr>
        <w:t xml:space="preserve">19 - Классификация химических реакций в неорганической и органической химии.</w:t>
      </w:r>
      <w:r/>
    </w:p>
    <w:p>
      <w:pPr>
        <w:pStyle w:val="940"/>
        <w:ind w:firstLine="567"/>
        <w:jc w:val="both"/>
      </w:pPr>
      <w:r>
        <w:rPr>
          <w:rFonts w:eastAsia="Times New Roman"/>
          <w:bCs/>
          <w:iCs/>
        </w:rPr>
        <w:t xml:space="preserve">№ </w:t>
      </w:r>
      <w:r>
        <w:rPr>
          <w:rFonts w:eastAsia="Times New Roman"/>
          <w:bCs/>
          <w:iCs/>
        </w:rPr>
        <w:t xml:space="preserve">20 - Скорость реакции, её зависимость от различных факторов.</w:t>
      </w:r>
      <w:r/>
    </w:p>
    <w:p>
      <w:pPr>
        <w:pStyle w:val="940"/>
        <w:ind w:firstLine="567"/>
        <w:jc w:val="both"/>
        <w:rPr>
          <w:rFonts w:eastAsia="Times New Roman"/>
          <w:bCs/>
          <w:iCs/>
        </w:rPr>
      </w:pPr>
      <w:r>
        <w:rPr>
          <w:rFonts w:eastAsia="Times New Roman"/>
          <w:bCs/>
          <w:iCs/>
        </w:rPr>
        <w:t xml:space="preserve">- задания повышенного уровня сложности: </w:t>
      </w:r>
      <w:r/>
    </w:p>
    <w:p>
      <w:pPr>
        <w:pStyle w:val="940"/>
        <w:ind w:firstLine="567"/>
        <w:jc w:val="both"/>
      </w:pPr>
      <w:r>
        <w:rPr>
          <w:rFonts w:eastAsia="Times New Roman"/>
          <w:bCs/>
          <w:iCs/>
        </w:rPr>
        <w:t xml:space="preserve">№ </w:t>
      </w:r>
      <w:r>
        <w:rPr>
          <w:rFonts w:eastAsia="Times New Roman"/>
          <w:bCs/>
          <w:iCs/>
        </w:rPr>
        <w:t xml:space="preserve">16- Характерные химические свойства углеводородов.</w:t>
      </w:r>
      <w:r/>
    </w:p>
    <w:p>
      <w:pPr>
        <w:pStyle w:val="940"/>
        <w:ind w:firstLine="567"/>
        <w:jc w:val="both"/>
      </w:pPr>
      <w:r>
        <w:rPr>
          <w:rFonts w:eastAsia="Times New Roman"/>
          <w:bCs/>
          <w:iCs/>
        </w:rPr>
        <w:t xml:space="preserve">№ </w:t>
      </w:r>
      <w:r>
        <w:rPr>
          <w:rFonts w:eastAsia="Times New Roman"/>
          <w:bCs/>
          <w:iCs/>
        </w:rPr>
        <w:t xml:space="preserve">24 - Обратимые и необратимые химические реакции. Химическое равновесие. Смещение равновесия под действием различных факторов.</w:t>
      </w:r>
      <w:r/>
    </w:p>
    <w:p>
      <w:pPr>
        <w:pStyle w:val="940"/>
        <w:ind w:firstLine="567"/>
        <w:jc w:val="both"/>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567"/>
        <w:jc w:val="both"/>
        <w:rPr>
          <w:rFonts w:eastAsia="Times New Roman"/>
          <w:bCs/>
          <w:iCs/>
        </w:rPr>
      </w:pPr>
      <w:r>
        <w:rPr>
          <w:rFonts w:eastAsia="Times New Roman"/>
          <w:bCs/>
          <w:iCs/>
        </w:rPr>
        <w:t xml:space="preserve">В целом по теоретическим блокам можно сказать, что по блоку «Методы познания в химии» ситуация за последние годы приобретает некоторую стабильность. Призыв приблизить изучаемые</w:t>
      </w:r>
      <w:r>
        <w:rPr>
          <w:rFonts w:eastAsia="Times New Roman"/>
          <w:bCs/>
          <w:iCs/>
        </w:rPr>
        <w:t xml:space="preserve"> законы химии к реальной жизни был услышан педагогами, хотя вряд ли большей части учащихся придется сталкиваться с ректификационными колоннами и доменными печами, но, по крайней мере, будут иметь представление о разнице между питьевой содой и каустической.</w:t>
      </w:r>
      <w:r/>
    </w:p>
    <w:p>
      <w:pPr>
        <w:pStyle w:val="940"/>
        <w:ind w:firstLine="567"/>
        <w:jc w:val="both"/>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567"/>
        <w:jc w:val="both"/>
        <w:rPr>
          <w:rFonts w:eastAsia="Times New Roman"/>
          <w:bCs/>
          <w:iCs/>
        </w:rPr>
      </w:pPr>
      <w:r>
        <w:rPr>
          <w:rFonts w:eastAsia="Times New Roman"/>
          <w:bCs/>
          <w:iCs/>
        </w:rPr>
        <w:t xml:space="preserve">Несмотря на то, что результаты выполнения заданий блока «Неорганическая химия» показывают у</w:t>
      </w:r>
      <w:r>
        <w:rPr>
          <w:rFonts w:eastAsia="Times New Roman"/>
          <w:bCs/>
          <w:iCs/>
        </w:rPr>
        <w:t xml:space="preserve">довлетворительный уровень сформированности умений применять знания о химических свойствах простых веществ и различных классов неорганических соединений, а при выполнении заданий блока «Органическая химия» учащиеся успешно справились с заданиями, показывающ</w:t>
      </w:r>
      <w:r>
        <w:rPr>
          <w:rFonts w:eastAsia="Times New Roman"/>
          <w:bCs/>
          <w:iCs/>
        </w:rPr>
        <w:t xml:space="preserve">ими умения классифицировать органические вещества, показали удовлетворительное усвоение знаний о свойствах органических веществ, блоки «Неорганическая химия» и «Органическая химия», как всегда, требуют пристального внимания. Разделы «Взаимосвязь неорганиче</w:t>
      </w:r>
      <w:r>
        <w:rPr>
          <w:rFonts w:eastAsia="Times New Roman"/>
          <w:bCs/>
          <w:iCs/>
        </w:rPr>
        <w:t xml:space="preserve">ских веществ» и «Взаимосвязь углеводородов, кислородсодержащих и азотсодержащих органических соединений» усвоены хуже, чем в 2020 г. Возможно, следствие все то же: конкретные факты и свойства выучиваем, а логика построения взаимосвязанных линий не усвоена.</w:t>
      </w:r>
      <w:r/>
    </w:p>
    <w:p>
      <w:pPr>
        <w:pStyle w:val="940"/>
        <w:ind w:firstLine="567"/>
        <w:jc w:val="both"/>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567"/>
        <w:jc w:val="both"/>
        <w:rPr>
          <w:rFonts w:eastAsia="Times New Roman"/>
          <w:bCs/>
          <w:iCs/>
        </w:rPr>
      </w:pPr>
      <w:r>
        <w:rPr>
          <w:rFonts w:eastAsia="Times New Roman"/>
          <w:bCs/>
          <w:iCs/>
        </w:rPr>
        <w:t xml:space="preserve">Надо отметить, что настойчивые рекомендации в статистико-аналитических отчетах предыдущих лет учителям -предметникам обратить внимание на отдельные темы имеют свое </w:t>
      </w:r>
      <w:r>
        <w:rPr>
          <w:rFonts w:eastAsia="Times New Roman"/>
          <w:bCs/>
          <w:iCs/>
        </w:rPr>
        <w:t xml:space="preserve">действие (например, качественные реакции и в неорганической, и в органической химии). Но, к сожалению, удерживать на должном уровне внимание ко всем разделам сразу не удается. Вероятно, кроме нехватки учебного времени (для непрофильных классов), сказываетс</w:t>
      </w:r>
      <w:r>
        <w:rPr>
          <w:rFonts w:eastAsia="Times New Roman"/>
          <w:bCs/>
          <w:iCs/>
        </w:rPr>
        <w:t xml:space="preserve">я и зачастую запоздалый выбор химии в качестве дисциплины по выбору (в 11 классе). Разумеется, выучить весь курс химии за один учебный год весьма сложно, и не всем под силу. Одолеть на уровне 40-50 баллов вполне реально, а вот на 80-100 – почти фантастика.</w:t>
      </w:r>
      <w:r/>
    </w:p>
    <w:p>
      <w:pPr>
        <w:pStyle w:val="940"/>
        <w:contextualSpacing/>
        <w:jc w:val="center"/>
        <w:spacing w:before="0" w:after="0"/>
        <w:rPr>
          <w:rFonts w:eastAsia="Times New Roman"/>
          <w:b/>
          <w:bCs/>
          <w:iCs/>
          <w:sz w:val="28"/>
          <w:szCs w:val="28"/>
          <w:highlight w:val="red"/>
          <w:lang w:val="en-US"/>
        </w:rPr>
      </w:pPr>
      <w:r>
        <w:rPr>
          <w:rFonts w:eastAsia="Times New Roman"/>
          <w:b/>
          <w:bCs/>
          <w:iCs/>
          <w:sz w:val="28"/>
          <w:szCs w:val="28"/>
          <w:highlight w:val="red"/>
          <w:lang w:val="en-US"/>
        </w:rPr>
      </w:r>
      <w:r/>
    </w:p>
    <w:p>
      <w:pPr>
        <w:pStyle w:val="940"/>
        <w:contextualSpacing/>
        <w:jc w:val="center"/>
        <w:spacing w:before="0" w:after="0"/>
        <w:rPr>
          <w:rFonts w:eastAsia="Times New Roman"/>
          <w:b/>
          <w:bCs/>
          <w:iCs/>
          <w:sz w:val="28"/>
          <w:szCs w:val="28"/>
          <w:highlight w:val="red"/>
          <w:lang w:val="en-US"/>
        </w:rPr>
      </w:pPr>
      <w:r>
        <w:rPr>
          <w:rFonts w:eastAsia="Times New Roman"/>
          <w:b/>
          <w:bCs/>
          <w:iCs/>
          <w:sz w:val="28"/>
          <w:szCs w:val="28"/>
          <w:highlight w:val="red"/>
          <w:lang w:val="en-US"/>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t xml:space="preserve">Раздел 4. РЕКОМЕНДАЦИИ ДЛЯ СИСТЕМЫ ОБРАЗОВАНИЯ СУБЪЕКТА РОССИЙСКОЙ ФЕДЕРАЦИИ</w:t>
      </w:r>
      <w:r/>
    </w:p>
    <w:p>
      <w:pPr>
        <w:pStyle w:val="940"/>
        <w:numPr>
          <w:ilvl w:val="1"/>
          <w:numId w:val="25"/>
        </w:numPr>
        <w:jc w:val="both"/>
        <w:keepLines/>
        <w:keepNext/>
        <w:spacing w:before="200" w:after="0"/>
        <w:rPr>
          <w:rFonts w:eastAsia="SimSun;宋体"/>
          <w:b/>
          <w:bCs/>
          <w:sz w:val="28"/>
          <w:lang w:val="en-US"/>
        </w:rPr>
      </w:pP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numPr>
          <w:ilvl w:val="2"/>
          <w:numId w:val="25"/>
        </w:numPr>
        <w:ind w:left="567" w:firstLine="0"/>
        <w:keepLines/>
        <w:keepNext/>
        <w:spacing w:before="200" w:after="0"/>
        <w:rPr>
          <w:rFonts w:eastAsia="SimSun;宋体"/>
          <w:sz w:val="28"/>
          <w:lang w:val="en-US"/>
        </w:rPr>
      </w:pPr>
      <w:r>
        <w:rPr>
          <w:rFonts w:eastAsia="SimSun;宋体"/>
          <w:sz w:val="28"/>
          <w:lang w:val="en-US"/>
        </w:rPr>
        <w:t xml:space="preserve">по совершенствованию преподавания учебного предмета всем обучающимся</w:t>
      </w:r>
      <w:r/>
    </w:p>
    <w:p>
      <w:pPr>
        <w:pStyle w:val="940"/>
        <w:rPr>
          <w:rFonts w:eastAsia="SimSun;宋体"/>
          <w:sz w:val="28"/>
          <w:lang w:val="en-US"/>
        </w:rPr>
      </w:pPr>
      <w:r>
        <w:rPr>
          <w:rFonts w:eastAsia="SimSun;宋体"/>
          <w:sz w:val="28"/>
          <w:lang w:val="en-US"/>
        </w:rPr>
      </w:r>
      <w:r/>
    </w:p>
    <w:p>
      <w:pPr>
        <w:pStyle w:val="940"/>
        <w:ind w:firstLine="567"/>
        <w:jc w:val="both"/>
      </w:pPr>
      <w:r>
        <w:t xml:space="preserve">Не стоит забывать, что целью обучения является не ЕГЭ, а воспитание сознательного индивидуума, знающего и применяющего опыт своих предшественников и способного трансформировать полученную информацию для дальнейшего развития. Поэтому с п</w:t>
      </w:r>
      <w:r>
        <w:t xml:space="preserve">ервого года изучения химии необходимо осуществлять систематическую работу по овладению обучающимися базовыми понятиями химии, химическим языком, по осознанному усвоению элементов знаний и умений, а также применению полученных знаний в конкретных ситуациях.</w:t>
      </w:r>
      <w:r/>
    </w:p>
    <w:p>
      <w:pPr>
        <w:pStyle w:val="940"/>
        <w:ind w:firstLine="567"/>
        <w:jc w:val="both"/>
      </w:pPr>
      <w:r>
        <w:t xml:space="preserve">В связи с нарастающей тенденцией у учащихся быстрого получения ответов на вопросы с использованием сомнительных сайтов,</w:t>
      </w:r>
      <w:r>
        <w:t xml:space="preserve"> не всегда представляющих достоверную и выверенную информацию, вплоть до ошибочных формул, а также все большего использования компьютерной техники для выполнения письменных работ, ведущего к потери химической грамотности, вновь рекомендуем вернуться к прак</w:t>
      </w:r>
      <w:r>
        <w:t xml:space="preserve">тике химических диктантов (как бы дико это не казалось на уровне выпускных классов, но неумение правильно записать формулу или небрежность записи, незнание формулы указанного вещества ведут к неверному решению или невозможности оценить записанное решение).</w:t>
      </w:r>
      <w:r/>
    </w:p>
    <w:p>
      <w:pPr>
        <w:pStyle w:val="940"/>
        <w:ind w:firstLine="567"/>
        <w:jc w:val="both"/>
      </w:pPr>
      <w:r>
        <w:t xml:space="preserve">Следует предлагать учащимся систематически решать типовые задачи, используя различные подходы к решению и обращая внимание на прав</w:t>
      </w:r>
      <w:r>
        <w:t xml:space="preserve">ильность оформления собственных мыслей, логичность последовательности изложения, необходимость обозначения этапов решения. Кроме того, при наличии уже сформированных навыков выполнения заданий, на заключительных этапах подготовки к экзамену, необходим хрон</w:t>
      </w:r>
      <w:r>
        <w:t xml:space="preserve">ометраж, который позволит выявить возможные потери времени на выполнение «лишней работы» (написание ионных уравнений или расписывание электронного баланса там, где это не требуется, переписывание с черновиков ненужных вычислений и т.п) и избежать их далее.</w:t>
      </w:r>
      <w:r/>
    </w:p>
    <w:p>
      <w:pPr>
        <w:pStyle w:val="940"/>
        <w:ind w:firstLine="567"/>
        <w:jc w:val="both"/>
      </w:pPr>
      <w:r>
        <w:t xml:space="preserve">Необходима систематическая работа (в т.ч. организация самостоятельной деятельности обучающ</w:t>
      </w:r>
      <w:r>
        <w:t xml:space="preserve">ихся) по развитию надпредметных умений, таких как поиск и обработка информации, представленной в разной форме (текст, схема, таблица); сравнение и классификация; наблюдение и фиксация произошедших изменений; установление взаимосвязи; составление алгоритма.</w:t>
      </w:r>
      <w:r/>
    </w:p>
    <w:p>
      <w:pPr>
        <w:pStyle w:val="940"/>
        <w:ind w:firstLine="567"/>
        <w:jc w:val="both"/>
      </w:pPr>
      <w:r>
        <w:t xml:space="preserve">При использовании справочных материалов (ПСХЭ, таблица растворимости, электрохимический ряд напряжения) обращать внимание учащихся на возможности применения содержащейся в них информации при выполнении различных заданий.</w:t>
      </w:r>
      <w:r/>
    </w:p>
    <w:p>
      <w:pPr>
        <w:pStyle w:val="940"/>
        <w:numPr>
          <w:ilvl w:val="2"/>
          <w:numId w:val="25"/>
        </w:numPr>
        <w:rPr>
          <w:rFonts w:eastAsia="SimSun;宋体"/>
          <w:sz w:val="28"/>
          <w:lang w:val="en-US"/>
        </w:rPr>
      </w:pP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rPr>
          <w:rFonts w:eastAsia="SimSun;宋体"/>
        </w:rPr>
      </w:pPr>
      <w:r>
        <w:rPr>
          <w:rFonts w:eastAsia="SimSun;宋体"/>
        </w:rPr>
      </w:r>
      <w:r/>
    </w:p>
    <w:p>
      <w:pPr>
        <w:pStyle w:val="940"/>
        <w:ind w:firstLine="708"/>
        <w:jc w:val="both"/>
        <w:rPr>
          <w:rFonts w:eastAsia="SimSun;宋体"/>
          <w:lang w:val="en-US"/>
        </w:rPr>
      </w:pPr>
      <w:r>
        <w:rPr>
          <w:rFonts w:eastAsia="SimSun;宋体"/>
          <w:lang w:val="en-US"/>
        </w:rPr>
        <w:t xml:space="preserve">Анализ результатов экзамена позволяет выделить 3 группы учащихся по уровню подготовки: первая группа с низ</w:t>
      </w:r>
      <w:r>
        <w:rPr>
          <w:rFonts w:eastAsia="SimSun;宋体"/>
          <w:lang w:val="en-US"/>
        </w:rPr>
        <w:t xml:space="preserve">ким уровнем подготовки по предмету, которая имеет риск не преодолеть минимальный порог баллов, вторая группа – с достаточным уровнем подготовки и третья группа с повышенным уровнем подготовки, которая может претендовать на получение 80-100 тестовых баллов.</w:t>
      </w:r>
      <w:r/>
    </w:p>
    <w:p>
      <w:pPr>
        <w:pStyle w:val="940"/>
        <w:ind w:firstLine="708"/>
        <w:jc w:val="both"/>
        <w:rPr>
          <w:rFonts w:eastAsia="SimSun;宋体"/>
          <w:lang w:val="en-US"/>
        </w:rPr>
      </w:pPr>
      <w:r>
        <w:rPr>
          <w:rFonts w:eastAsia="SimSun;宋体"/>
          <w:lang w:val="en-US"/>
        </w:rPr>
        <w:t xml:space="preserve">Особую озабоченность вызывают учащиеся из первой группы, имеющие недостаточный уровень знаний по предмету и, как правило, недостато</w:t>
      </w:r>
      <w:r>
        <w:rPr>
          <w:rFonts w:eastAsia="SimSun;宋体"/>
          <w:lang w:val="en-US"/>
        </w:rPr>
        <w:t xml:space="preserve">чную мотивацию к его изучению. Поэтому для всех групп учащихся, а в первую очередь для учащихся с низким уровнем подготовки, необходимо обеспечить информирование учащихся о структуре и содержании КИМ по химии, технологии проведения экзамена ещё в 10-м клас</w:t>
      </w:r>
      <w:r>
        <w:rPr>
          <w:rFonts w:eastAsia="SimSun;宋体"/>
          <w:lang w:val="en-US"/>
        </w:rPr>
        <w:t xml:space="preserve">се. Это даст возможность учащимся   адекватно оценить свой уровень подготовки по предмету и ответственно сделать свой выбор химии, как предмета по выбору, повысить их мотивацию к изучению курса  органической химии в 10-м классе и курса общей химии в 11-м. </w:t>
      </w:r>
      <w:r/>
    </w:p>
    <w:p>
      <w:pPr>
        <w:pStyle w:val="940"/>
        <w:ind w:firstLine="708"/>
        <w:jc w:val="both"/>
        <w:rPr>
          <w:rFonts w:eastAsia="SimSun;宋体"/>
          <w:lang w:val="en-US"/>
        </w:rPr>
      </w:pPr>
      <w:r>
        <w:rPr>
          <w:rFonts w:eastAsia="SimSun;宋体"/>
          <w:lang w:val="en-US"/>
        </w:rPr>
        <w:t xml:space="preserve">При организации работы с учащимися первой группы необходима </w:t>
      </w:r>
      <w:r>
        <w:rPr>
          <w:rFonts w:eastAsia="SimSun;宋体"/>
          <w:lang w:val="en-US"/>
        </w:rPr>
        <w:t xml:space="preserve">детальная диагностика предметной подготовки с целью построения индивидуальной образовательной траектории. На первом этапе обучения рекомендуется многократное выполнение тренировочных заданий по отдельным элементам содержания.  И только после формирования у</w:t>
      </w:r>
      <w:r>
        <w:rPr>
          <w:rFonts w:eastAsia="SimSun;宋体"/>
          <w:lang w:val="en-US"/>
        </w:rPr>
        <w:t xml:space="preserve">стойчивого навыка выполнения подобных заданий можно   использовать задания формата ЕГЭ. Учащиеся этой группы также часто имеют пробелы в математической подготовке, что не позволяет им успешно решать расчетные задачи даже базового уровня. В данном случае не</w:t>
      </w:r>
      <w:r>
        <w:rPr>
          <w:rFonts w:eastAsia="SimSun;宋体"/>
          <w:lang w:val="en-US"/>
        </w:rPr>
        <w:t xml:space="preserve">обходима помощь учителей математики. Можно рекомендовать использовать опыт проведения интегрированных уроков совместно с учителем математики по темам «Пропорция», «Проценты» (математика) и «Решение расчетных задач по уравнению химической реакции» (химия). </w:t>
      </w:r>
      <w:r/>
    </w:p>
    <w:p>
      <w:pPr>
        <w:pStyle w:val="940"/>
        <w:ind w:firstLine="708"/>
        <w:jc w:val="both"/>
        <w:rPr>
          <w:rFonts w:eastAsia="SimSun;宋体"/>
          <w:lang w:val="en-US"/>
        </w:rPr>
      </w:pPr>
      <w:r>
        <w:rPr>
          <w:rFonts w:eastAsia="SimSun;宋体"/>
          <w:lang w:val="en-US"/>
        </w:rPr>
        <w:t xml:space="preserve">Особое внимание для учащихся всех групп подготовки необходимо уделить изучению номенклатуры неорганических и органических веществ, обращая внимание на тривиальную номенклатуру, незнание которой часто является причиной  невыполнения заданий.</w:t>
      </w:r>
      <w:r/>
    </w:p>
    <w:p>
      <w:pPr>
        <w:pStyle w:val="940"/>
        <w:ind w:firstLine="708"/>
        <w:jc w:val="both"/>
        <w:rPr>
          <w:rFonts w:eastAsia="SimSun;宋体"/>
          <w:lang w:val="en-US"/>
        </w:rPr>
      </w:pPr>
      <w:r>
        <w:rPr>
          <w:rFonts w:eastAsia="SimSun;宋体"/>
          <w:lang w:val="en-US"/>
        </w:rPr>
        <w:t xml:space="preserve">При выполнении заданий на первоначальном этапе можно рекомендовать проговаривание вслух мыслительных операций, необходимых для выполнения данного задания. Это позволяет понять те затруднения, с которыми сталкивается обучающийся.</w:t>
      </w:r>
      <w:r/>
    </w:p>
    <w:p>
      <w:pPr>
        <w:pStyle w:val="940"/>
        <w:ind w:firstLine="708"/>
        <w:jc w:val="both"/>
        <w:rPr>
          <w:rFonts w:eastAsia="SimSun;宋体"/>
          <w:lang w:val="en-US"/>
        </w:rPr>
      </w:pPr>
      <w:r>
        <w:rPr>
          <w:rFonts w:eastAsia="SimSun;宋体"/>
          <w:lang w:val="en-US"/>
        </w:rPr>
        <w:t xml:space="preserve">Д</w:t>
      </w:r>
      <w:r>
        <w:rPr>
          <w:rFonts w:eastAsia="SimSun;宋体"/>
          <w:lang w:val="en-US"/>
        </w:rPr>
        <w:t xml:space="preserve">аже при выполнении  тестовых заданий, целесообразно  прописывать необходимые уравнения реакций. Это позволит лучше усвоит химические свойства веществ разных классов, особые свойства веществ, запомнить уравнения реакций, требующих механического запоминания.</w:t>
      </w:r>
      <w:r/>
    </w:p>
    <w:p>
      <w:pPr>
        <w:pStyle w:val="940"/>
        <w:ind w:firstLine="708"/>
        <w:jc w:val="both"/>
        <w:rPr>
          <w:rFonts w:eastAsia="SimSun;宋体"/>
          <w:lang w:val="en-US"/>
        </w:rPr>
      </w:pPr>
      <w:r>
        <w:rPr>
          <w:rFonts w:eastAsia="SimSun;宋体"/>
          <w:lang w:val="en-US"/>
        </w:rPr>
        <w:t xml:space="preserve">Одной из причин невыполнения заданий является недостаточная читательская </w:t>
      </w:r>
      <w:r>
        <w:rPr>
          <w:rFonts w:eastAsia="SimSun;宋体"/>
          <w:lang w:val="en-US"/>
        </w:rPr>
        <w:t xml:space="preserve">грамотность, под которой в данном случае понимается  чтение с целью получения и использования информации, представленной в различной форме. Поэтому необходимо обращать внимание на тщательный анализ условия задания, выделение ключевых слов и словосочетаний.</w:t>
      </w:r>
      <w:r/>
    </w:p>
    <w:p>
      <w:pPr>
        <w:pStyle w:val="940"/>
        <w:ind w:firstLine="708"/>
        <w:jc w:val="both"/>
        <w:rPr>
          <w:rFonts w:eastAsia="SimSun;宋体"/>
          <w:lang w:val="en-US"/>
        </w:rPr>
      </w:pPr>
      <w:r>
        <w:rPr>
          <w:rFonts w:eastAsia="SimSun;宋体"/>
          <w:lang w:val="en-US"/>
        </w:rPr>
        <w:t xml:space="preserve">При изучении органической химии, ос</w:t>
      </w:r>
      <w:r>
        <w:rPr>
          <w:rFonts w:eastAsia="SimSun;宋体"/>
          <w:lang w:val="en-US"/>
        </w:rPr>
        <w:t xml:space="preserve">обенно на первоначальном этапе знакомства со структурными формулами, практиковать задания с моделями молекул, составляя модели органических веществ, их изомеров и гомологов. Это способствует лучшему пониманию пространственного строения органических веществ</w:t>
      </w:r>
      <w:r>
        <w:rPr>
          <w:rFonts w:eastAsia="SimSun;宋体"/>
          <w:lang w:val="en-US"/>
        </w:rPr>
        <w:t xml:space="preserve">, возможности или невозможности существования геометрической изомерии. Запись уравнений реакций в органической химии (кроме реакций горения) должна вестись с помощью структурных формул, при этом необходимо обращать   внимание на правильность их написания. </w:t>
      </w:r>
      <w:r/>
    </w:p>
    <w:p>
      <w:pPr>
        <w:pStyle w:val="940"/>
        <w:ind w:firstLine="708"/>
        <w:jc w:val="both"/>
        <w:rPr>
          <w:rFonts w:eastAsia="SimSun;宋体"/>
          <w:lang w:val="en-US"/>
        </w:rPr>
      </w:pPr>
      <w:r>
        <w:rPr>
          <w:rFonts w:eastAsia="SimSun;宋体"/>
          <w:lang w:val="en-US"/>
        </w:rPr>
        <w:t xml:space="preserve">В целом при обоб</w:t>
      </w:r>
      <w:r>
        <w:rPr>
          <w:rFonts w:eastAsia="SimSun;宋体"/>
          <w:lang w:val="en-US"/>
        </w:rPr>
        <w:t xml:space="preserve">щении и систематизации знаний с учащимися с низким уровнем подготовки необходима целенаправленная деятельность по выявлению и корректировке  пробелов в их знаниях, повышению мотивации к изучению химии, формированию навыков самоорганизации и саморегуляции. </w:t>
      </w:r>
      <w:r/>
    </w:p>
    <w:p>
      <w:pPr>
        <w:pStyle w:val="940"/>
        <w:ind w:firstLine="708"/>
        <w:jc w:val="both"/>
        <w:rPr>
          <w:rFonts w:eastAsia="SimSun;宋体"/>
          <w:lang w:val="en-US"/>
        </w:rPr>
      </w:pPr>
      <w:r>
        <w:rPr>
          <w:rFonts w:eastAsia="SimSun;宋体"/>
          <w:lang w:val="en-US"/>
        </w:rPr>
        <w:t xml:space="preserve">Для успешного формирования важнейших теоретических понятий в учебном процессе целесообразно использовать различные по форме </w:t>
      </w:r>
      <w:r>
        <w:rPr>
          <w:rFonts w:eastAsia="SimSun;宋体"/>
          <w:lang w:val="en-US"/>
        </w:rPr>
        <w:t xml:space="preserve">упражнения и задания на применение этих понятий в разных ситуациях. Необходимо также добиваться того, чтобы учащиеся понимали, что успешное выполнение любого задания предполагает тщательный анализ его условия и выбор адекватной последовательности действий.</w:t>
      </w:r>
      <w:r/>
    </w:p>
    <w:p>
      <w:pPr>
        <w:pStyle w:val="940"/>
        <w:ind w:firstLine="708"/>
        <w:jc w:val="both"/>
        <w:rPr>
          <w:rFonts w:eastAsia="SimSun;宋体"/>
          <w:lang w:val="en-US"/>
        </w:rPr>
      </w:pPr>
      <w:r>
        <w:rPr>
          <w:rFonts w:eastAsia="SimSun;宋体"/>
          <w:lang w:val="en-US"/>
        </w:rPr>
        <w:t xml:space="preserve">Одним из факторов, который влияет на результат выпо</w:t>
      </w:r>
      <w:r>
        <w:rPr>
          <w:rFonts w:eastAsia="SimSun;宋体"/>
          <w:lang w:val="en-US"/>
        </w:rPr>
        <w:t xml:space="preserve">лнения ЕГЭ, является неумение учащихся правильно распределить время при выполнении работы. Особенно это касается учащихся с высоким уровнем подготовки, которые часто стараются выполнить первую часть работы за минимальное время, с тем, что бы оставшееся вре</w:t>
      </w:r>
      <w:r>
        <w:rPr>
          <w:rFonts w:eastAsia="SimSun;宋体"/>
          <w:lang w:val="en-US"/>
        </w:rPr>
        <w:t xml:space="preserve">мя уделить выполнению заданий с развернутым ответом. Следствием этого часто является невнимательное прочтение условия задания, инструкции перед заданием, что приводит к потери баллов. Поэтому рекомендуется проводить тренировочные ЕГЭ на базе образовательны</w:t>
      </w:r>
      <w:r>
        <w:rPr>
          <w:rFonts w:eastAsia="SimSun;宋体"/>
          <w:lang w:val="en-US"/>
        </w:rPr>
        <w:t xml:space="preserve">х учреждений с последующим анализом ошибок, допущенных учащимися. Это позволит не только оценить уровень подготовки и внести в неё коррективы, но и даст возможность научиться рационально распределять время, отведенное на выполнение экзаменационной работы. </w:t>
      </w:r>
      <w:r/>
    </w:p>
    <w:p>
      <w:pPr>
        <w:pStyle w:val="940"/>
        <w:ind w:firstLine="708"/>
        <w:jc w:val="both"/>
        <w:rPr>
          <w:rFonts w:eastAsia="SimSun;宋体"/>
          <w:lang w:val="en-US"/>
        </w:rPr>
      </w:pPr>
      <w:r>
        <w:rPr>
          <w:rFonts w:eastAsia="SimSun;宋体"/>
          <w:lang w:val="en-US"/>
        </w:rPr>
        <w:t xml:space="preserve">Одним из самых сложных, даже для учащихся с высоким уровнем подготовки является задание 34. Считаем целесообразным рекомендовать учащимся даже с высоким уровнем подготовки приступать к е</w:t>
      </w:r>
      <w:r>
        <w:rPr>
          <w:rFonts w:eastAsia="SimSun;宋体"/>
          <w:lang w:val="en-US"/>
        </w:rPr>
        <w:t xml:space="preserve">го решению только при полном выполнении всех остальных заданий.  Успешное выполнение этого задания возможно только при условии решения большого количества задач разных типов и уровня сложности, в том числе и олимпиадного уровня в течение всего курса химии.</w:t>
      </w:r>
      <w:r/>
    </w:p>
    <w:p>
      <w:pPr>
        <w:pStyle w:val="940"/>
        <w:numPr>
          <w:ilvl w:val="1"/>
          <w:numId w:val="25"/>
        </w:numPr>
        <w:ind w:left="0" w:firstLine="0"/>
        <w:jc w:val="both"/>
        <w:keepLines/>
        <w:keepNext/>
        <w:spacing w:before="200" w:after="0"/>
        <w:rPr>
          <w:rFonts w:eastAsia="SimSun;宋体"/>
          <w:b/>
          <w:bCs/>
          <w:sz w:val="28"/>
          <w:lang w:val="en-US"/>
        </w:rPr>
      </w:pP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ind w:firstLine="708"/>
        <w:jc w:val="both"/>
        <w:rPr>
          <w:rFonts w:eastAsia="Times New Roman"/>
        </w:rPr>
      </w:pPr>
      <w:r>
        <w:rPr>
          <w:rFonts w:eastAsia="Times New Roman"/>
        </w:rPr>
      </w:r>
      <w:r/>
    </w:p>
    <w:p>
      <w:pPr>
        <w:pStyle w:val="940"/>
        <w:ind w:firstLine="708"/>
        <w:jc w:val="both"/>
      </w:pPr>
      <w:r>
        <w:rPr>
          <w:rFonts w:eastAsia="Times New Roman"/>
        </w:rPr>
        <w:t xml:space="preserve">В целях совершенствования процесса обучения в основной и старшей школе и повышения качества подготовки по химии выпускников старшей школы РЕКОМЕНДУЕТСЯ:</w:t>
      </w:r>
      <w:r/>
    </w:p>
    <w:p>
      <w:pPr>
        <w:pStyle w:val="1400"/>
        <w:numPr>
          <w:ilvl w:val="0"/>
          <w:numId w:val="33"/>
        </w:numPr>
        <w:contextualSpacing/>
        <w:ind w:left="0" w:right="0" w:firstLine="0"/>
        <w:jc w:val="both"/>
        <w:spacing w:before="0" w:after="0" w:line="240" w:lineRule="auto"/>
        <w:tabs>
          <w:tab w:val="clear" w:pos="708" w:leader="none"/>
          <w:tab w:val="left" w:pos="1005" w:leader="none"/>
        </w:tabs>
        <w:rPr>
          <w:rFonts w:ascii="Times New Roman" w:hAnsi="Times New Roman" w:cs="Times New Roman"/>
          <w:sz w:val="24"/>
          <w:szCs w:val="24"/>
        </w:rPr>
      </w:pPr>
      <w:r>
        <w:rPr>
          <w:rFonts w:ascii="Times New Roman" w:hAnsi="Times New Roman" w:cs="Times New Roman"/>
          <w:sz w:val="24"/>
          <w:szCs w:val="24"/>
        </w:rPr>
        <w:t xml:space="preserve">Обеспечи</w:t>
      </w:r>
      <w:r>
        <w:rPr>
          <w:rFonts w:ascii="Times New Roman" w:hAnsi="Times New Roman" w:cs="Times New Roman"/>
          <w:sz w:val="24"/>
          <w:szCs w:val="24"/>
        </w:rPr>
        <w:t xml:space="preserve">ть информирование учащихся о структуре и содержании КИМ по химии, технологии проведения экзамена ещё в 10-м классе, с тем, чтобы учащиеся адекватно оценили свой уровень подготовки по предмету и ответственно сделали свой выбор химии, как предмета по выбору.</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sz w:val="24"/>
          <w:szCs w:val="24"/>
        </w:rPr>
        <w:t xml:space="preserve">Обеспечить информирование учащихся о  правилах заполнения бланков, критериях оценивания заданий ЕГЭ, особенно части 2. Проводить тренировочные ЕГЭ на базе образовательных </w:t>
      </w:r>
      <w:r>
        <w:rPr>
          <w:rFonts w:ascii="Times New Roman" w:hAnsi="Times New Roman" w:cs="Times New Roman"/>
          <w:sz w:val="24"/>
          <w:szCs w:val="24"/>
        </w:rPr>
        <w:t xml:space="preserve">учреждений, с последующим анализом ошибок, допущенных учащимися. Это позволить не только оценить уровень подготовки и внести в неё коррективы, но и дает возможность научиться рационально, распределять время, отведенное на выполнение экзаменационной работы.</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sz w:val="24"/>
          <w:szCs w:val="24"/>
        </w:rPr>
        <w:t xml:space="preserve">Школьным методическим объединениям проанализировать результаты ГИА 11-х классов по химии 2021 года, на основе этого анализа определить меры по улучшению качества подготовки обучающихся по химии в 8-11 классах.</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sz w:val="24"/>
          <w:szCs w:val="24"/>
        </w:rPr>
        <w:t xml:space="preserve">Предусмотреть возможность проведения занятий по подготовке к ЕГЭ за счет внеурочных занятий, особенно это актуально для школ с базовым изучением химии (1-2 часа в неделю).</w:t>
      </w:r>
      <w:r/>
    </w:p>
    <w:p>
      <w:pPr>
        <w:pStyle w:val="1400"/>
        <w:numPr>
          <w:ilvl w:val="0"/>
          <w:numId w:val="33"/>
        </w:numPr>
        <w:contextualSpacing/>
        <w:ind w:left="0" w:right="0" w:firstLine="0"/>
        <w:jc w:val="both"/>
        <w:spacing w:before="0" w:after="0" w:line="240" w:lineRule="auto"/>
        <w:tabs>
          <w:tab w:val="clear" w:pos="708" w:leader="none"/>
          <w:tab w:val="left" w:pos="1005" w:leader="none"/>
        </w:tabs>
        <w:rPr>
          <w:rFonts w:ascii="Times New Roman" w:hAnsi="Times New Roman" w:cs="Times New Roman"/>
          <w:sz w:val="24"/>
          <w:szCs w:val="24"/>
        </w:rPr>
      </w:pPr>
      <w:r>
        <w:rPr>
          <w:rFonts w:ascii="Times New Roman" w:hAnsi="Times New Roman" w:cs="Times New Roman"/>
          <w:sz w:val="24"/>
          <w:szCs w:val="24"/>
        </w:rPr>
        <w:t xml:space="preserve">Способствовать повышению читательской грамотности уч</w:t>
      </w:r>
      <w:r>
        <w:rPr>
          <w:rFonts w:ascii="Times New Roman" w:hAnsi="Times New Roman" w:cs="Times New Roman"/>
          <w:sz w:val="24"/>
          <w:szCs w:val="24"/>
        </w:rPr>
        <w:t xml:space="preserve">ащихся, для этого увеличить долю контекстных заданий на уроках.  При разборе этих заданий обращать внимание на выделение ключевых слов и словосочетаний.  При выполнении таких заданий следует отрабатывать умение находить нужную информацию, анализировать её.</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Обращать внимание на формирование умения реш</w:t>
      </w:r>
      <w:r>
        <w:rPr>
          <w:rFonts w:ascii="Times New Roman" w:hAnsi="Times New Roman" w:cs="Times New Roman"/>
          <w:sz w:val="24"/>
          <w:szCs w:val="24"/>
        </w:rPr>
        <w:t xml:space="preserve">ать расчетные задачи. Для учащихся с недостаточным уровнем математической подготовки можно использовать способ решения через пропорцию. Хотя для решения комбинированных расчетных задач, конечно наиболее оптимально   решение задач через мольные соотношения.</w:t>
      </w:r>
      <w:r/>
    </w:p>
    <w:p>
      <w:pPr>
        <w:pStyle w:val="1400"/>
        <w:numPr>
          <w:ilvl w:val="0"/>
          <w:numId w:val="33"/>
        </w:numPr>
        <w:contextualSpacing/>
        <w:ind w:left="0" w:right="0" w:firstLine="0"/>
        <w:jc w:val="both"/>
        <w:spacing w:before="0" w:after="0" w:line="240" w:lineRule="auto"/>
        <w:tabs>
          <w:tab w:val="clear" w:pos="708" w:leader="none"/>
          <w:tab w:val="left" w:pos="1005" w:leader="none"/>
        </w:tabs>
        <w:rPr>
          <w:rFonts w:ascii="Times New Roman" w:hAnsi="Times New Roman" w:cs="Times New Roman"/>
          <w:sz w:val="24"/>
          <w:szCs w:val="24"/>
        </w:rPr>
      </w:pPr>
      <w:r>
        <w:rPr>
          <w:rFonts w:ascii="Times New Roman" w:hAnsi="Times New Roman" w:cs="Times New Roman"/>
          <w:sz w:val="24"/>
          <w:szCs w:val="24"/>
        </w:rPr>
        <w:t xml:space="preserve">При изучении номенклатуры   органических и неорганических вещество обращать внимание учащихся на тривиальную номенклатуру, которая широко используется в КИМ.</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sz w:val="24"/>
          <w:szCs w:val="24"/>
        </w:rPr>
        <w:t xml:space="preserve">При выполнении большинства тестовых заданий целесообразно вести запись химических формул и уравнений реакций</w:t>
      </w:r>
      <w:r>
        <w:rPr>
          <w:rFonts w:ascii="Times New Roman" w:hAnsi="Times New Roman" w:cs="Times New Roman"/>
        </w:rPr>
        <w:t xml:space="preserve">.</w:t>
      </w:r>
      <w:r/>
    </w:p>
    <w:p>
      <w:pPr>
        <w:pStyle w:val="1400"/>
        <w:numPr>
          <w:ilvl w:val="0"/>
          <w:numId w:val="33"/>
        </w:numPr>
        <w:contextualSpacing/>
        <w:ind w:left="0" w:right="0" w:firstLine="0"/>
        <w:jc w:val="both"/>
        <w:spacing w:before="0" w:after="0" w:line="240" w:lineRule="auto"/>
        <w:tabs>
          <w:tab w:val="clear" w:pos="708" w:leader="none"/>
          <w:tab w:val="left" w:pos="1005" w:leader="none"/>
        </w:tabs>
      </w:pP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При изучении органической химии необходимо использовать модели молекул, использовать структурные формулы веществ, обращая внимание на правильность их написания.</w:t>
      </w:r>
      <w:r/>
    </w:p>
    <w:p>
      <w:pPr>
        <w:pStyle w:val="1400"/>
        <w:contextualSpacing/>
        <w:ind w:left="0" w:right="0" w:firstLine="0"/>
        <w:jc w:val="both"/>
        <w:spacing w:before="0" w:after="0" w:line="240" w:lineRule="auto"/>
        <w:tabs>
          <w:tab w:val="clear" w:pos="708" w:leader="none"/>
          <w:tab w:val="left" w:pos="1005" w:leader="none"/>
        </w:tabs>
        <w:rPr>
          <w:rFonts w:ascii="Times New Roman" w:hAnsi="Times New Roman" w:cs="Times New Roman"/>
          <w:sz w:val="24"/>
          <w:szCs w:val="24"/>
        </w:rPr>
      </w:pPr>
      <w:r>
        <w:rPr>
          <w:rFonts w:ascii="Times New Roman" w:hAnsi="Times New Roman" w:cs="Times New Roman"/>
          <w:sz w:val="24"/>
          <w:szCs w:val="24"/>
        </w:rPr>
      </w:r>
      <w:r/>
    </w:p>
    <w:p>
      <w:pPr>
        <w:pStyle w:val="940"/>
        <w:numPr>
          <w:ilvl w:val="1"/>
          <w:numId w:val="25"/>
        </w:numPr>
        <w:ind w:left="0" w:firstLine="0"/>
        <w:jc w:val="both"/>
        <w:rPr>
          <w:rFonts w:eastAsia="SimSun;宋体"/>
          <w:b/>
          <w:bCs/>
          <w:sz w:val="28"/>
          <w:lang w:val="en-US"/>
        </w:rPr>
      </w:pP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w:t>
      </w:r>
      <w:r>
        <w:rPr>
          <w:rFonts w:eastAsia="SimSun;宋体"/>
          <w:b/>
          <w:bCs/>
          <w:sz w:val="28"/>
          <w:lang w:val="en-US"/>
        </w:rPr>
        <w:t xml:space="preserve">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rPr>
          <w:rFonts w:eastAsia="SimSun;宋体"/>
          <w:b/>
          <w:bCs/>
          <w:sz w:val="28"/>
          <w:lang w:val="en-US"/>
        </w:rPr>
      </w:pPr>
      <w:r>
        <w:rPr>
          <w:rFonts w:eastAsia="SimSun;宋体"/>
          <w:b/>
          <w:bCs/>
          <w:sz w:val="28"/>
          <w:lang w:val="en-US"/>
        </w:rPr>
      </w:r>
      <w:r/>
    </w:p>
    <w:p>
      <w:pPr>
        <w:pStyle w:val="940"/>
        <w:rPr>
          <w:sz w:val="28"/>
          <w:szCs w:val="28"/>
        </w:rPr>
      </w:pPr>
      <w:r/>
      <w:hyperlink r:id="rId24"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rPr>
          <w:sz w:val="28"/>
          <w:szCs w:val="28"/>
        </w:rPr>
      </w:pPr>
      <w:r>
        <w:rPr>
          <w:sz w:val="28"/>
          <w:szCs w:val="28"/>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br w:type="page"/>
      </w:r>
      <w:r/>
    </w:p>
    <w:p>
      <w:pPr>
        <w:pStyle w:val="940"/>
      </w:pPr>
      <w:r/>
      <w:r/>
    </w:p>
    <w:p>
      <w:pPr>
        <w:pStyle w:val="941"/>
        <w:rPr>
          <w:rFonts w:ascii="Times New Roman" w:hAnsi="Times New Roman" w:cs="Times New Roman"/>
        </w:rPr>
      </w:pPr>
      <w:r>
        <w:rPr>
          <w:rFonts w:ascii="Times New Roman" w:hAnsi="Times New Roman" w:cs="Times New Roman"/>
        </w:rPr>
        <w:t xml:space="preserve">Раздел 5. Предложения в ДОРОЖНУЮ КАРТУ по развитию региональной системы образования</w:t>
      </w:r>
      <w:r/>
    </w:p>
    <w:p>
      <w:pPr>
        <w:pStyle w:val="943"/>
        <w:numPr>
          <w:ilvl w:val="0"/>
          <w:numId w:val="0"/>
        </w:numPr>
        <w:ind w:left="0" w:firstLine="0"/>
        <w:jc w:val="both"/>
      </w:pPr>
      <w:r>
        <w:rPr>
          <w:rFonts w:ascii="Times New Roman" w:hAnsi="Times New Roman" w:cs="Times New Roman"/>
          <w:lang w:val="ru-RU"/>
        </w:rPr>
        <w:t xml:space="preserve">5.1. </w:t>
      </w:r>
      <w:r>
        <w:rPr>
          <w:rFonts w:ascii="Times New Roman" w:hAnsi="Times New Roman" w:cs="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r/>
    </w:p>
    <w:p>
      <w:pPr>
        <w:pStyle w:val="940"/>
        <w:rPr>
          <w:lang w:val="en-US"/>
        </w:rPr>
      </w:pPr>
      <w:r>
        <w:rPr>
          <w:lang w:val="en-US"/>
        </w:rPr>
      </w:r>
      <w:r/>
    </w:p>
    <w:p>
      <w:pPr>
        <w:pStyle w:val="940"/>
        <w:jc w:val="right"/>
        <w:keepNext/>
        <w:spacing w:before="0" w:after="200"/>
        <w:rPr>
          <w:bCs/>
          <w:i/>
          <w:sz w:val="18"/>
          <w:szCs w:val="18"/>
          <w:lang w:val="en-US"/>
        </w:rPr>
      </w:pPr>
      <w:r>
        <w:rPr>
          <w:bCs/>
          <w:i/>
          <w:sz w:val="18"/>
          <w:szCs w:val="18"/>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jc w:val="center"/>
            </w:pPr>
            <w:r>
              <w:t xml:space="preserve">1.Проведение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rHeight w:val="562"/>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2. 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(химия)</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химии </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w:t>
            </w:r>
            <w:r>
              <w:rPr>
                <w:lang w:eastAsia="en-US"/>
              </w:rPr>
              <w:t xml:space="preserve">ГЭ – 11 в 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химии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химии.</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химии.</w:t>
            </w:r>
            <w:r/>
          </w:p>
          <w:p>
            <w:pPr>
              <w:pStyle w:val="940"/>
            </w:pPr>
            <w:r>
              <w:t xml:space="preserve">Разработаны рекомендации по изменению программы повышения квалификации учителей химии</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 в том числе учителя химии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(химия)</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rPr>
                <w:lang w:eastAsia="en-US"/>
              </w:rPr>
            </w:pPr>
            <w:r>
              <w:rPr>
                <w:lang w:eastAsia="en-US"/>
              </w:rPr>
              <w:t xml:space="preserve">10 человек, семинар, члены предметной комиссии, учителя химии</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rPr>
                <w:lang w:eastAsia="en-US"/>
              </w:rPr>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w:t>
            </w:r>
            <w:r>
              <w:rPr>
                <w:lang w:eastAsia="en-US"/>
              </w:rPr>
              <w:t xml:space="preserve"> по образовательным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химии;</w:t>
            </w:r>
            <w:r/>
          </w:p>
          <w:p>
            <w:pPr>
              <w:pStyle w:val="940"/>
              <w:jc w:val="both"/>
              <w:spacing w:before="0" w:after="160" w:line="254" w:lineRule="auto"/>
              <w:rPr>
                <w:lang w:eastAsia="en-US"/>
              </w:rPr>
            </w:pPr>
            <w:r>
              <w:rPr>
                <w:lang w:eastAsia="en-US"/>
              </w:rPr>
              <w:t xml:space="preserve">•</w:t>
            </w:r>
            <w:r>
              <w:rPr>
                <w:lang w:eastAsia="en-US"/>
              </w:rPr>
              <w:tab/>
              <w:t xml:space="preserve">формированию у них представления о структуре и содержании  КИМ по химии;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химии</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w:t>
            </w:r>
            <w:r>
              <w:t xml:space="preserve">) и включают вопросы обновления технологий и содержания обучения русскому языку и литературе/ истории/ обществознанию/ географии/ математике/ химии и астрономии/ химии и др. в соответствии с концепциями преподавания учебных предметов (предметных областей).</w:t>
            </w:r>
            <w:r/>
          </w:p>
        </w:tc>
      </w:tr>
    </w:tbl>
    <w:p>
      <w:pPr>
        <w:pStyle w:val="940"/>
        <w:keepNext/>
        <w:spacing w:before="0" w:after="200"/>
        <w:rPr>
          <w:bCs/>
          <w:sz w:val="18"/>
          <w:szCs w:val="18"/>
        </w:rPr>
      </w:pPr>
      <w:r>
        <w:rPr>
          <w:bCs/>
          <w:sz w:val="18"/>
          <w:szCs w:val="18"/>
        </w:rPr>
      </w:r>
      <w:r/>
    </w:p>
    <w:p>
      <w:pPr>
        <w:pStyle w:val="940"/>
        <w:keepLines/>
        <w:keepNext/>
        <w:spacing w:before="200" w:after="0"/>
      </w:pPr>
      <w:r>
        <w:rPr>
          <w:rFonts w:eastAsia="SimSun;宋体"/>
          <w:b/>
          <w:bCs/>
          <w:sz w:val="28"/>
        </w:rPr>
        <w:t xml:space="preserve">5.2. </w:t>
      </w:r>
      <w:r>
        <w:rPr>
          <w:rFonts w:eastAsia="SimSun;宋体"/>
          <w:b/>
          <w:bCs/>
          <w:sz w:val="28"/>
          <w:lang w:val="en-US"/>
        </w:rPr>
        <w:t xml:space="preserve">Предложения в дорожную карту на 2021-2022 учебный год</w:t>
      </w:r>
      <w:r/>
    </w:p>
    <w:p>
      <w:pPr>
        <w:pStyle w:val="940"/>
        <w:numPr>
          <w:ilvl w:val="2"/>
          <w:numId w:val="45"/>
        </w:numPr>
        <w:jc w:val="both"/>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химии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химии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lang w:val="en-US"/>
        </w:rPr>
      </w:pPr>
      <w:r>
        <w:rPr>
          <w:bCs/>
          <w:sz w:val="18"/>
          <w:szCs w:val="18"/>
          <w:lang w:val="en-US"/>
        </w:rPr>
      </w:r>
      <w:r/>
    </w:p>
    <w:p>
      <w:pPr>
        <w:pStyle w:val="940"/>
        <w:numPr>
          <w:ilvl w:val="2"/>
          <w:numId w:val="45"/>
        </w:numPr>
        <w:ind w:left="567" w:firstLine="0"/>
        <w:jc w:val="both"/>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2"/>
        <w:gridCol w:w="7991"/>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2"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jc w:val="both"/>
              <w:rPr>
                <w:lang w:eastAsia="en-US"/>
              </w:rPr>
            </w:pPr>
            <w:r>
              <w:rPr>
                <w:lang w:eastAsia="en-US"/>
              </w:rPr>
              <w:t xml:space="preserve">Обновление содержания обучения химии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Проведение открытых заседаний предметных секций ре</w:t>
            </w:r>
            <w:r>
              <w:t xml:space="preserve">гионального учебно-методического объединения с участием председателей предметных комиссий ЕГЭ с обсуждением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Ноябрь /декабрь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«Анализ результатов ЕГЭ: методические рекомендации по подготовке обучающихся к ГИА -11»</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2"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1"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bl>
    <w:p>
      <w:pPr>
        <w:pStyle w:val="940"/>
        <w:keepNext/>
        <w:spacing w:before="0" w:after="200"/>
        <w:rPr>
          <w:bCs/>
          <w:sz w:val="18"/>
          <w:szCs w:val="18"/>
        </w:rPr>
      </w:pPr>
      <w:r>
        <w:rPr>
          <w:bCs/>
          <w:sz w:val="18"/>
          <w:szCs w:val="18"/>
        </w:rPr>
      </w:r>
      <w:r/>
    </w:p>
    <w:p>
      <w:pPr>
        <w:pStyle w:val="940"/>
        <w:numPr>
          <w:ilvl w:val="2"/>
          <w:numId w:val="45"/>
        </w:numPr>
        <w:ind w:left="567" w:firstLine="0"/>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rPr>
          <w:rFonts w:eastAsia="SimSun;宋体"/>
          <w:bCs/>
          <w:lang w:val="en-US"/>
        </w:rPr>
      </w:pPr>
      <w:r>
        <w:rPr>
          <w:rFonts w:eastAsia="SimSun;宋体"/>
          <w:bCs/>
          <w:lang w:val="en-US"/>
        </w:rPr>
        <w:t xml:space="preserve">Не планируются</w:t>
      </w:r>
      <w:r/>
    </w:p>
    <w:p>
      <w:pPr>
        <w:pStyle w:val="940"/>
        <w:numPr>
          <w:ilvl w:val="2"/>
          <w:numId w:val="45"/>
        </w:numPr>
        <w:ind w:left="567" w:firstLine="0"/>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802"/>
        <w:gridCol w:w="7341"/>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802"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341"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802" w:type="dxa"/>
            <w:textDirection w:val="lrTb"/>
            <w:noWrap w:val="false"/>
          </w:tcPr>
          <w:p>
            <w:pPr>
              <w:pStyle w:val="940"/>
              <w:contextualSpacing/>
              <w:spacing w:before="0" w:after="0"/>
            </w:pPr>
            <w:r/>
            <w:r/>
          </w:p>
        </w:tc>
        <w:tc>
          <w:tcPr>
            <w:tcBorders>
              <w:top w:val="single" w:color="000000" w:sz="4" w:space="0"/>
              <w:left w:val="single" w:color="000000" w:sz="4" w:space="0"/>
              <w:bottom w:val="single" w:color="000000" w:sz="4" w:space="0"/>
              <w:right w:val="single" w:color="000000" w:sz="4" w:space="0"/>
            </w:tcBorders>
            <w:tcW w:w="7341" w:type="dxa"/>
            <w:textDirection w:val="lrTb"/>
            <w:noWrap w:val="false"/>
          </w:tcPr>
          <w:p>
            <w:pPr>
              <w:pStyle w:val="940"/>
              <w:contextualSpacing/>
              <w:jc w:val="both"/>
              <w:spacing w:before="0" w:after="60"/>
            </w:pPr>
            <w:r>
              <w:t xml:space="preserve">Выступления учителей химии,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химии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802" w:type="dxa"/>
            <w:textDirection w:val="lrTb"/>
            <w:noWrap w:val="false"/>
          </w:tcPr>
          <w:p>
            <w:pPr>
              <w:pStyle w:val="940"/>
              <w:contextualSpacing/>
              <w:spacing w:before="0" w:after="0"/>
            </w:pPr>
            <w:r>
              <w:t xml:space="preserve">январь/февраль</w:t>
            </w:r>
            <w:r/>
          </w:p>
        </w:tc>
        <w:tc>
          <w:tcPr>
            <w:tcBorders>
              <w:top w:val="single" w:color="000000" w:sz="4" w:space="0"/>
              <w:left w:val="single" w:color="000000" w:sz="4" w:space="0"/>
              <w:bottom w:val="single" w:color="000000" w:sz="4" w:space="0"/>
              <w:right w:val="single" w:color="000000" w:sz="4" w:space="0"/>
            </w:tcBorders>
            <w:tcW w:w="7341" w:type="dxa"/>
            <w:textDirection w:val="lrTb"/>
            <w:noWrap w:val="false"/>
          </w:tcPr>
          <w:p>
            <w:pPr>
              <w:pStyle w:val="940"/>
              <w:contextualSpacing/>
              <w:jc w:val="both"/>
              <w:spacing w:before="0" w:after="60"/>
            </w:pPr>
            <w:r>
              <w:t xml:space="preserve">Мастер-класс по выполнению заданий развёрнутой части ЕГЭ по химии (МБОУ г. Астрахани «Лицей № 3» и МБОУ г. Астрахани «Лицей № 3»)</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802" w:type="dxa"/>
            <w:textDirection w:val="lrTb"/>
            <w:noWrap w:val="false"/>
          </w:tcPr>
          <w:p>
            <w:pPr>
              <w:pStyle w:val="940"/>
              <w:contextualSpacing/>
              <w:spacing w:before="0" w:after="0"/>
            </w:pPr>
            <w:r>
              <w:t xml:space="preserve">март/апрель 2022</w:t>
            </w:r>
            <w:r/>
          </w:p>
        </w:tc>
        <w:tc>
          <w:tcPr>
            <w:tcBorders>
              <w:top w:val="single" w:color="000000" w:sz="4" w:space="0"/>
              <w:left w:val="single" w:color="000000" w:sz="4" w:space="0"/>
              <w:bottom w:val="single" w:color="000000" w:sz="4" w:space="0"/>
              <w:right w:val="single" w:color="000000" w:sz="4" w:space="0"/>
            </w:tcBorders>
            <w:tcW w:w="7341" w:type="dxa"/>
            <w:textDirection w:val="lrTb"/>
            <w:noWrap w:val="false"/>
          </w:tcPr>
          <w:p>
            <w:pPr>
              <w:pStyle w:val="940"/>
              <w:contextualSpacing/>
              <w:jc w:val="both"/>
              <w:spacing w:before="0" w:after="60"/>
            </w:pPr>
            <w:r>
              <w:t xml:space="preserve">Мастер-класс по выполнению заданий ЕГЭ по химии (МБОУ г. Астрахани СОШ № 71»</w:t>
            </w:r>
            <w:r/>
          </w:p>
        </w:tc>
      </w:tr>
    </w:tbl>
    <w:p>
      <w:pPr>
        <w:pStyle w:val="940"/>
        <w:keepNext/>
        <w:spacing w:before="0" w:after="200"/>
        <w:rPr>
          <w:bCs/>
          <w:sz w:val="18"/>
          <w:szCs w:val="18"/>
        </w:rPr>
      </w:pPr>
      <w:r>
        <w:rPr>
          <w:bCs/>
          <w:sz w:val="18"/>
          <w:szCs w:val="18"/>
        </w:rPr>
      </w:r>
      <w:r/>
    </w:p>
    <w:p>
      <w:pPr>
        <w:pStyle w:val="940"/>
        <w:numPr>
          <w:ilvl w:val="2"/>
          <w:numId w:val="45"/>
        </w:numPr>
        <w:ind w:left="567"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jc w:val="both"/>
        <w:keepLines/>
        <w:keepNext/>
        <w:rPr>
          <w:rFonts w:eastAsia="SimSun;宋体"/>
          <w:bCs/>
        </w:rPr>
      </w:pPr>
      <w:r>
        <w:rPr>
          <w:rFonts w:eastAsia="SimSun;宋体"/>
          <w:bCs/>
        </w:rPr>
      </w:r>
      <w:r/>
    </w:p>
    <w:p>
      <w:pPr>
        <w:pStyle w:val="940"/>
        <w:ind w:firstLine="567"/>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«Химия»</w:t>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09"/>
        <w:gridCol w:w="3119"/>
        <w:gridCol w:w="2976"/>
        <w:gridCol w:w="2855"/>
      </w:tblGrid>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2976"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2976" w:type="dxa"/>
            <w:textDirection w:val="lrTb"/>
            <w:noWrap w:val="false"/>
          </w:tcPr>
          <w:p>
            <w:pPr>
              <w:pStyle w:val="940"/>
            </w:pPr>
            <w:r>
              <w:rPr>
                <w:iCs/>
              </w:rPr>
              <w:t xml:space="preserve">Титова Ольга Львовна, ФГБОУ ВО</w:t>
            </w:r>
            <w:r/>
          </w:p>
          <w:p>
            <w:pPr>
              <w:pStyle w:val="940"/>
            </w:pPr>
            <w:r>
              <w:rPr>
                <w:iCs/>
              </w:rPr>
              <w:t xml:space="preserve">«Астраханский государственный технический университет», к.х.н., доцент</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«Химия»</w:t>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2976"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t xml:space="preserve">Ведущий эксперт</w:t>
            </w:r>
            <w:r/>
          </w:p>
          <w:p>
            <w:pPr>
              <w:pStyle w:val="940"/>
              <w:jc w:val="both"/>
              <w:rPr>
                <w:iCs/>
              </w:rPr>
            </w:pPr>
            <w:r>
              <w:rPr>
                <w:iCs/>
              </w:rPr>
              <w:t xml:space="preserve">предметной комиссии</w:t>
            </w:r>
            <w:r/>
          </w:p>
        </w:tc>
        <w:tc>
          <w:tcPr>
            <w:tcBorders>
              <w:top w:val="single" w:color="000000" w:sz="4" w:space="0"/>
              <w:left w:val="single" w:color="000000" w:sz="4" w:space="0"/>
              <w:bottom w:val="single" w:color="000000" w:sz="4" w:space="0"/>
            </w:tcBorders>
            <w:tcW w:w="2976" w:type="dxa"/>
            <w:textDirection w:val="lrTb"/>
            <w:noWrap w:val="false"/>
          </w:tcPr>
          <w:p>
            <w:pPr>
              <w:pStyle w:val="940"/>
            </w:pPr>
            <w:r>
              <w:rPr>
                <w:iCs/>
              </w:rPr>
              <w:t xml:space="preserve">Малышева Юлия Михайловна, МБОУ                    г. Астрахани «СОШ                  № 71», учитель химии</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t xml:space="preserve">Предметная комиссия </w:t>
            </w:r>
            <w:r/>
          </w:p>
          <w:p>
            <w:pPr>
              <w:pStyle w:val="940"/>
              <w:jc w:val="both"/>
              <w:rPr>
                <w:iCs/>
              </w:rPr>
            </w:pPr>
            <w:r>
              <w:rPr>
                <w:iCs/>
              </w:rPr>
              <w:t xml:space="preserve">по химии</w:t>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t xml:space="preserve">Основной эксперт </w:t>
            </w:r>
            <w:r/>
          </w:p>
          <w:p>
            <w:pPr>
              <w:pStyle w:val="940"/>
              <w:jc w:val="both"/>
              <w:rPr>
                <w:iCs/>
              </w:rPr>
            </w:pPr>
            <w:r>
              <w:rPr>
                <w:iCs/>
              </w:rPr>
              <w:t xml:space="preserve">предметной комиссии, </w:t>
            </w:r>
            <w:r/>
          </w:p>
          <w:p>
            <w:pPr>
              <w:pStyle w:val="940"/>
              <w:jc w:val="both"/>
            </w:pPr>
            <w:r>
              <w:rPr>
                <w:iCs/>
              </w:rPr>
              <w:t xml:space="preserve">председатель УМО</w:t>
            </w:r>
            <w:r/>
          </w:p>
        </w:tc>
        <w:tc>
          <w:tcPr>
            <w:tcBorders>
              <w:top w:val="single" w:color="000000" w:sz="4" w:space="0"/>
              <w:left w:val="single" w:color="000000" w:sz="4" w:space="0"/>
              <w:bottom w:val="single" w:color="000000" w:sz="4" w:space="0"/>
            </w:tcBorders>
            <w:tcW w:w="2976" w:type="dxa"/>
            <w:textDirection w:val="lrTb"/>
            <w:noWrap w:val="false"/>
          </w:tcPr>
          <w:p>
            <w:pPr>
              <w:pStyle w:val="940"/>
            </w:pPr>
            <w:r>
              <w:rPr>
                <w:iCs/>
              </w:rPr>
              <w:t xml:space="preserve">Тищенко Светлана Иосифовна, МБОУ                      г. Астрахани «СОШ                      № 22», учитель химии</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t xml:space="preserve">Предметная комиссия </w:t>
            </w:r>
            <w:r/>
          </w:p>
          <w:p>
            <w:pPr>
              <w:pStyle w:val="940"/>
              <w:jc w:val="both"/>
              <w:rPr>
                <w:iCs/>
              </w:rPr>
            </w:pPr>
            <w:r>
              <w:rPr>
                <w:iCs/>
              </w:rPr>
              <w:t xml:space="preserve">по химии</w:t>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Ли Ирина Георгиевна,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начальник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709" w:type="dxa"/>
            <w:textDirection w:val="lrTb"/>
            <w:noWrap w:val="false"/>
          </w:tcPr>
          <w:p>
            <w:pPr>
              <w:pStyle w:val="940"/>
              <w:jc w:val="both"/>
              <w:rPr>
                <w:iCs/>
              </w:rPr>
            </w:pPr>
            <w:r>
              <w:rPr>
                <w:iCs/>
              </w:rPr>
              <w:t xml:space="preserve">6.</w:t>
            </w:r>
            <w:r/>
          </w:p>
        </w:tc>
        <w:tc>
          <w:tcPr>
            <w:tcBorders>
              <w:top w:val="single" w:color="000000" w:sz="4" w:space="0"/>
              <w:left w:val="single" w:color="000000" w:sz="4" w:space="0"/>
              <w:bottom w:val="single" w:color="000000" w:sz="4" w:space="0"/>
            </w:tcBorders>
            <w:tcW w:w="3119"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jc w:val="both"/>
              <w:rPr>
                <w:iCs/>
              </w:rPr>
            </w:pPr>
            <w:r>
              <w:rPr>
                <w:iCs/>
              </w:rPr>
            </w:r>
            <w:r/>
          </w:p>
        </w:tc>
      </w:tr>
    </w:tbl>
    <w:p>
      <w:pPr>
        <w:pStyle w:val="940"/>
        <w:rPr>
          <w:rFonts w:eastAsia="SimSun;宋体"/>
          <w:sz w:val="28"/>
          <w:lang w:val="en-US"/>
        </w:rPr>
      </w:pPr>
      <w:r>
        <w:rPr>
          <w:rFonts w:eastAsia="SimSun;宋体"/>
          <w:sz w:val="28"/>
          <w:lang w:val="en-US"/>
        </w:rPr>
      </w:r>
      <w:r/>
    </w:p>
    <w:p>
      <w:pPr>
        <w:pStyle w:val="940"/>
        <w:keepLines/>
        <w:keepNext/>
        <w:spacing w:before="200" w:after="0"/>
        <w:rPr>
          <w:rFonts w:eastAsia="SimSun;宋体"/>
          <w:sz w:val="28"/>
          <w:lang w:val="en-US"/>
        </w:rPr>
      </w:pPr>
      <w:r>
        <w:rPr>
          <w:rFonts w:eastAsia="SimSun;宋体"/>
          <w:sz w:val="28"/>
          <w:lang w:val="en-US"/>
        </w:rPr>
      </w:r>
      <w:r/>
    </w:p>
    <w:p>
      <w:pPr>
        <w:pStyle w:val="940"/>
        <w:contextualSpacing/>
        <w:jc w:val="both"/>
        <w:spacing w:before="0" w:after="0"/>
        <w:rPr>
          <w:rFonts w:eastAsia="SimSun;宋体"/>
          <w:i/>
          <w:iCs/>
          <w:sz w:val="28"/>
          <w:lang w:val="en-US"/>
        </w:rPr>
      </w:pPr>
      <w:r>
        <w:rPr>
          <w:rFonts w:eastAsia="SimSun;宋体"/>
          <w:i/>
          <w:iCs/>
          <w:sz w:val="28"/>
          <w:lang w:val="en-US"/>
        </w:rPr>
      </w:r>
      <w:r>
        <w:br w:type="page"/>
      </w:r>
      <w:r/>
    </w:p>
    <w:p>
      <w:pPr>
        <w:pStyle w:val="941"/>
      </w:pPr>
      <w:r>
        <w:rPr>
          <w:rFonts w:ascii="Times New Roman" w:hAnsi="Times New Roman" w:cs="Times New Roman"/>
        </w:rPr>
        <w:t xml:space="preserve">Методический анализ результатов ЕГЭ</w:t>
        <w:br/>
      </w:r>
      <w:r>
        <w:rPr>
          <w:rStyle w:val="1378"/>
          <w:rFonts w:ascii="Times New Roman" w:hAnsi="Times New Roman" w:cs="Times New Roman"/>
          <w:b w:val="0"/>
          <w:bCs w:val="0"/>
          <w:sz w:val="32"/>
        </w:rPr>
        <w:t xml:space="preserve">по </w:t>
      </w:r>
      <w:r>
        <w:rPr>
          <w:rStyle w:val="1378"/>
          <w:rFonts w:ascii="Times New Roman" w:hAnsi="Times New Roman" w:cs="Times New Roman"/>
          <w:b w:val="0"/>
          <w:bCs w:val="0"/>
          <w:sz w:val="32"/>
          <w:u w:val="single"/>
          <w:lang w:val="ru-RU"/>
        </w:rPr>
        <w:t xml:space="preserve">Биологии</w:t>
      </w:r>
      <w:r>
        <w:rPr>
          <w:rStyle w:val="1378"/>
          <w:rFonts w:ascii="Times New Roman" w:hAnsi="Times New Roman" w:cs="Times New Roman"/>
          <w:b w:val="0"/>
          <w:bCs w:val="0"/>
          <w:sz w:val="32"/>
        </w:rPr>
        <w:br/>
      </w:r>
      <w:r>
        <w:rPr>
          <w:rStyle w:val="1378"/>
          <w:rFonts w:ascii="Times New Roman" w:hAnsi="Times New Roman" w:cs="Times New Roman"/>
          <w:b w:val="0"/>
          <w:bCs w:val="0"/>
          <w:sz w:val="24"/>
          <w:szCs w:val="22"/>
          <w:lang w:val="ru-RU"/>
        </w:rPr>
        <w:t xml:space="preserve"> </w:t>
      </w:r>
      <w:r>
        <w:rPr>
          <w:rStyle w:val="1378"/>
          <w:rFonts w:ascii="Times New Roman" w:hAnsi="Times New Roman" w:cs="Times New Roman"/>
          <w:b w:val="0"/>
          <w:bCs w:val="0"/>
          <w:sz w:val="24"/>
          <w:szCs w:val="22"/>
        </w:rPr>
        <w:t xml:space="preserve">(учебный предмет)</w:t>
      </w:r>
      <w:r/>
    </w:p>
    <w:p>
      <w:pPr>
        <w:pStyle w:val="940"/>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0"/>
        <w:jc w:val="both"/>
        <w:rPr>
          <w:b/>
          <w:bCs/>
          <w:sz w:val="28"/>
          <w:szCs w:val="28"/>
        </w:rPr>
      </w:pPr>
      <w:r>
        <w:rPr>
          <w:b/>
          <w:bCs/>
          <w:sz w:val="28"/>
          <w:szCs w:val="28"/>
        </w:rPr>
      </w:r>
      <w:r/>
    </w:p>
    <w:p>
      <w:pPr>
        <w:pStyle w:val="943"/>
        <w:tabs>
          <w:tab w:val="left" w:pos="142" w:leader="none"/>
          <w:tab w:val="clear" w:pos="708" w:leader="none"/>
        </w:tabs>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rPr>
          <w:b/>
          <w:lang w:val="en-US" w:eastAsia="en-US"/>
        </w:rPr>
      </w:pPr>
      <w:r>
        <w:t xml:space="preserve">Таблица 2</w:t>
        <w:noBreakHyphen/>
        <w:t xml:space="preserve">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277"/>
        <w:gridCol w:w="1698"/>
        <w:gridCol w:w="1700"/>
        <w:gridCol w:w="1698"/>
        <w:gridCol w:w="1558"/>
        <w:gridCol w:w="1728"/>
      </w:tblGrid>
      <w:tr>
        <w:trPr/>
        <w:tc>
          <w:tcPr>
            <w:gridSpan w:val="2"/>
            <w:tcBorders>
              <w:top w:val="single" w:color="000000" w:sz="4" w:space="0"/>
              <w:left w:val="single" w:color="000000" w:sz="4" w:space="0"/>
              <w:bottom w:val="single" w:color="000000" w:sz="4" w:space="0"/>
            </w:tcBorders>
            <w:tcW w:w="2975"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39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286"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7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70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72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77" w:type="dxa"/>
            <w:textDirection w:val="lrTb"/>
            <w:noWrap w:val="false"/>
          </w:tcPr>
          <w:p>
            <w:pPr>
              <w:pStyle w:val="940"/>
              <w:ind w:right="-1" w:firstLine="0"/>
              <w:jc w:val="center"/>
              <w:spacing w:before="0" w:after="160" w:line="254" w:lineRule="auto"/>
              <w:rPr>
                <w:lang w:eastAsia="en-US"/>
              </w:rPr>
            </w:pPr>
            <w:r>
              <w:rPr>
                <w:lang w:eastAsia="en-US"/>
              </w:rPr>
              <w:t xml:space="preserve">794</w:t>
            </w:r>
            <w:r/>
          </w:p>
        </w:tc>
        <w:tc>
          <w:tcPr>
            <w:tcBorders>
              <w:top w:val="single" w:color="000000" w:sz="4" w:space="0"/>
              <w:left w:val="single" w:color="000000" w:sz="4" w:space="0"/>
              <w:bottom w:val="single" w:color="000000" w:sz="4" w:space="0"/>
            </w:tcBorders>
            <w:tcW w:w="1698" w:type="dxa"/>
            <w:textDirection w:val="lrTb"/>
            <w:noWrap w:val="false"/>
          </w:tcPr>
          <w:p>
            <w:pPr>
              <w:pStyle w:val="940"/>
              <w:ind w:right="-1" w:firstLine="0"/>
              <w:jc w:val="center"/>
              <w:spacing w:before="0" w:after="160" w:line="254" w:lineRule="auto"/>
              <w:rPr>
                <w:lang w:eastAsia="en-US"/>
              </w:rPr>
            </w:pPr>
            <w:r>
              <w:rPr>
                <w:lang w:eastAsia="en-US"/>
              </w:rPr>
              <w:t xml:space="preserve">18,4</w:t>
            </w:r>
            <w:r/>
          </w:p>
        </w:tc>
        <w:tc>
          <w:tcPr>
            <w:tcBorders>
              <w:top w:val="single" w:color="000000" w:sz="4" w:space="0"/>
              <w:left w:val="single" w:color="000000" w:sz="4" w:space="0"/>
              <w:bottom w:val="single" w:color="000000" w:sz="4" w:space="0"/>
            </w:tcBorders>
            <w:tcW w:w="1700" w:type="dxa"/>
            <w:vAlign w:val="bottom"/>
            <w:textDirection w:val="lrTb"/>
            <w:noWrap w:val="false"/>
          </w:tcPr>
          <w:p>
            <w:pPr>
              <w:pStyle w:val="940"/>
              <w:ind w:right="-1" w:firstLine="0"/>
              <w:jc w:val="center"/>
              <w:spacing w:before="0" w:after="160" w:line="254" w:lineRule="auto"/>
              <w:rPr>
                <w:lang w:eastAsia="en-US"/>
              </w:rPr>
            </w:pPr>
            <w:r>
              <w:rPr>
                <w:lang w:eastAsia="en-US"/>
              </w:rPr>
              <w:t xml:space="preserve">781</w:t>
            </w:r>
            <w:r/>
          </w:p>
        </w:tc>
        <w:tc>
          <w:tcPr>
            <w:tcBorders>
              <w:top w:val="single" w:color="000000" w:sz="4" w:space="0"/>
              <w:left w:val="single" w:color="000000" w:sz="4" w:space="0"/>
              <w:bottom w:val="single" w:color="000000" w:sz="4" w:space="0"/>
            </w:tcBorders>
            <w:tcW w:w="1698"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19,2</w:t>
            </w:r>
            <w:r/>
          </w:p>
        </w:tc>
        <w:tc>
          <w:tcPr>
            <w:tcBorders>
              <w:top w:val="single" w:color="000000" w:sz="4" w:space="0"/>
              <w:left w:val="single" w:color="000000" w:sz="4" w:space="0"/>
              <w:bottom w:val="single" w:color="000000" w:sz="4" w:space="0"/>
            </w:tcBorders>
            <w:tcW w:w="1558" w:type="dxa"/>
            <w:vAlign w:val="bottom"/>
            <w:textDirection w:val="lrTb"/>
            <w:noWrap w:val="false"/>
          </w:tcPr>
          <w:p>
            <w:pPr>
              <w:pStyle w:val="940"/>
              <w:jc w:val="center"/>
            </w:pPr>
            <w:r>
              <w:t xml:space="preserve">825</w:t>
            </w:r>
            <w:r/>
          </w:p>
        </w:tc>
        <w:tc>
          <w:tcPr>
            <w:tcBorders>
              <w:top w:val="single" w:color="000000" w:sz="4" w:space="0"/>
              <w:left w:val="single" w:color="000000" w:sz="4" w:space="0"/>
              <w:bottom w:val="single" w:color="000000" w:sz="4" w:space="0"/>
              <w:right w:val="single" w:color="000000" w:sz="4" w:space="0"/>
            </w:tcBorders>
            <w:tcW w:w="1728" w:type="dxa"/>
            <w:vAlign w:val="bottom"/>
            <w:textDirection w:val="lrTb"/>
            <w:noWrap w:val="false"/>
          </w:tcPr>
          <w:p>
            <w:pPr>
              <w:pStyle w:val="940"/>
              <w:jc w:val="center"/>
            </w:pPr>
            <w:r>
              <w:t xml:space="preserve">20,2</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559"/>
        <w:gridCol w:w="1134"/>
        <w:gridCol w:w="1558"/>
        <w:gridCol w:w="989"/>
        <w:gridCol w:w="1841"/>
        <w:gridCol w:w="848"/>
        <w:gridCol w:w="1730"/>
      </w:tblGrid>
      <w:tr>
        <w:trPr/>
        <w:tc>
          <w:tcPr>
            <w:tcBorders>
              <w:top w:val="single" w:color="000000" w:sz="4" w:space="0"/>
              <w:left w:val="single" w:color="000000" w:sz="4" w:space="0"/>
              <w:bottom w:val="single" w:color="000000" w:sz="4" w:space="0"/>
            </w:tcBorders>
            <w:tcW w:w="1559"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692"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830"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578"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559"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98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84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73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559"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1134" w:type="dxa"/>
            <w:textDirection w:val="lrTb"/>
            <w:noWrap w:val="false"/>
          </w:tcPr>
          <w:p>
            <w:pPr>
              <w:pStyle w:val="940"/>
              <w:jc w:val="center"/>
              <w:spacing w:before="0" w:after="160" w:line="254" w:lineRule="auto"/>
              <w:rPr>
                <w:lang w:eastAsia="en-US"/>
              </w:rPr>
            </w:pPr>
            <w:r>
              <w:rPr>
                <w:lang w:eastAsia="en-US"/>
              </w:rPr>
              <w:t xml:space="preserve">578</w:t>
            </w:r>
            <w:r/>
          </w:p>
        </w:tc>
        <w:tc>
          <w:tcPr>
            <w:tcBorders>
              <w:top w:val="single" w:color="000000" w:sz="4" w:space="0"/>
              <w:left w:val="single" w:color="000000" w:sz="4" w:space="0"/>
              <w:bottom w:val="single" w:color="000000" w:sz="4" w:space="0"/>
            </w:tcBorders>
            <w:tcW w:w="1558" w:type="dxa"/>
            <w:textDirection w:val="lrTb"/>
            <w:noWrap w:val="false"/>
          </w:tcPr>
          <w:p>
            <w:pPr>
              <w:pStyle w:val="940"/>
              <w:jc w:val="center"/>
              <w:spacing w:before="0" w:after="160" w:line="254" w:lineRule="auto"/>
              <w:rPr>
                <w:lang w:eastAsia="en-US"/>
              </w:rPr>
            </w:pPr>
            <w:r>
              <w:rPr>
                <w:lang w:eastAsia="en-US"/>
              </w:rPr>
              <w:t xml:space="preserve">72,8</w:t>
            </w:r>
            <w:r/>
          </w:p>
        </w:tc>
        <w:tc>
          <w:tcPr>
            <w:tcBorders>
              <w:top w:val="single" w:color="000000" w:sz="4" w:space="0"/>
              <w:left w:val="single" w:color="000000" w:sz="4" w:space="0"/>
              <w:bottom w:val="single" w:color="000000" w:sz="4" w:space="0"/>
            </w:tcBorders>
            <w:tcW w:w="989" w:type="dxa"/>
            <w:vAlign w:val="bottom"/>
            <w:textDirection w:val="lrTb"/>
            <w:noWrap w:val="false"/>
          </w:tcPr>
          <w:p>
            <w:pPr>
              <w:pStyle w:val="940"/>
              <w:jc w:val="center"/>
              <w:spacing w:before="0" w:after="160" w:line="254" w:lineRule="auto"/>
              <w:rPr>
                <w:lang w:eastAsia="en-US"/>
              </w:rPr>
            </w:pPr>
            <w:r>
              <w:rPr>
                <w:lang w:eastAsia="en-US"/>
              </w:rPr>
              <w:t xml:space="preserve">559</w:t>
            </w:r>
            <w:r/>
          </w:p>
        </w:tc>
        <w:tc>
          <w:tcPr>
            <w:tcBorders>
              <w:top w:val="single" w:color="000000" w:sz="4" w:space="0"/>
              <w:left w:val="single" w:color="000000" w:sz="4" w:space="0"/>
              <w:bottom w:val="single" w:color="000000" w:sz="4" w:space="0"/>
            </w:tcBorders>
            <w:tcW w:w="1841" w:type="dxa"/>
            <w:vAlign w:val="bottom"/>
            <w:textDirection w:val="lrTb"/>
            <w:noWrap w:val="false"/>
          </w:tcPr>
          <w:p>
            <w:pPr>
              <w:pStyle w:val="940"/>
              <w:jc w:val="center"/>
              <w:spacing w:before="0" w:after="160" w:line="254" w:lineRule="auto"/>
              <w:rPr>
                <w:lang w:eastAsia="en-US"/>
              </w:rPr>
            </w:pPr>
            <w:r>
              <w:rPr>
                <w:lang w:eastAsia="en-US"/>
              </w:rPr>
              <w:t xml:space="preserve">71,6</w:t>
            </w:r>
            <w:r/>
          </w:p>
        </w:tc>
        <w:tc>
          <w:tcPr>
            <w:tcBorders>
              <w:top w:val="single" w:color="000000" w:sz="4" w:space="0"/>
              <w:left w:val="single" w:color="000000" w:sz="4" w:space="0"/>
              <w:bottom w:val="single" w:color="000000" w:sz="4" w:space="0"/>
            </w:tcBorders>
            <w:tcW w:w="848" w:type="dxa"/>
            <w:vAlign w:val="bottom"/>
            <w:textDirection w:val="lrTb"/>
            <w:noWrap w:val="false"/>
          </w:tcPr>
          <w:p>
            <w:pPr>
              <w:pStyle w:val="940"/>
              <w:jc w:val="right"/>
            </w:pPr>
            <w:r>
              <w:t xml:space="preserve">606</w:t>
            </w:r>
            <w:r/>
          </w:p>
        </w:tc>
        <w:tc>
          <w:tcPr>
            <w:tcBorders>
              <w:top w:val="single" w:color="000000" w:sz="4" w:space="0"/>
              <w:left w:val="single" w:color="000000" w:sz="4" w:space="0"/>
              <w:bottom w:val="single" w:color="000000" w:sz="4" w:space="0"/>
              <w:right w:val="single" w:color="000000" w:sz="4" w:space="0"/>
            </w:tcBorders>
            <w:tcW w:w="1730" w:type="dxa"/>
            <w:vAlign w:val="bottom"/>
            <w:textDirection w:val="lrTb"/>
            <w:noWrap w:val="false"/>
          </w:tcPr>
          <w:p>
            <w:pPr>
              <w:pStyle w:val="940"/>
              <w:jc w:val="center"/>
            </w:pPr>
            <w:r>
              <w:t xml:space="preserve">73,5</w:t>
            </w:r>
            <w:r/>
          </w:p>
        </w:tc>
      </w:tr>
      <w:tr>
        <w:trPr/>
        <w:tc>
          <w:tcPr>
            <w:tcBorders>
              <w:top w:val="single" w:color="000000" w:sz="4" w:space="0"/>
              <w:left w:val="single" w:color="000000" w:sz="4" w:space="0"/>
              <w:bottom w:val="single" w:color="000000" w:sz="4" w:space="0"/>
            </w:tcBorders>
            <w:tcW w:w="1559"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1134" w:type="dxa"/>
            <w:textDirection w:val="lrTb"/>
            <w:noWrap w:val="false"/>
          </w:tcPr>
          <w:p>
            <w:pPr>
              <w:pStyle w:val="940"/>
              <w:jc w:val="center"/>
              <w:spacing w:before="0" w:after="160" w:line="254" w:lineRule="auto"/>
              <w:rPr>
                <w:lang w:eastAsia="en-US"/>
              </w:rPr>
            </w:pPr>
            <w:r>
              <w:rPr>
                <w:lang w:eastAsia="en-US"/>
              </w:rPr>
              <w:t xml:space="preserve">216</w:t>
            </w:r>
            <w:r/>
          </w:p>
        </w:tc>
        <w:tc>
          <w:tcPr>
            <w:tcBorders>
              <w:top w:val="single" w:color="000000" w:sz="4" w:space="0"/>
              <w:left w:val="single" w:color="000000" w:sz="4" w:space="0"/>
              <w:bottom w:val="single" w:color="000000" w:sz="4" w:space="0"/>
            </w:tcBorders>
            <w:tcW w:w="1558" w:type="dxa"/>
            <w:textDirection w:val="lrTb"/>
            <w:noWrap w:val="false"/>
          </w:tcPr>
          <w:p>
            <w:pPr>
              <w:pStyle w:val="940"/>
              <w:jc w:val="center"/>
              <w:spacing w:before="0" w:after="160" w:line="254" w:lineRule="auto"/>
              <w:rPr>
                <w:lang w:eastAsia="en-US"/>
              </w:rPr>
            </w:pPr>
            <w:r>
              <w:rPr>
                <w:lang w:eastAsia="en-US"/>
              </w:rPr>
              <w:t xml:space="preserve">27,2</w:t>
            </w:r>
            <w:r/>
          </w:p>
        </w:tc>
        <w:tc>
          <w:tcPr>
            <w:tcBorders>
              <w:top w:val="single" w:color="000000" w:sz="4" w:space="0"/>
              <w:left w:val="single" w:color="000000" w:sz="4" w:space="0"/>
              <w:bottom w:val="single" w:color="000000" w:sz="4" w:space="0"/>
            </w:tcBorders>
            <w:tcW w:w="989" w:type="dxa"/>
            <w:vAlign w:val="bottom"/>
            <w:textDirection w:val="lrTb"/>
            <w:noWrap w:val="false"/>
          </w:tcPr>
          <w:p>
            <w:pPr>
              <w:pStyle w:val="940"/>
              <w:jc w:val="center"/>
              <w:spacing w:before="0" w:after="160" w:line="254" w:lineRule="auto"/>
              <w:rPr>
                <w:lang w:eastAsia="en-US"/>
              </w:rPr>
            </w:pPr>
            <w:r>
              <w:rPr>
                <w:lang w:eastAsia="en-US"/>
              </w:rPr>
              <w:t xml:space="preserve">222</w:t>
            </w:r>
            <w:r/>
          </w:p>
        </w:tc>
        <w:tc>
          <w:tcPr>
            <w:tcBorders>
              <w:top w:val="single" w:color="000000" w:sz="4" w:space="0"/>
              <w:left w:val="single" w:color="000000" w:sz="4" w:space="0"/>
              <w:bottom w:val="single" w:color="000000" w:sz="4" w:space="0"/>
            </w:tcBorders>
            <w:tcW w:w="1841" w:type="dxa"/>
            <w:vAlign w:val="bottom"/>
            <w:textDirection w:val="lrTb"/>
            <w:noWrap w:val="false"/>
          </w:tcPr>
          <w:p>
            <w:pPr>
              <w:pStyle w:val="940"/>
              <w:jc w:val="center"/>
              <w:spacing w:before="0" w:after="160" w:line="254" w:lineRule="auto"/>
              <w:rPr>
                <w:lang w:eastAsia="en-US"/>
              </w:rPr>
            </w:pPr>
            <w:r>
              <w:rPr>
                <w:lang w:eastAsia="en-US"/>
              </w:rPr>
              <w:t xml:space="preserve">28,4</w:t>
            </w:r>
            <w:r/>
          </w:p>
        </w:tc>
        <w:tc>
          <w:tcPr>
            <w:tcBorders>
              <w:top w:val="single" w:color="000000" w:sz="4" w:space="0"/>
              <w:left w:val="single" w:color="000000" w:sz="4" w:space="0"/>
              <w:bottom w:val="single" w:color="000000" w:sz="4" w:space="0"/>
            </w:tcBorders>
            <w:tcW w:w="848" w:type="dxa"/>
            <w:vAlign w:val="bottom"/>
            <w:textDirection w:val="lrTb"/>
            <w:noWrap w:val="false"/>
          </w:tcPr>
          <w:p>
            <w:pPr>
              <w:pStyle w:val="940"/>
              <w:jc w:val="right"/>
            </w:pPr>
            <w:r>
              <w:t xml:space="preserve">219</w:t>
            </w:r>
            <w:r/>
          </w:p>
        </w:tc>
        <w:tc>
          <w:tcPr>
            <w:tcBorders>
              <w:top w:val="single" w:color="000000" w:sz="4" w:space="0"/>
              <w:left w:val="single" w:color="000000" w:sz="4" w:space="0"/>
              <w:bottom w:val="single" w:color="000000" w:sz="4" w:space="0"/>
              <w:right w:val="single" w:color="000000" w:sz="4" w:space="0"/>
            </w:tcBorders>
            <w:tcW w:w="1730" w:type="dxa"/>
            <w:vAlign w:val="bottom"/>
            <w:textDirection w:val="lrTb"/>
            <w:noWrap w:val="false"/>
          </w:tcPr>
          <w:p>
            <w:pPr>
              <w:pStyle w:val="940"/>
              <w:jc w:val="center"/>
            </w:pPr>
            <w:r>
              <w:t xml:space="preserve">26,5</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71"/>
        <w:gridCol w:w="2288"/>
      </w:tblGrid>
      <w:tr>
        <w:trPr/>
        <w:tc>
          <w:tcPr>
            <w:tcBorders>
              <w:top w:val="single" w:color="000000" w:sz="4" w:space="0"/>
              <w:left w:val="single" w:color="000000" w:sz="4" w:space="0"/>
              <w:bottom w:val="single" w:color="000000" w:sz="4" w:space="0"/>
            </w:tcBorders>
            <w:tcW w:w="7371"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825</w:t>
            </w:r>
            <w:r/>
          </w:p>
        </w:tc>
      </w:tr>
      <w:tr>
        <w:trPr>
          <w:trHeight w:val="545"/>
        </w:trPr>
        <w:tc>
          <w:tcPr>
            <w:tcBorders>
              <w:top w:val="single" w:color="000000" w:sz="4" w:space="0"/>
              <w:left w:val="single" w:color="000000" w:sz="4" w:space="0"/>
              <w:bottom w:val="single" w:color="000000" w:sz="4" w:space="0"/>
            </w:tcBorders>
            <w:tcW w:w="7371"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7"/>
              <w:t xml:space="preserve">*</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730</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77</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10</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9</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9</w:t>
            </w:r>
            <w:r/>
          </w:p>
        </w:tc>
      </w:tr>
      <w:tr>
        <w:trPr/>
        <w:tc>
          <w:tcPr>
            <w:tcBorders>
              <w:top w:val="single" w:color="000000" w:sz="4" w:space="0"/>
              <w:left w:val="single" w:color="000000" w:sz="4" w:space="0"/>
              <w:bottom w:val="single" w:color="000000" w:sz="4" w:space="0"/>
            </w:tcBorders>
            <w:tcW w:w="737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288" w:type="dxa"/>
            <w:textDirection w:val="lrTb"/>
            <w:noWrap w:val="false"/>
          </w:tcPr>
          <w:p>
            <w:pPr>
              <w:pStyle w:val="940"/>
              <w:contextualSpacing/>
              <w:jc w:val="both"/>
              <w:spacing w:before="0" w:after="0"/>
            </w:pPr>
            <w:r>
              <w:t xml:space="preserve">-</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6804"/>
        <w:gridCol w:w="2855"/>
      </w:tblGrid>
      <w:tr>
        <w:trPr/>
        <w:tc>
          <w:tcPr>
            <w:tcBorders>
              <w:top w:val="single" w:color="000000" w:sz="4" w:space="0"/>
              <w:left w:val="single" w:color="000000" w:sz="4" w:space="0"/>
              <w:bottom w:val="single" w:color="000000" w:sz="4" w:space="0"/>
            </w:tcBorders>
            <w:tcW w:w="6804"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contextualSpacing/>
              <w:jc w:val="both"/>
              <w:spacing w:before="0" w:after="0"/>
            </w:pPr>
            <w:r>
              <w:t xml:space="preserve">730</w:t>
            </w:r>
            <w:r/>
          </w:p>
        </w:tc>
      </w:tr>
      <w:tr>
        <w:trPr/>
        <w:tc>
          <w:tcPr>
            <w:tcBorders>
              <w:top w:val="single" w:color="000000" w:sz="4" w:space="0"/>
              <w:left w:val="single" w:color="000000" w:sz="4" w:space="0"/>
              <w:bottom w:val="single" w:color="000000" w:sz="4" w:space="0"/>
            </w:tcBorders>
            <w:tcW w:w="6804"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contextualSpacing/>
              <w:jc w:val="both"/>
              <w:spacing w:before="0" w:after="0"/>
            </w:pPr>
            <w:r>
              <w:t xml:space="preserve">138</w:t>
            </w:r>
            <w:r/>
          </w:p>
        </w:tc>
      </w:tr>
      <w:tr>
        <w:trPr/>
        <w:tc>
          <w:tcPr>
            <w:tcBorders>
              <w:top w:val="single" w:color="000000" w:sz="4" w:space="0"/>
              <w:left w:val="single" w:color="000000" w:sz="4" w:space="0"/>
              <w:bottom w:val="single" w:color="000000" w:sz="4" w:space="0"/>
            </w:tcBorders>
            <w:tcW w:w="68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contextualSpacing/>
              <w:jc w:val="both"/>
              <w:spacing w:before="0" w:after="0"/>
            </w:pPr>
            <w:r>
              <w:t xml:space="preserve">574</w:t>
            </w:r>
            <w:r/>
          </w:p>
        </w:tc>
      </w:tr>
      <w:tr>
        <w:trPr/>
        <w:tc>
          <w:tcPr>
            <w:tcBorders>
              <w:top w:val="single" w:color="000000" w:sz="4" w:space="0"/>
              <w:left w:val="single" w:color="000000" w:sz="4" w:space="0"/>
              <w:bottom w:val="single" w:color="000000" w:sz="4" w:space="0"/>
            </w:tcBorders>
            <w:tcW w:w="68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contextualSpacing/>
              <w:jc w:val="both"/>
              <w:spacing w:before="0" w:after="0"/>
            </w:pPr>
            <w:r>
              <w:t xml:space="preserve">1</w:t>
            </w:r>
            <w:r/>
          </w:p>
        </w:tc>
      </w:tr>
      <w:tr>
        <w:trPr/>
        <w:tc>
          <w:tcPr>
            <w:tcBorders>
              <w:top w:val="single" w:color="000000" w:sz="4" w:space="0"/>
              <w:left w:val="single" w:color="000000" w:sz="4" w:space="0"/>
              <w:bottom w:val="single" w:color="000000" w:sz="4" w:space="0"/>
            </w:tcBorders>
            <w:tcW w:w="68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855" w:type="dxa"/>
            <w:textDirection w:val="lrTb"/>
            <w:noWrap w:val="false"/>
          </w:tcPr>
          <w:p>
            <w:pPr>
              <w:pStyle w:val="940"/>
              <w:contextualSpacing/>
              <w:jc w:val="both"/>
              <w:spacing w:before="0" w:after="0"/>
            </w:pPr>
            <w:r>
              <w:t xml:space="preserve">17</w:t>
            </w:r>
            <w:r/>
          </w:p>
        </w:tc>
      </w:tr>
    </w:tbl>
    <w:p>
      <w:pPr>
        <w:pStyle w:val="940"/>
      </w:pPr>
      <w:r/>
      <w:r/>
    </w:p>
    <w:p>
      <w:pPr>
        <w:pStyle w:val="943"/>
        <w:tabs>
          <w:tab w:val="left" w:pos="142" w:leader="none"/>
          <w:tab w:val="clear" w:pos="708" w:leader="none"/>
        </w:tabs>
      </w:pPr>
      <w:r>
        <w:rPr>
          <w:rFonts w:ascii="Times New Roman" w:hAnsi="Times New Roman" w:cs="Times New Roman"/>
          <w:lang w:val="ru-RU"/>
        </w:rPr>
        <w:t xml:space="preserve">1.5. </w:t>
      </w:r>
      <w:r>
        <w:rPr>
          <w:rFonts w:ascii="Times New Roman" w:hAnsi="Times New Roman" w:cs="Times New Roman"/>
        </w:rPr>
        <w:t xml:space="preserve">Количество участников ЕГЭ по предмету по АТЕ региона</w:t>
      </w:r>
      <w:r/>
    </w:p>
    <w:p>
      <w:pPr>
        <w:pStyle w:val="1409"/>
        <w:keepNext/>
        <w:rPr>
          <w:rFonts w:eastAsia="Times New Roman"/>
          <w:b/>
        </w:rPr>
      </w:pPr>
      <w:r>
        <w:t xml:space="preserve">Таблица 2</w:t>
        <w:noBreakHyphen/>
        <w:t xml:space="preserve">5</w:t>
      </w:r>
      <w:r/>
    </w:p>
    <w:p>
      <w:pPr>
        <w:pStyle w:val="940"/>
        <w:jc w:val="both"/>
        <w:rPr>
          <w:rFonts w:eastAsia="Times New Roman"/>
          <w:b/>
        </w:rPr>
      </w:pPr>
      <w:r>
        <w:rPr>
          <w:rFonts w:eastAsia="Times New Roman"/>
          <w:b/>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835"/>
        <w:gridCol w:w="3402"/>
        <w:gridCol w:w="3422"/>
      </w:tblGrid>
      <w:tr>
        <w:trPr>
          <w:trHeight w:val="630"/>
        </w:trPr>
        <w:tc>
          <w:tcPr>
            <w:shd w:val="clear" w:color="auto" w:fill="ffffff"/>
            <w:tcBorders>
              <w:top w:val="single" w:color="000000" w:sz="4" w:space="0"/>
              <w:left w:val="single" w:color="000000" w:sz="4" w:space="0"/>
              <w:bottom w:val="single" w:color="000000" w:sz="4" w:space="0"/>
            </w:tcBorders>
            <w:tcW w:w="2835"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биологии</w:t>
            </w:r>
            <w:r/>
          </w:p>
        </w:tc>
        <w:tc>
          <w:tcPr>
            <w:shd w:val="clear" w:color="auto" w:fill="ffffff"/>
            <w:tcBorders>
              <w:top w:val="single" w:color="000000" w:sz="4" w:space="0"/>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422</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51,2</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48</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5,8</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48</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5,8</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29</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3,5</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03"/>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20</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28</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3,4</w:t>
            </w:r>
            <w:r/>
          </w:p>
        </w:tc>
      </w:tr>
      <w:tr>
        <w:trPr>
          <w:trHeight w:val="227"/>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30</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77</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9,3</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9</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9</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630"/>
        </w:trPr>
        <w:tc>
          <w:tcPr>
            <w:shd w:val="clear" w:color="auto" w:fill="ffffff"/>
            <w:tcBorders>
              <w:left w:val="single" w:color="000000" w:sz="4" w:space="0"/>
              <w:bottom w:val="single" w:color="000000" w:sz="4" w:space="0"/>
            </w:tcBorders>
            <w:tcW w:w="2835" w:type="dxa"/>
            <w:vAlign w:val="center"/>
            <w:textDirection w:val="lrTb"/>
            <w:noWrap w:val="false"/>
          </w:tcPr>
          <w:p>
            <w:pPr>
              <w:pStyle w:val="940"/>
              <w:rPr>
                <w:rFonts w:eastAsia="Times New Roman"/>
                <w:color w:val="000000"/>
              </w:rPr>
            </w:pPr>
            <w:r>
              <w:rPr>
                <w:rFonts w:eastAsia="Times New Roman"/>
                <w:color w:val="000000"/>
              </w:rPr>
              <w:t xml:space="preserve">Прибывшие из других регионов</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342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3"/>
        <w:jc w:val="both"/>
        <w:tabs>
          <w:tab w:val="left" w:pos="142" w:leader="none"/>
          <w:tab w:val="clear" w:pos="708" w:leader="none"/>
        </w:tabs>
        <w:rPr>
          <w:rFonts w:ascii="Times New Roman" w:hAnsi="Times New Roman" w:cs="Times New Roman"/>
          <w:lang w:val="ru-RU"/>
        </w:rPr>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rPr>
          <w:rFonts w:ascii="Times New Roman" w:hAnsi="Times New Roman" w:cs="Times New Roman"/>
          <w:lang w:val="ru-RU"/>
        </w:rPr>
      </w:pPr>
      <w:r>
        <w:rPr>
          <w:rFonts w:cs="Times New Roman"/>
          <w:lang w:val="ru-RU"/>
        </w:rPr>
      </w:r>
      <w:r/>
    </w:p>
    <w:p>
      <w:pPr>
        <w:pStyle w:val="1409"/>
        <w:keepNext/>
        <w:rPr>
          <w:sz w:val="24"/>
          <w:szCs w:val="24"/>
        </w:rPr>
      </w:pPr>
      <w:r>
        <w:rPr>
          <w:sz w:val="24"/>
          <w:szCs w:val="24"/>
        </w:rPr>
        <w:t xml:space="preserve">Таблица 2</w:t>
        <w:noBreakHyphen/>
        <w:t xml:space="preserve">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62"/>
        <w:gridCol w:w="5881"/>
        <w:gridCol w:w="3216"/>
      </w:tblGrid>
      <w:tr>
        <w:trPr>
          <w:cantSplit/>
        </w:trPr>
        <w:tc>
          <w:tcPr>
            <w:tcBorders>
              <w:top w:val="single" w:color="000000" w:sz="4" w:space="0"/>
              <w:left w:val="single" w:color="000000" w:sz="4" w:space="0"/>
              <w:bottom w:val="single" w:color="000000" w:sz="4" w:space="0"/>
            </w:tcBorders>
            <w:tcW w:w="562"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5881"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62"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5881" w:type="dxa"/>
            <w:textDirection w:val="lrTb"/>
            <w:noWrap w:val="false"/>
          </w:tcPr>
          <w:p>
            <w:pPr>
              <w:pStyle w:val="940"/>
            </w:pPr>
            <w:r>
              <w:t xml:space="preserve">УМК «Биология» УМК Биология. Беляев Д.К. и др. (10-11), 2014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19</w:t>
            </w:r>
            <w:r/>
          </w:p>
        </w:tc>
      </w:tr>
      <w:tr>
        <w:trPr>
          <w:cantSplit/>
        </w:trPr>
        <w:tc>
          <w:tcPr>
            <w:tcBorders>
              <w:top w:val="single" w:color="000000" w:sz="4" w:space="0"/>
              <w:left w:val="single" w:color="000000" w:sz="4" w:space="0"/>
              <w:bottom w:val="single" w:color="000000" w:sz="4" w:space="0"/>
            </w:tcBorders>
            <w:tcW w:w="562"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000000" w:sz="4" w:space="0"/>
              <w:left w:val="single" w:color="000000" w:sz="4" w:space="0"/>
              <w:bottom w:val="single" w:color="000000" w:sz="4" w:space="0"/>
            </w:tcBorders>
            <w:tcW w:w="5881" w:type="dxa"/>
            <w:textDirection w:val="lrTb"/>
            <w:noWrap w:val="false"/>
          </w:tcPr>
          <w:p>
            <w:pPr>
              <w:pStyle w:val="940"/>
            </w:pPr>
            <w:r>
              <w:t xml:space="preserve">Биология. Общая биология. 10-11 классы А.А. Каменский, Е.А. Крискунов, В.В. Пасечник М.: 2017 г. издательство Дрофа</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w:t>
            </w:r>
            <w:r/>
          </w:p>
        </w:tc>
      </w:tr>
      <w:tr>
        <w:trPr>
          <w:cantSplit/>
        </w:trPr>
        <w:tc>
          <w:tcPr>
            <w:tcBorders>
              <w:top w:val="single" w:color="000000" w:sz="4" w:space="0"/>
              <w:left w:val="single" w:color="000000" w:sz="4" w:space="0"/>
              <w:bottom w:val="single" w:color="000000" w:sz="4" w:space="0"/>
            </w:tcBorders>
            <w:tcW w:w="562"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p>
        </w:tc>
        <w:tc>
          <w:tcPr>
            <w:tcBorders>
              <w:top w:val="single" w:color="000000" w:sz="4" w:space="0"/>
              <w:left w:val="single" w:color="000000" w:sz="4" w:space="0"/>
              <w:bottom w:val="single" w:color="000000" w:sz="4" w:space="0"/>
            </w:tcBorders>
            <w:tcW w:w="5881" w:type="dxa"/>
            <w:textDirection w:val="lrTb"/>
            <w:noWrap w:val="false"/>
          </w:tcPr>
          <w:p>
            <w:pPr>
              <w:pStyle w:val="940"/>
            </w:pPr>
            <w:r>
              <w:t xml:space="preserve">Биология 11 кл.  Понамарева И.Н., Корнилова О.А., Лощилина Т.Е. Базовый уровень 2017,2018, 2019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47</w:t>
            </w:r>
            <w:r/>
          </w:p>
        </w:tc>
      </w:tr>
      <w:tr>
        <w:trPr>
          <w:cantSplit/>
        </w:trPr>
        <w:tc>
          <w:tcPr>
            <w:tcBorders>
              <w:top w:val="single" w:color="000000" w:sz="4" w:space="0"/>
              <w:left w:val="single" w:color="000000" w:sz="4" w:space="0"/>
              <w:bottom w:val="single" w:color="000000" w:sz="4" w:space="0"/>
            </w:tcBorders>
            <w:tcW w:w="562"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p>
        </w:tc>
        <w:tc>
          <w:tcPr>
            <w:tcBorders>
              <w:top w:val="single" w:color="000000" w:sz="4" w:space="0"/>
              <w:left w:val="single" w:color="000000" w:sz="4" w:space="0"/>
              <w:bottom w:val="single" w:color="000000" w:sz="4" w:space="0"/>
            </w:tcBorders>
            <w:tcW w:w="5881" w:type="dxa"/>
            <w:textDirection w:val="lrTb"/>
            <w:noWrap w:val="false"/>
          </w:tcPr>
          <w:p>
            <w:pPr>
              <w:pStyle w:val="940"/>
            </w:pPr>
            <w:r>
              <w:t xml:space="preserve">УМК Агафонова И.Б., Сивоглазов В.И. 10-11кл.                 2018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24</w:t>
            </w:r>
            <w:r/>
          </w:p>
        </w:tc>
      </w:tr>
      <w:tr>
        <w:trPr>
          <w:cantSplit/>
        </w:trPr>
        <w:tc>
          <w:tcPr>
            <w:tcBorders>
              <w:top w:val="single" w:color="000000" w:sz="4" w:space="0"/>
              <w:left w:val="single" w:color="000000" w:sz="4" w:space="0"/>
              <w:bottom w:val="single" w:color="000000" w:sz="4" w:space="0"/>
            </w:tcBorders>
            <w:tcW w:w="562"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p>
        </w:tc>
        <w:tc>
          <w:tcPr>
            <w:tcBorders>
              <w:top w:val="single" w:color="000000" w:sz="4" w:space="0"/>
              <w:left w:val="single" w:color="000000" w:sz="4" w:space="0"/>
              <w:bottom w:val="single" w:color="000000" w:sz="4" w:space="0"/>
            </w:tcBorders>
            <w:tcW w:w="5881" w:type="dxa"/>
            <w:textDirection w:val="lrTb"/>
            <w:noWrap w:val="false"/>
          </w:tcPr>
          <w:p>
            <w:pPr>
              <w:pStyle w:val="940"/>
            </w:pPr>
            <w:r>
              <w:t xml:space="preserve">Захаров В.Б., Мамонтов С.Г., Сонин Н.И., Захарова Е.Т. Биология. Общая биология. Углубленный уровень. ООО «Дрофа», 2014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p>
        </w:tc>
      </w:tr>
    </w:tbl>
    <w:p>
      <w:pPr>
        <w:pStyle w:val="940"/>
        <w:jc w:val="both"/>
        <w:rPr>
          <w:rFonts w:eastAsia="Times New Roman"/>
          <w:b/>
        </w:rPr>
      </w:pPr>
      <w:r>
        <w:rPr>
          <w:rFonts w:eastAsia="Times New Roman"/>
          <w:b/>
        </w:rPr>
      </w:r>
      <w:r/>
    </w:p>
    <w:p>
      <w:pPr>
        <w:pStyle w:val="943"/>
        <w:jc w:val="both"/>
      </w:pPr>
      <w:r>
        <w:rPr>
          <w:rFonts w:ascii="Times New Roman" w:hAnsi="Times New Roman" w:cs="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В 2021 году популярность биологии как предмета по выбору возросла на 1%. Эта тенденция наблюдается на протяжении нескольких лет. Это может быть связано с популяризацией медицинских специальностей, микробиологии и биотехнологий.</w:t>
      </w:r>
      <w:r/>
    </w:p>
    <w:p>
      <w:pPr>
        <w:pStyle w:val="940"/>
        <w:ind w:firstLine="708"/>
        <w:jc w:val="both"/>
      </w:pPr>
      <w:r>
        <w:t xml:space="preserve">В гендерном соотношении мы видим, что, как и в предыдущие годы, юноши выбирают биологию гораздо реже, чем девушки (в 2021 году в 2,7 раз больше девушек, чем юношей). Однако, если на протяжении нескольких лет наблюдался рост доли юношей по отноше</w:t>
      </w:r>
      <w:r>
        <w:t xml:space="preserve">нию к общему количеству участников, то в 2021 году мы наблюдаем снижение данного процента. Причиной могут являться, как и новые правила приема в вузы в 2021 году (введение альтернативных предметов при поступлении), так и новые тенденции в выборе профессий.</w:t>
      </w:r>
      <w:r/>
    </w:p>
    <w:p>
      <w:pPr>
        <w:pStyle w:val="940"/>
        <w:ind w:firstLine="708"/>
        <w:jc w:val="both"/>
      </w:pPr>
      <w:r>
        <w:t xml:space="preserve">Наибольший процент уч</w:t>
      </w:r>
      <w:r>
        <w:t xml:space="preserve">астников по биологии составляют выпускники текущего года. Однако, следует отметить, что количество выпускников прошлых лет, выбравших биологию, в 2021 году увеличилось в 1,8 раз. Соотношение участников по типам образовательных организаций остается прежним.</w:t>
      </w:r>
      <w:r/>
    </w:p>
    <w:p>
      <w:pPr>
        <w:pStyle w:val="940"/>
        <w:ind w:firstLine="708"/>
        <w:jc w:val="both"/>
      </w:pPr>
      <w:r>
        <w:t xml:space="preserve">В разрезе АТЕ наблюдается превалирование доли участников из г. Астрахань (51, 2%). Доля участников из сельских районов составляет 48,8%. Рост количества участников по биологии наблюдается в образовательных организациях Приволжского района.</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ind w:left="567" w:firstLine="0"/>
        <w:jc w:val="both"/>
        <w:spacing w:line="360" w:lineRule="auto"/>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«Биология»</w:t>
      </w:r>
      <w:r/>
    </w:p>
    <w:p>
      <w:pPr>
        <w:pStyle w:val="1400"/>
        <w:numPr>
          <w:ilvl w:val="0"/>
          <w:numId w:val="26"/>
        </w:numPr>
        <w:contextualSpacing/>
        <w:ind w:left="567" w:right="0" w:firstLine="0"/>
        <w:keepLines/>
        <w:keepNext/>
        <w:spacing w:before="200" w:after="0" w:line="240" w:lineRule="auto"/>
        <w:rPr>
          <w:rFonts w:ascii="Times New Roman" w:hAnsi="Times New Roman" w:cs="Times New Roman" w:eastAsia="SimSun;宋体"/>
          <w:b/>
          <w:vanish/>
          <w:sz w:val="28"/>
          <w:szCs w:val="24"/>
          <w:lang w:eastAsia="ru-RU"/>
        </w:rPr>
      </w:pPr>
      <w:r>
        <w:rPr>
          <w:rFonts w:ascii="Times New Roman" w:hAnsi="Times New Roman" w:cs="Times New Roman" w:eastAsia="SimSun;宋体"/>
          <w:b/>
          <w:vanish/>
          <w:sz w:val="28"/>
          <w:szCs w:val="24"/>
          <w:lang w:eastAsia="ru-RU"/>
        </w:rPr>
      </w:r>
      <w:r/>
    </w:p>
    <w:p>
      <w:pPr>
        <w:pStyle w:val="943"/>
        <w:jc w:val="both"/>
        <w:tabs>
          <w:tab w:val="left" w:pos="0" w:leader="none"/>
          <w:tab w:val="clear" w:pos="708" w:leader="none"/>
        </w:tabs>
      </w:pPr>
      <w:r>
        <w:rPr>
          <w:rFonts w:ascii="Times New Roman" w:hAnsi="Times New Roman" w:cs="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w:t>
      </w:r>
      <w:r>
        <w:rPr>
          <w:rFonts w:ascii="Times New Roman" w:hAnsi="Times New Roman" w:cs="Times New Roman"/>
          <w:lang w:val="ru-RU"/>
        </w:rPr>
        <w:t xml:space="preserve"> </w:t>
      </w:r>
      <w:r>
        <w:rPr>
          <w:rFonts w:ascii="Times New Roman" w:hAnsi="Times New Roman" w:cs="Times New Roman"/>
        </w:rPr>
        <w:t xml:space="preserve">в</w:t>
      </w:r>
      <w:r>
        <w:rPr>
          <w:rFonts w:ascii="Times New Roman" w:hAnsi="Times New Roman" w:cs="Times New Roman"/>
          <w:lang w:val="ru-RU"/>
        </w:rPr>
        <w:t xml:space="preserve"> </w:t>
      </w:r>
      <w:r>
        <w:rPr>
          <w:rFonts w:ascii="Times New Roman" w:hAnsi="Times New Roman" w:cs="Times New Roman"/>
        </w:rPr>
        <w:t xml:space="preserve">2021</w:t>
      </w:r>
      <w:r>
        <w:rPr>
          <w:rFonts w:ascii="Times New Roman" w:hAnsi="Times New Roman" w:cs="Times New Roman"/>
          <w:lang w:val="ru-RU"/>
        </w:rPr>
        <w:t xml:space="preserve"> </w:t>
      </w:r>
      <w:r>
        <w:rPr>
          <w:rFonts w:ascii="Times New Roman" w:hAnsi="Times New Roman" w:cs="Times New Roman"/>
        </w:rPr>
        <w:t xml:space="preserve">г.</w:t>
      </w:r>
      <w:r/>
    </w:p>
    <w:p>
      <w:pPr>
        <w:pStyle w:val="943"/>
        <w:jc w:val="both"/>
        <w:tabs>
          <w:tab w:val="left" w:pos="0" w:leader="none"/>
          <w:tab w:val="clear" w:pos="708" w:leader="none"/>
        </w:tabs>
        <w:rPr>
          <w:rFonts w:ascii="Times New Roman" w:hAnsi="Times New Roman" w:cs="Times New Roman"/>
          <w:b w:val="0"/>
          <w:i/>
          <w:sz w:val="24"/>
        </w:rPr>
      </w:pPr>
      <w:r>
        <w:rPr>
          <w:rFonts w:ascii="Times New Roman" w:hAnsi="Times New Roman" w:cs="Times New Roman"/>
          <w:b w:val="0"/>
          <w:i/>
          <w:sz w:val="24"/>
        </w:rPr>
        <w:t xml:space="preserve">(количество участников, получивших тот или иной тестовый балл)</w:t>
      </w:r>
      <w:r/>
    </w:p>
    <w:p>
      <w:pPr>
        <w:pStyle w:val="940"/>
        <w:tabs>
          <w:tab w:val="left" w:pos="0" w:leader="none"/>
          <w:tab w:val="clear" w:pos="708" w:leader="none"/>
        </w:tabs>
        <w:rPr>
          <w:b/>
          <w:i/>
        </w:rPr>
      </w:pPr>
      <w:r>
        <w:rPr>
          <w:b/>
          <w:i/>
        </w:rPr>
      </w:r>
      <w:r/>
    </w:p>
    <w:p>
      <w:pPr>
        <w:pStyle w:val="940"/>
        <w:jc w:val="center"/>
        <w:tabs>
          <w:tab w:val="left" w:pos="0" w:leader="none"/>
          <w:tab w:val="clear" w:pos="708" w:leader="none"/>
        </w:tabs>
        <w:rPr>
          <w:lang w:val="en-US" w:eastAsia="en-US"/>
        </w:rPr>
      </w:pPr>
      <w:r>
        <w:rPr>
          <w:lang w:val="en-US" w:eastAsia="en-US"/>
        </w:rPr>
        <mc:AlternateContent>
          <mc:Choice Requires="wpg">
            <w:drawing>
              <wp:inline xmlns:wp="http://schemas.openxmlformats.org/drawingml/2006/wordprocessingDrawing" distT="0" distB="0" distL="0" distR="0">
                <wp:extent cx="6014085" cy="2120900"/>
                <wp:effectExtent l="0" t="0" r="0" b="0"/>
                <wp:docPr id="11" name="Image8"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hidden="0"/>
                        <pic:cNvPicPr>
                          <a:picLocks noChangeAspect="1"/>
                        </pic:cNvPicPr>
                        <pic:nvPr isPhoto="0" userDrawn="0"/>
                      </pic:nvPicPr>
                      <pic:blipFill>
                        <a:blip r:embed="rId25"/>
                        <a:srcRect l="0" t="8706" r="0" b="0"/>
                        <a:stretch/>
                      </pic:blipFill>
                      <pic:spPr bwMode="auto">
                        <a:xfrm>
                          <a:off x="0" y="0"/>
                          <a:ext cx="6014085" cy="212090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73.5pt;height:167.0pt;" strokecolor="#000000" strokeweight="0.75pt">
                <v:path textboxrect="0,0,0,0"/>
                <v:imagedata r:id="rId25" o:title=""/>
              </v:shape>
            </w:pict>
          </mc:Fallback>
        </mc:AlternateContent>
      </w:r>
      <w:r/>
    </w:p>
    <w:p>
      <w:pPr>
        <w:pStyle w:val="940"/>
        <w:tabs>
          <w:tab w:val="left" w:pos="0" w:leader="none"/>
          <w:tab w:val="clear" w:pos="708" w:leader="none"/>
        </w:tabs>
      </w:pPr>
      <w:r/>
      <w:r/>
    </w:p>
    <w:p>
      <w:pPr>
        <w:pStyle w:val="943"/>
        <w:tabs>
          <w:tab w:val="left" w:pos="0" w:leader="none"/>
          <w:tab w:val="clear" w:pos="708" w:leader="none"/>
        </w:tabs>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2.2. </w:t>
      </w:r>
      <w:r>
        <w:rPr>
          <w:rFonts w:ascii="Times New Roman" w:hAnsi="Times New Roman" w:cs="Times New Roman"/>
        </w:rPr>
        <w:t xml:space="preserve">Динамика результатов ЕГЭ по предмету за последние 3 года</w:t>
      </w:r>
      <w:r/>
    </w:p>
    <w:p>
      <w:pPr>
        <w:pStyle w:val="1409"/>
        <w:keepNext/>
        <w:tabs>
          <w:tab w:val="left" w:pos="0" w:leader="none"/>
          <w:tab w:val="clear" w:pos="708" w:leader="none"/>
        </w:tabs>
        <w:rPr>
          <w:rFonts w:eastAsia="MS Mincho;ＭＳ 明朝"/>
        </w:rPr>
      </w:pPr>
      <w:r>
        <w:t xml:space="preserve">Таблица 2</w:t>
        <w:noBreakHyphen/>
        <w:t xml:space="preserve">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852"/>
        <w:gridCol w:w="1702"/>
        <w:gridCol w:w="1857"/>
        <w:gridCol w:w="1248"/>
      </w:tblGrid>
      <w:tr>
        <w:trPr>
          <w:cantSplit/>
          <w:trHeight w:val="330"/>
          <w:tblHeader/>
        </w:trPr>
        <w:tc>
          <w:tcPr>
            <w:tcBorders>
              <w:top w:val="single" w:color="000000" w:sz="4" w:space="0"/>
              <w:left w:val="single" w:color="000000" w:sz="4" w:space="0"/>
              <w:bottom w:val="single" w:color="000000" w:sz="4" w:space="0"/>
            </w:tcBorders>
            <w:tcW w:w="4852" w:type="dxa"/>
            <w:vMerge w:val="restart"/>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807" w:type="dxa"/>
            <w:textDirection w:val="lrTb"/>
            <w:noWrap w:val="false"/>
          </w:tcPr>
          <w:p>
            <w:pPr>
              <w:pStyle w:val="940"/>
              <w:contextualSpacing/>
              <w:jc w:val="center"/>
              <w:spacing w:before="0" w:after="0"/>
              <w:tabs>
                <w:tab w:val="left" w:pos="0" w:leader="none"/>
                <w:tab w:val="clear" w:pos="708" w:leader="none"/>
              </w:tabs>
              <w:rPr>
                <w:rFonts w:eastAsia="MS Mincho;ＭＳ 明朝"/>
              </w:rPr>
            </w:pPr>
            <w:r>
              <w:rPr>
                <w:rFonts w:eastAsia="MS Mincho;ＭＳ 明朝"/>
              </w:rPr>
              <w:t xml:space="preserve">Астраханская область</w:t>
            </w:r>
            <w:r/>
          </w:p>
        </w:tc>
      </w:tr>
      <w:tr>
        <w:trPr>
          <w:cantSplit/>
          <w:trHeight w:val="151"/>
          <w:tblHeader/>
        </w:trPr>
        <w:tc>
          <w:tcPr>
            <w:tcBorders>
              <w:top w:val="single" w:color="000000" w:sz="4" w:space="0"/>
              <w:left w:val="single" w:color="000000" w:sz="4" w:space="0"/>
              <w:bottom w:val="single" w:color="000000" w:sz="4" w:space="0"/>
            </w:tcBorders>
            <w:tcW w:w="4852" w:type="dxa"/>
            <w:vMerge w:val="continue"/>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702" w:type="dxa"/>
            <w:textDirection w:val="lrTb"/>
            <w:noWrap w:val="false"/>
          </w:tcPr>
          <w:p>
            <w:pPr>
              <w:pStyle w:val="940"/>
              <w:contextualSpacing/>
              <w:jc w:val="center"/>
              <w:spacing w:before="0" w:after="0"/>
              <w:tabs>
                <w:tab w:val="left" w:pos="0" w:leader="none"/>
                <w:tab w:val="clear" w:pos="708" w:leader="none"/>
              </w:tabs>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857" w:type="dxa"/>
            <w:textDirection w:val="lrTb"/>
            <w:noWrap w:val="false"/>
          </w:tcPr>
          <w:p>
            <w:pPr>
              <w:pStyle w:val="940"/>
              <w:contextualSpacing/>
              <w:jc w:val="center"/>
              <w:spacing w:before="0" w:after="0"/>
              <w:tabs>
                <w:tab w:val="left" w:pos="0" w:leader="none"/>
                <w:tab w:val="clear" w:pos="708" w:leader="none"/>
              </w:tabs>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248" w:type="dxa"/>
            <w:textDirection w:val="lrTb"/>
            <w:noWrap w:val="false"/>
          </w:tcPr>
          <w:p>
            <w:pPr>
              <w:pStyle w:val="940"/>
              <w:contextualSpacing/>
              <w:jc w:val="center"/>
              <w:spacing w:before="0" w:after="0"/>
              <w:tabs>
                <w:tab w:val="left" w:pos="0" w:leader="none"/>
                <w:tab w:val="clear" w:pos="708" w:leader="none"/>
              </w:tabs>
              <w:rPr>
                <w:rFonts w:eastAsia="MS Mincho;ＭＳ 明朝"/>
              </w:rPr>
            </w:pPr>
            <w:r>
              <w:rPr>
                <w:rFonts w:eastAsia="MS Mincho;ＭＳ 明朝"/>
              </w:rPr>
              <w:t xml:space="preserve">2021 г.</w:t>
            </w:r>
            <w:r/>
          </w:p>
        </w:tc>
      </w:tr>
      <w:tr>
        <w:trPr>
          <w:cantSplit/>
          <w:trHeight w:val="341"/>
        </w:trPr>
        <w:tc>
          <w:tcPr>
            <w:tcBorders>
              <w:top w:val="single" w:color="000000" w:sz="4" w:space="0"/>
              <w:left w:val="single" w:color="000000" w:sz="4" w:space="0"/>
              <w:bottom w:val="single" w:color="000000" w:sz="4" w:space="0"/>
            </w:tcBorders>
            <w:tcW w:w="4852" w:type="dxa"/>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702" w:type="dxa"/>
            <w:vAlign w:val="center"/>
            <w:textDirection w:val="lrTb"/>
            <w:noWrap w:val="false"/>
          </w:tcPr>
          <w:p>
            <w:pPr>
              <w:pStyle w:val="940"/>
              <w:jc w:val="center"/>
              <w:tabs>
                <w:tab w:val="left" w:pos="0" w:leader="none"/>
                <w:tab w:val="clear" w:pos="708" w:leader="none"/>
              </w:tabs>
              <w:rPr>
                <w:color w:val="000000"/>
              </w:rPr>
            </w:pPr>
            <w:r>
              <w:rPr>
                <w:color w:val="000000"/>
              </w:rPr>
              <w:t xml:space="preserve">18,4</w:t>
            </w:r>
            <w:r/>
          </w:p>
        </w:tc>
        <w:tc>
          <w:tcPr>
            <w:tcBorders>
              <w:top w:val="single" w:color="000000" w:sz="4" w:space="0"/>
              <w:left w:val="single" w:color="000000" w:sz="4" w:space="0"/>
              <w:bottom w:val="single" w:color="000000" w:sz="4" w:space="0"/>
            </w:tcBorders>
            <w:tcW w:w="1857" w:type="dxa"/>
            <w:vAlign w:val="center"/>
            <w:textDirection w:val="lrTb"/>
            <w:noWrap w:val="false"/>
          </w:tcPr>
          <w:p>
            <w:pPr>
              <w:pStyle w:val="940"/>
              <w:jc w:val="center"/>
              <w:tabs>
                <w:tab w:val="left" w:pos="0" w:leader="none"/>
                <w:tab w:val="clear" w:pos="708" w:leader="none"/>
              </w:tabs>
              <w:rPr>
                <w:color w:val="000000"/>
              </w:rPr>
            </w:pPr>
            <w:r>
              <w:rPr>
                <w:color w:val="000000"/>
              </w:rPr>
              <w:t xml:space="preserve">19,2</w:t>
            </w:r>
            <w:r/>
          </w:p>
        </w:tc>
        <w:tc>
          <w:tcPr>
            <w:tcBorders>
              <w:top w:val="single" w:color="000000" w:sz="4" w:space="0"/>
              <w:left w:val="single" w:color="000000" w:sz="4" w:space="0"/>
              <w:bottom w:val="single" w:color="000000" w:sz="4" w:space="0"/>
              <w:right w:val="single" w:color="000000" w:sz="4" w:space="0"/>
            </w:tcBorders>
            <w:tcW w:w="1248" w:type="dxa"/>
            <w:textDirection w:val="lrTb"/>
            <w:noWrap w:val="false"/>
          </w:tcPr>
          <w:p>
            <w:pPr>
              <w:pStyle w:val="940"/>
              <w:jc w:val="center"/>
              <w:tabs>
                <w:tab w:val="left" w:pos="0" w:leader="none"/>
                <w:tab w:val="clear" w:pos="708" w:leader="none"/>
              </w:tabs>
            </w:pPr>
            <w:r>
              <w:t xml:space="preserve">18,8</w:t>
            </w:r>
            <w:r/>
          </w:p>
        </w:tc>
      </w:tr>
      <w:tr>
        <w:trPr>
          <w:cantSplit/>
          <w:trHeight w:val="346"/>
        </w:trPr>
        <w:tc>
          <w:tcPr>
            <w:tcBorders>
              <w:top w:val="single" w:color="000000" w:sz="4" w:space="0"/>
              <w:left w:val="single" w:color="000000" w:sz="4" w:space="0"/>
              <w:bottom w:val="single" w:color="000000" w:sz="4" w:space="0"/>
            </w:tcBorders>
            <w:tcW w:w="4852" w:type="dxa"/>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702" w:type="dxa"/>
            <w:vAlign w:val="center"/>
            <w:textDirection w:val="lrTb"/>
            <w:noWrap w:val="false"/>
          </w:tcPr>
          <w:p>
            <w:pPr>
              <w:pStyle w:val="940"/>
              <w:jc w:val="center"/>
              <w:tabs>
                <w:tab w:val="left" w:pos="0" w:leader="none"/>
                <w:tab w:val="clear" w:pos="708" w:leader="none"/>
              </w:tabs>
              <w:rPr>
                <w:color w:val="000000"/>
              </w:rPr>
            </w:pPr>
            <w:r>
              <w:rPr>
                <w:color w:val="000000"/>
              </w:rPr>
              <w:t xml:space="preserve">51,0</w:t>
            </w:r>
            <w:r/>
          </w:p>
        </w:tc>
        <w:tc>
          <w:tcPr>
            <w:tcBorders>
              <w:left w:val="single" w:color="000000" w:sz="4" w:space="0"/>
              <w:bottom w:val="single" w:color="000000" w:sz="4" w:space="0"/>
            </w:tcBorders>
            <w:tcW w:w="1857" w:type="dxa"/>
            <w:vAlign w:val="center"/>
            <w:textDirection w:val="lrTb"/>
            <w:noWrap w:val="false"/>
          </w:tcPr>
          <w:p>
            <w:pPr>
              <w:pStyle w:val="940"/>
              <w:jc w:val="center"/>
              <w:tabs>
                <w:tab w:val="left" w:pos="0" w:leader="none"/>
                <w:tab w:val="clear" w:pos="708" w:leader="none"/>
              </w:tabs>
              <w:rPr>
                <w:color w:val="000000"/>
              </w:rPr>
            </w:pPr>
            <w:r>
              <w:rPr>
                <w:color w:val="000000"/>
              </w:rPr>
              <w:t xml:space="preserve">49,9</w:t>
            </w:r>
            <w:r/>
          </w:p>
        </w:tc>
        <w:tc>
          <w:tcPr>
            <w:tcBorders>
              <w:top w:val="single" w:color="000000" w:sz="4" w:space="0"/>
              <w:left w:val="single" w:color="000000" w:sz="4" w:space="0"/>
              <w:bottom w:val="single" w:color="000000" w:sz="4" w:space="0"/>
              <w:right w:val="single" w:color="000000" w:sz="4" w:space="0"/>
            </w:tcBorders>
            <w:tcW w:w="1248" w:type="dxa"/>
            <w:textDirection w:val="lrTb"/>
            <w:noWrap w:val="false"/>
          </w:tcPr>
          <w:p>
            <w:pPr>
              <w:pStyle w:val="940"/>
              <w:jc w:val="center"/>
              <w:tabs>
                <w:tab w:val="left" w:pos="0" w:leader="none"/>
                <w:tab w:val="clear" w:pos="708" w:leader="none"/>
              </w:tabs>
            </w:pPr>
            <w:r>
              <w:t xml:space="preserve">49,4</w:t>
            </w:r>
            <w:r/>
          </w:p>
        </w:tc>
      </w:tr>
      <w:tr>
        <w:trPr>
          <w:cantSplit/>
          <w:trHeight w:val="330"/>
        </w:trPr>
        <w:tc>
          <w:tcPr>
            <w:tcBorders>
              <w:top w:val="single" w:color="000000" w:sz="4" w:space="0"/>
              <w:left w:val="single" w:color="000000" w:sz="4" w:space="0"/>
              <w:bottom w:val="single" w:color="000000" w:sz="4" w:space="0"/>
            </w:tcBorders>
            <w:tcW w:w="4852" w:type="dxa"/>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702" w:type="dxa"/>
            <w:vAlign w:val="center"/>
            <w:textDirection w:val="lrTb"/>
            <w:noWrap w:val="false"/>
          </w:tcPr>
          <w:p>
            <w:pPr>
              <w:pStyle w:val="940"/>
              <w:jc w:val="center"/>
              <w:tabs>
                <w:tab w:val="left" w:pos="0" w:leader="none"/>
                <w:tab w:val="clear" w:pos="708" w:leader="none"/>
              </w:tabs>
              <w:rPr>
                <w:color w:val="000000"/>
              </w:rPr>
            </w:pPr>
            <w:r>
              <w:rPr>
                <w:color w:val="000000"/>
              </w:rPr>
              <w:t xml:space="preserve">4,0</w:t>
            </w:r>
            <w:r/>
          </w:p>
        </w:tc>
        <w:tc>
          <w:tcPr>
            <w:tcBorders>
              <w:left w:val="single" w:color="000000" w:sz="4" w:space="0"/>
              <w:bottom w:val="single" w:color="000000" w:sz="4" w:space="0"/>
            </w:tcBorders>
            <w:tcW w:w="1857" w:type="dxa"/>
            <w:vAlign w:val="center"/>
            <w:textDirection w:val="lrTb"/>
            <w:noWrap w:val="false"/>
          </w:tcPr>
          <w:p>
            <w:pPr>
              <w:pStyle w:val="940"/>
              <w:jc w:val="center"/>
              <w:tabs>
                <w:tab w:val="left" w:pos="0" w:leader="none"/>
                <w:tab w:val="clear" w:pos="708" w:leader="none"/>
              </w:tabs>
              <w:rPr>
                <w:color w:val="000000"/>
              </w:rPr>
            </w:pPr>
            <w:r>
              <w:rPr>
                <w:color w:val="000000"/>
              </w:rPr>
              <w:t xml:space="preserve">3,2</w:t>
            </w:r>
            <w:r/>
          </w:p>
        </w:tc>
        <w:tc>
          <w:tcPr>
            <w:tcBorders>
              <w:top w:val="single" w:color="000000" w:sz="4" w:space="0"/>
              <w:left w:val="single" w:color="000000" w:sz="4" w:space="0"/>
              <w:bottom w:val="single" w:color="000000" w:sz="4" w:space="0"/>
              <w:right w:val="single" w:color="000000" w:sz="4" w:space="0"/>
            </w:tcBorders>
            <w:tcW w:w="1248" w:type="dxa"/>
            <w:textDirection w:val="lrTb"/>
            <w:noWrap w:val="false"/>
          </w:tcPr>
          <w:p>
            <w:pPr>
              <w:pStyle w:val="940"/>
              <w:jc w:val="center"/>
              <w:tabs>
                <w:tab w:val="left" w:pos="0" w:leader="none"/>
                <w:tab w:val="clear" w:pos="708" w:leader="none"/>
              </w:tabs>
            </w:pPr>
            <w:r>
              <w:t xml:space="preserve">4,7</w:t>
            </w:r>
            <w:r/>
          </w:p>
        </w:tc>
      </w:tr>
      <w:tr>
        <w:trPr>
          <w:cantSplit/>
          <w:trHeight w:val="362"/>
        </w:trPr>
        <w:tc>
          <w:tcPr>
            <w:tcBorders>
              <w:top w:val="single" w:color="000000" w:sz="4" w:space="0"/>
              <w:left w:val="single" w:color="000000" w:sz="4" w:space="0"/>
              <w:bottom w:val="single" w:color="000000" w:sz="4" w:space="0"/>
            </w:tcBorders>
            <w:tcW w:w="4852" w:type="dxa"/>
            <w:textDirection w:val="lrTb"/>
            <w:noWrap w:val="false"/>
          </w:tcPr>
          <w:p>
            <w:pPr>
              <w:pStyle w:val="940"/>
              <w:contextualSpacing/>
              <w:jc w:val="both"/>
              <w:spacing w:before="0" w:after="0"/>
              <w:tabs>
                <w:tab w:val="left" w:pos="0" w:leader="none"/>
                <w:tab w:val="clear" w:pos="708" w:leader="none"/>
              </w:tabs>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702" w:type="dxa"/>
            <w:vAlign w:val="center"/>
            <w:textDirection w:val="lrTb"/>
            <w:noWrap w:val="false"/>
          </w:tcPr>
          <w:p>
            <w:pPr>
              <w:pStyle w:val="940"/>
              <w:jc w:val="center"/>
              <w:tabs>
                <w:tab w:val="left" w:pos="0" w:leader="none"/>
                <w:tab w:val="clear" w:pos="708" w:leader="none"/>
              </w:tabs>
              <w:rPr>
                <w:color w:val="000000"/>
              </w:rPr>
            </w:pPr>
            <w:r>
              <w:rPr>
                <w:color w:val="000000"/>
              </w:rPr>
              <w:t xml:space="preserve">1</w:t>
            </w:r>
            <w:r/>
          </w:p>
        </w:tc>
        <w:tc>
          <w:tcPr>
            <w:tcBorders>
              <w:left w:val="single" w:color="000000" w:sz="4" w:space="0"/>
              <w:bottom w:val="single" w:color="000000" w:sz="4" w:space="0"/>
            </w:tcBorders>
            <w:tcW w:w="1857" w:type="dxa"/>
            <w:vAlign w:val="center"/>
            <w:textDirection w:val="lrTb"/>
            <w:noWrap w:val="false"/>
          </w:tcPr>
          <w:p>
            <w:pPr>
              <w:pStyle w:val="940"/>
              <w:jc w:val="center"/>
              <w:tabs>
                <w:tab w:val="left" w:pos="0" w:leader="none"/>
                <w:tab w:val="clear" w:pos="708" w:leader="none"/>
              </w:tabs>
              <w:rPr>
                <w:color w:val="000000"/>
              </w:rPr>
            </w:pPr>
            <w:r>
              <w:rPr>
                <w:color w:val="000000"/>
              </w:rPr>
              <w:t xml:space="preserve">0</w:t>
            </w:r>
            <w:r/>
          </w:p>
        </w:tc>
        <w:tc>
          <w:tcPr>
            <w:tcBorders>
              <w:top w:val="single" w:color="000000" w:sz="4" w:space="0"/>
              <w:left w:val="single" w:color="000000" w:sz="4" w:space="0"/>
              <w:bottom w:val="single" w:color="000000" w:sz="4" w:space="0"/>
              <w:right w:val="single" w:color="000000" w:sz="4" w:space="0"/>
            </w:tcBorders>
            <w:tcW w:w="1248" w:type="dxa"/>
            <w:textDirection w:val="lrTb"/>
            <w:noWrap w:val="false"/>
          </w:tcPr>
          <w:p>
            <w:pPr>
              <w:pStyle w:val="940"/>
              <w:jc w:val="center"/>
              <w:tabs>
                <w:tab w:val="left" w:pos="0" w:leader="none"/>
                <w:tab w:val="clear" w:pos="708" w:leader="none"/>
              </w:tabs>
            </w:pPr>
            <w:r>
              <w:t xml:space="preserve">1</w:t>
            </w:r>
            <w:r/>
          </w:p>
        </w:tc>
      </w:tr>
    </w:tbl>
    <w:p>
      <w:pPr>
        <w:pStyle w:val="940"/>
        <w:jc w:val="both"/>
        <w:tabs>
          <w:tab w:val="left" w:pos="0" w:leader="none"/>
          <w:tab w:val="clear" w:pos="708" w:leader="none"/>
          <w:tab w:val="left" w:pos="709" w:leader="none"/>
        </w:tabs>
      </w:pPr>
      <w:r/>
      <w:r/>
    </w:p>
    <w:p>
      <w:pPr>
        <w:pStyle w:val="943"/>
        <w:jc w:val="both"/>
        <w:tabs>
          <w:tab w:val="left" w:pos="0" w:leader="none"/>
          <w:tab w:val="clear" w:pos="708" w:leader="none"/>
        </w:tabs>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подготовки:</w:t>
      </w:r>
      <w:r/>
    </w:p>
    <w:p>
      <w:pPr>
        <w:pStyle w:val="943"/>
        <w:ind w:left="567" w:firstLine="0"/>
      </w:pP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w:t>
      </w:r>
      <w:r/>
    </w:p>
    <w:p>
      <w:pPr>
        <w:pStyle w:val="1409"/>
        <w:keepNext/>
        <w:tabs>
          <w:tab w:val="left" w:pos="0" w:leader="none"/>
          <w:tab w:val="clear" w:pos="708" w:leader="none"/>
        </w:tabs>
        <w:rPr>
          <w:sz w:val="24"/>
          <w:szCs w:val="24"/>
        </w:rPr>
      </w:pPr>
      <w:r>
        <w:rPr>
          <w:sz w:val="24"/>
          <w:szCs w:val="24"/>
        </w:rP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18"/>
        <w:gridCol w:w="1276"/>
        <w:gridCol w:w="1275"/>
        <w:gridCol w:w="1134"/>
        <w:gridCol w:w="1276"/>
        <w:gridCol w:w="1134"/>
        <w:gridCol w:w="992"/>
        <w:gridCol w:w="1154"/>
      </w:tblGrid>
      <w:tr>
        <w:trPr>
          <w:cantSplit/>
          <w:trHeight w:val="1052"/>
          <w:tblHeader/>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76" w:type="dxa"/>
            <w:vAlign w:val="center"/>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16,2</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44,4</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rPr>
              <w:t xml:space="preserve">36,4</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20,0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55,6</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1096"/>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56,7</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55,6</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54,5</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60,0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22,2</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811"/>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21,8</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7,8</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10,0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22,2</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824"/>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5,2</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1,3</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rPr>
              <w:t xml:space="preserve">1</w:t>
            </w: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r>
      <w:tr>
        <w:trPr>
          <w:cantSplit/>
          <w:trHeight w:val="541"/>
        </w:trPr>
        <w:tc>
          <w:tcPr>
            <w:tcBorders>
              <w:top w:val="single" w:color="000000" w:sz="4" w:space="0"/>
              <w:left w:val="single" w:color="000000" w:sz="4" w:space="0"/>
              <w:bottom w:val="single" w:color="000000" w:sz="4" w:space="0"/>
            </w:tcBorders>
            <w:tcW w:w="1418" w:type="dxa"/>
            <w:textDirection w:val="lrTb"/>
            <w:noWrap w:val="false"/>
          </w:tcPr>
          <w:p>
            <w:pPr>
              <w:pStyle w:val="1400"/>
              <w:contextualSpacing/>
              <w:ind w:left="0" w:right="0" w:firstLine="0"/>
              <w:jc w:val="both"/>
              <w:spacing w:before="0" w:after="0" w:line="240" w:lineRule="auto"/>
              <w:tabs>
                <w:tab w:val="left" w:pos="0" w:leader="none"/>
                <w:tab w:val="clear" w:pos="708" w:leader="none"/>
              </w:tabs>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1</w:t>
            </w:r>
            <w:r/>
          </w:p>
        </w:tc>
        <w:tc>
          <w:tcPr>
            <w:tcBorders>
              <w:top w:val="single" w:color="000000" w:sz="4" w:space="0"/>
              <w:left w:val="single" w:color="000000" w:sz="4" w:space="0"/>
              <w:bottom w:val="single" w:color="000000" w:sz="4" w:space="0"/>
            </w:tcBorders>
            <w:tcW w:w="1275"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276"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13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992"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right w:val="single" w:color="000000" w:sz="4" w:space="0"/>
            </w:tcBorders>
            <w:tcW w:w="1154" w:type="dxa"/>
            <w:textDirection w:val="lrTb"/>
            <w:noWrap w:val="false"/>
          </w:tcPr>
          <w:p>
            <w:pPr>
              <w:pStyle w:val="1400"/>
              <w:contextualSpacing/>
              <w:ind w:left="0" w:right="0" w:firstLine="0"/>
              <w:jc w:val="center"/>
              <w:spacing w:before="0" w:after="0" w:line="240" w:lineRule="auto"/>
              <w:tabs>
                <w:tab w:val="left" w:pos="0" w:leader="none"/>
                <w:tab w:val="clear" w:pos="708" w:leader="none"/>
              </w:tabs>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r>
    </w:tbl>
    <w:p>
      <w:pPr>
        <w:pStyle w:val="940"/>
        <w:tabs>
          <w:tab w:val="left" w:pos="0" w:leader="none"/>
          <w:tab w:val="clear" w:pos="708" w:leader="none"/>
        </w:tabs>
      </w:pPr>
      <w:r/>
      <w:r/>
    </w:p>
    <w:p>
      <w:pPr>
        <w:pStyle w:val="943"/>
        <w:ind w:left="567" w:firstLine="0"/>
        <w:rPr>
          <w:rFonts w:ascii="Times New Roman" w:hAnsi="Times New Roman" w:cs="Times New Roman"/>
          <w:b w:val="0"/>
          <w:bCs w:val="0"/>
          <w:lang w:val="ru-RU"/>
        </w:rPr>
      </w:pP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940"/>
        <w:rPr>
          <w:rFonts w:ascii="Times New Roman" w:hAnsi="Times New Roman" w:cs="Times New Roman"/>
          <w:b/>
          <w:bCs/>
          <w:lang w:val="ru-RU"/>
        </w:rPr>
      </w:pPr>
      <w:r>
        <w:rPr>
          <w:rFonts w:cs="Times New Roman"/>
          <w:b/>
          <w:bCs/>
          <w:lang w:val="ru-RU"/>
        </w:rPr>
      </w:r>
      <w:r/>
    </w:p>
    <w:p>
      <w:pPr>
        <w:pStyle w:val="940"/>
      </w:pPr>
      <w:r/>
      <w:r/>
    </w:p>
    <w:p>
      <w:pPr>
        <w:pStyle w:val="940"/>
      </w:pPr>
      <w:r/>
      <w:r/>
    </w:p>
    <w:p>
      <w:pPr>
        <w:pStyle w:val="1409"/>
        <w:keepNext/>
        <w:tabs>
          <w:tab w:val="left" w:pos="0" w:leader="none"/>
          <w:tab w:val="clear" w:pos="708" w:leader="none"/>
        </w:tabs>
        <w:rPr>
          <w:rFonts w:eastAsia="Times New Roman"/>
        </w:rPr>
      </w:pPr>
      <w:r>
        <w:t xml:space="preserve">Таблица 2</w:t>
        <w:noBreakHyphen/>
        <w:t xml:space="preserve">9</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786"/>
        <w:gridCol w:w="1689"/>
        <w:gridCol w:w="1689"/>
        <w:gridCol w:w="1483"/>
        <w:gridCol w:w="1483"/>
        <w:gridCol w:w="1631"/>
      </w:tblGrid>
      <w:tr>
        <w:trPr>
          <w:trHeight w:val="307"/>
        </w:trPr>
        <w:tc>
          <w:tcPr>
            <w:tcBorders>
              <w:top w:val="single" w:color="000000" w:sz="4" w:space="0"/>
              <w:left w:val="single" w:color="000000" w:sz="4" w:space="0"/>
              <w:bottom w:val="single" w:color="000000" w:sz="4" w:space="0"/>
            </w:tcBorders>
            <w:tcW w:w="1786" w:type="dxa"/>
            <w:vAlign w:val="bottom"/>
            <w:vMerge w:val="restart"/>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344"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31" w:type="dxa"/>
            <w:vAlign w:val="bottom"/>
            <w:vMerge w:val="restart"/>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Количество выпускников, получивших 100 баллов</w:t>
            </w:r>
            <w:r/>
          </w:p>
        </w:tc>
      </w:tr>
      <w:tr>
        <w:trPr>
          <w:trHeight w:val="288"/>
        </w:trPr>
        <w:tc>
          <w:tcPr>
            <w:tcBorders>
              <w:top w:val="single" w:color="000000" w:sz="4" w:space="0"/>
              <w:left w:val="single" w:color="000000" w:sz="4" w:space="0"/>
              <w:bottom w:val="single" w:color="000000" w:sz="4" w:space="0"/>
            </w:tcBorders>
            <w:tcW w:w="1786" w:type="dxa"/>
            <w:vAlign w:val="bottom"/>
            <w:vMerge w:val="continue"/>
            <w:textDirection w:val="lrTb"/>
            <w:noWrap w:val="false"/>
          </w:tcPr>
          <w:p>
            <w:pPr>
              <w:pStyle w:val="940"/>
              <w:tabs>
                <w:tab w:val="left" w:pos="0" w:leader="none"/>
                <w:tab w:val="clear" w:pos="708" w:leader="none"/>
              </w:tabs>
              <w:rPr>
                <w:rFonts w:eastAsia="Times New Roman"/>
                <w:lang w:eastAsia="en-US"/>
              </w:rPr>
            </w:pPr>
            <w:r>
              <w:rPr>
                <w:rFonts w:eastAsia="Times New Roman"/>
                <w:lang w:eastAsia="en-US"/>
              </w:rPr>
            </w:r>
            <w:r/>
          </w:p>
        </w:tc>
        <w:tc>
          <w:tcPr>
            <w:tcBorders>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31" w:type="dxa"/>
            <w:vAlign w:val="bottom"/>
            <w:vMerge w:val="continue"/>
            <w:textDirection w:val="lrTb"/>
            <w:noWrap w:val="false"/>
          </w:tcPr>
          <w:p>
            <w:pPr>
              <w:pStyle w:val="940"/>
              <w:tabs>
                <w:tab w:val="left" w:pos="0" w:leader="none"/>
                <w:tab w:val="clear" w:pos="708" w:leader="none"/>
              </w:tabs>
              <w:rPr>
                <w:rFonts w:eastAsia="Times New Roman"/>
              </w:rPr>
            </w:pPr>
            <w:r>
              <w:rPr>
                <w:rFonts w:eastAsia="Times New Roman"/>
              </w:rPr>
            </w:r>
            <w:r/>
          </w:p>
        </w:tc>
      </w:tr>
      <w:tr>
        <w:trPr>
          <w:trHeight w:val="307"/>
        </w:trPr>
        <w:tc>
          <w:tcPr>
            <w:tcBorders>
              <w:left w:val="single" w:color="000000" w:sz="4" w:space="0"/>
              <w:bottom w:val="single" w:color="000000" w:sz="4" w:space="0"/>
            </w:tcBorders>
            <w:tcW w:w="1786"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19,0</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59,4</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19,5</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2,1</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307"/>
        </w:trPr>
        <w:tc>
          <w:tcPr>
            <w:tcBorders>
              <w:left w:val="single" w:color="000000" w:sz="4" w:space="0"/>
              <w:bottom w:val="single" w:color="000000" w:sz="4" w:space="0"/>
            </w:tcBorders>
            <w:tcW w:w="1786"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5,1</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48,6</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31,2</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14,5</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w:t>
            </w:r>
            <w:r/>
          </w:p>
        </w:tc>
      </w:tr>
      <w:tr>
        <w:trPr>
          <w:trHeight w:val="307"/>
        </w:trPr>
        <w:tc>
          <w:tcPr>
            <w:tcBorders>
              <w:left w:val="single" w:color="000000" w:sz="4" w:space="0"/>
              <w:bottom w:val="single" w:color="000000" w:sz="4" w:space="0"/>
            </w:tcBorders>
            <w:tcW w:w="1786"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О(c)ОШ</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0,0</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100,0</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0,0</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0,0</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342"/>
        </w:trPr>
        <w:tc>
          <w:tcPr>
            <w:tcBorders>
              <w:left w:val="single" w:color="000000" w:sz="4" w:space="0"/>
              <w:bottom w:val="single" w:color="000000" w:sz="4" w:space="0"/>
            </w:tcBorders>
            <w:tcW w:w="1786"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11,8</w:t>
            </w:r>
            <w:r/>
          </w:p>
        </w:tc>
        <w:tc>
          <w:tcPr>
            <w:tcBorders>
              <w:top w:val="single" w:color="000000" w:sz="4" w:space="0"/>
              <w:left w:val="single" w:color="000000" w:sz="4" w:space="0"/>
              <w:bottom w:val="single" w:color="000000" w:sz="4" w:space="0"/>
            </w:tcBorders>
            <w:tcW w:w="1689" w:type="dxa"/>
            <w:vAlign w:val="bottom"/>
            <w:textDirection w:val="lrTb"/>
            <w:noWrap w:val="false"/>
          </w:tcPr>
          <w:p>
            <w:pPr>
              <w:pStyle w:val="940"/>
              <w:jc w:val="center"/>
              <w:tabs>
                <w:tab w:val="left" w:pos="0" w:leader="none"/>
                <w:tab w:val="clear" w:pos="708" w:leader="none"/>
              </w:tabs>
              <w:rPr>
                <w:color w:val="000000"/>
              </w:rPr>
            </w:pPr>
            <w:r>
              <w:rPr>
                <w:color w:val="000000"/>
              </w:rPr>
              <w:t xml:space="preserve">29,4</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23,5</w:t>
            </w:r>
            <w:r/>
          </w:p>
        </w:tc>
        <w:tc>
          <w:tcPr>
            <w:tcBorders>
              <w:top w:val="single" w:color="000000" w:sz="4" w:space="0"/>
              <w:left w:val="single" w:color="000000" w:sz="4" w:space="0"/>
              <w:bottom w:val="single" w:color="000000" w:sz="4" w:space="0"/>
            </w:tcBorders>
            <w:tcW w:w="1483" w:type="dxa"/>
            <w:vAlign w:val="bottom"/>
            <w:textDirection w:val="lrTb"/>
            <w:noWrap w:val="false"/>
          </w:tcPr>
          <w:p>
            <w:pPr>
              <w:pStyle w:val="940"/>
              <w:jc w:val="center"/>
              <w:tabs>
                <w:tab w:val="left" w:pos="0" w:leader="none"/>
                <w:tab w:val="clear" w:pos="708" w:leader="none"/>
              </w:tabs>
              <w:rPr>
                <w:color w:val="000000"/>
              </w:rPr>
            </w:pPr>
            <w:r>
              <w:rPr>
                <w:color w:val="000000"/>
              </w:rPr>
              <w:t xml:space="preserve">35,3</w:t>
            </w:r>
            <w:r/>
          </w:p>
        </w:tc>
        <w:tc>
          <w:tcPr>
            <w:tcBorders>
              <w:top w:val="single" w:color="000000" w:sz="4" w:space="0"/>
              <w:left w:val="single" w:color="000000" w:sz="4" w:space="0"/>
              <w:bottom w:val="single" w:color="000000" w:sz="4" w:space="0"/>
              <w:right w:val="single" w:color="000000" w:sz="4" w:space="0"/>
            </w:tcBorders>
            <w:tcW w:w="1631"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bl>
    <w:p>
      <w:pPr>
        <w:pStyle w:val="940"/>
        <w:tabs>
          <w:tab w:val="left" w:pos="0" w:leader="none"/>
          <w:tab w:val="clear" w:pos="708" w:leader="none"/>
        </w:tabs>
      </w:pPr>
      <w:r/>
      <w:r/>
    </w:p>
    <w:p>
      <w:pPr>
        <w:pStyle w:val="943"/>
        <w:ind w:left="567" w:firstLine="0"/>
      </w:pP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1409"/>
        <w:keepNext/>
        <w:tabs>
          <w:tab w:val="left" w:pos="0" w:leader="none"/>
          <w:tab w:val="clear" w:pos="708" w:leader="none"/>
        </w:tabs>
        <w:rPr>
          <w:rFonts w:eastAsia="Times New Roman"/>
        </w:rPr>
      </w:pPr>
      <w:r>
        <w:t xml:space="preserve">Таблица 2</w:t>
        <w:noBreakHyphen/>
        <w:t xml:space="preserve">10</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243"/>
        <w:gridCol w:w="1682"/>
        <w:gridCol w:w="1682"/>
        <w:gridCol w:w="1403"/>
        <w:gridCol w:w="1263"/>
        <w:gridCol w:w="1386"/>
      </w:tblGrid>
      <w:tr>
        <w:trPr>
          <w:trHeight w:val="237"/>
        </w:trPr>
        <w:tc>
          <w:tcPr>
            <w:tcBorders>
              <w:top w:val="single" w:color="000000" w:sz="4" w:space="0"/>
              <w:left w:val="single" w:color="000000" w:sz="4" w:space="0"/>
              <w:bottom w:val="single" w:color="000000" w:sz="4" w:space="0"/>
            </w:tcBorders>
            <w:tcW w:w="2243" w:type="dxa"/>
            <w:vAlign w:val="center"/>
            <w:vMerge w:val="restart"/>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030" w:type="dxa"/>
            <w:vAlign w:val="center"/>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386" w:type="dxa"/>
            <w:vAlign w:val="center"/>
            <w:vMerge w:val="restart"/>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Количество выпускников, получивших 100 баллов</w:t>
            </w:r>
            <w:r/>
          </w:p>
        </w:tc>
      </w:tr>
      <w:tr>
        <w:trPr>
          <w:trHeight w:val="237"/>
        </w:trPr>
        <w:tc>
          <w:tcPr>
            <w:tcBorders>
              <w:top w:val="single" w:color="000000" w:sz="4" w:space="0"/>
              <w:left w:val="single" w:color="000000" w:sz="4" w:space="0"/>
              <w:bottom w:val="single" w:color="000000" w:sz="4" w:space="0"/>
            </w:tcBorders>
            <w:tcW w:w="2243" w:type="dxa"/>
            <w:vAlign w:val="center"/>
            <w:vMerge w:val="continue"/>
            <w:textDirection w:val="lrTb"/>
            <w:noWrap w:val="false"/>
          </w:tcPr>
          <w:p>
            <w:pPr>
              <w:pStyle w:val="940"/>
              <w:tabs>
                <w:tab w:val="left" w:pos="0" w:leader="none"/>
                <w:tab w:val="clear" w:pos="708" w:leader="none"/>
              </w:tabs>
              <w:rPr>
                <w:rFonts w:eastAsia="Times New Roman"/>
                <w:lang w:eastAsia="en-US"/>
              </w:rPr>
            </w:pPr>
            <w:r>
              <w:rPr>
                <w:rFonts w:eastAsia="Times New Roman"/>
                <w:lang w:eastAsia="en-US"/>
              </w:rPr>
            </w:r>
            <w:r/>
          </w:p>
        </w:tc>
        <w:tc>
          <w:tcPr>
            <w:tcBorders>
              <w:left w:val="single" w:color="000000" w:sz="4" w:space="0"/>
              <w:bottom w:val="single" w:color="000000" w:sz="4" w:space="0"/>
            </w:tcBorders>
            <w:tcW w:w="1682" w:type="dxa"/>
            <w:vAlign w:val="center"/>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82" w:type="dxa"/>
            <w:vAlign w:val="center"/>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03" w:type="dxa"/>
            <w:vAlign w:val="center"/>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263" w:type="dxa"/>
            <w:vAlign w:val="center"/>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386" w:type="dxa"/>
            <w:vAlign w:val="center"/>
            <w:vMerge w:val="continue"/>
            <w:textDirection w:val="lrTb"/>
            <w:noWrap w:val="false"/>
          </w:tcPr>
          <w:p>
            <w:pPr>
              <w:pStyle w:val="940"/>
              <w:tabs>
                <w:tab w:val="left" w:pos="0" w:leader="none"/>
                <w:tab w:val="clear" w:pos="708" w:leader="none"/>
              </w:tabs>
              <w:rPr>
                <w:rFonts w:eastAsia="Times New Roman"/>
              </w:rPr>
            </w:pPr>
            <w:r>
              <w:rPr>
                <w:rFonts w:eastAsia="Times New Roman"/>
              </w:rPr>
            </w:r>
            <w:r/>
          </w:p>
        </w:tc>
      </w:tr>
      <w:tr>
        <w:trPr>
          <w:trHeight w:val="222"/>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16,1</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55,5</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21,3</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6,9</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20,8</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54,2</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22,9</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2,1</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20,0</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46,7</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26,7</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6,7</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16,7</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56,3</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22,9</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4,2</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28,6</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57,1</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14,3</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76,2</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19,0</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4,8</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10,3</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51,7</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37,9</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23,8</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61,9</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14,3</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73,3</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20,0</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6,7</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15,0</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55,0</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25,0</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17,9</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64,3</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17,9</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13,3</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56,7</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26,7</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3,3</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25,0</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58,3</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8,3</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8,3</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ВПЛ</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36,4</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54,5</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7,8</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1,3</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СПО</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44,4</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55,6</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2243" w:type="dxa"/>
            <w:vAlign w:val="bottom"/>
            <w:textDirection w:val="lrTb"/>
            <w:noWrap w:val="false"/>
          </w:tcPr>
          <w:p>
            <w:pPr>
              <w:pStyle w:val="940"/>
              <w:tabs>
                <w:tab w:val="left" w:pos="0" w:leader="none"/>
                <w:tab w:val="clear" w:pos="708" w:leader="none"/>
              </w:tabs>
              <w:rPr>
                <w:rFonts w:eastAsia="Times New Roman"/>
              </w:rPr>
            </w:pPr>
            <w:r>
              <w:rPr>
                <w:rFonts w:eastAsia="Times New Roman"/>
              </w:rPr>
              <w:t xml:space="preserve">Экстерны</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55,6</w:t>
            </w:r>
            <w:r/>
          </w:p>
        </w:tc>
        <w:tc>
          <w:tcPr>
            <w:tcBorders>
              <w:left w:val="single" w:color="000000" w:sz="4" w:space="0"/>
              <w:bottom w:val="single" w:color="000000" w:sz="4" w:space="0"/>
            </w:tcBorders>
            <w:tcW w:w="1682"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22,2</w:t>
            </w:r>
            <w:r/>
          </w:p>
        </w:tc>
        <w:tc>
          <w:tcPr>
            <w:tcBorders>
              <w:left w:val="single" w:color="000000" w:sz="4" w:space="0"/>
              <w:bottom w:val="single" w:color="000000" w:sz="4" w:space="0"/>
            </w:tcBorders>
            <w:tcW w:w="140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22,2</w:t>
            </w:r>
            <w:r/>
          </w:p>
        </w:tc>
        <w:tc>
          <w:tcPr>
            <w:tcBorders>
              <w:left w:val="single" w:color="000000" w:sz="4" w:space="0"/>
              <w:bottom w:val="single" w:color="000000" w:sz="4" w:space="0"/>
            </w:tcBorders>
            <w:tcW w:w="1263"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386" w:type="dxa"/>
            <w:vAlign w:val="bottom"/>
            <w:textDirection w:val="lrTb"/>
            <w:noWrap w:val="false"/>
          </w:tcPr>
          <w:p>
            <w:pPr>
              <w:pStyle w:val="940"/>
              <w:jc w:val="center"/>
              <w:tabs>
                <w:tab w:val="left" w:pos="0" w:leader="none"/>
                <w:tab w:val="clear" w:pos="708" w:leader="none"/>
              </w:tabs>
              <w:rPr>
                <w:rFonts w:eastAsia="Times New Roman"/>
              </w:rPr>
            </w:pPr>
            <w:r>
              <w:rPr>
                <w:rFonts w:eastAsia="Times New Roman"/>
              </w:rPr>
              <w:t xml:space="preserve">0</w:t>
            </w:r>
            <w:r/>
          </w:p>
        </w:tc>
      </w:tr>
    </w:tbl>
    <w:p>
      <w:pPr>
        <w:pStyle w:val="940"/>
        <w:tabs>
          <w:tab w:val="left" w:pos="0" w:leader="none"/>
          <w:tab w:val="clear" w:pos="708" w:leader="none"/>
        </w:tabs>
      </w:pPr>
      <w:r/>
      <w:r/>
    </w:p>
    <w:p>
      <w:pPr>
        <w:pStyle w:val="943"/>
        <w:jc w:val="both"/>
        <w:tabs>
          <w:tab w:val="left" w:pos="0" w:leader="none"/>
          <w:tab w:val="clear" w:pos="708" w:leader="none"/>
        </w:tabs>
      </w:pPr>
      <w:r>
        <w:rPr>
          <w:rFonts w:ascii="Times New Roman" w:hAnsi="Times New Roman" w:cs="Times New Roman"/>
          <w:lang w:val="ru-RU"/>
        </w:rPr>
        <w:t xml:space="preserve">2.4. </w:t>
      </w: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ind w:left="567" w:firstLine="0"/>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1409"/>
        <w:keepNext/>
        <w:tabs>
          <w:tab w:val="left" w:pos="0" w:leader="none"/>
          <w:tab w:val="clear" w:pos="708" w:leader="none"/>
        </w:tabs>
      </w:pPr>
      <w:r>
        <w:t xml:space="preserve">Таблица 2</w:t>
        <w:noBreakHyphen/>
        <w:t xml:space="preserve">11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855"/>
        <w:gridCol w:w="4837"/>
        <w:gridCol w:w="1423"/>
        <w:gridCol w:w="1422"/>
        <w:gridCol w:w="1122"/>
      </w:tblGrid>
      <w:tr>
        <w:trPr>
          <w:trHeight w:val="1410"/>
        </w:trPr>
        <w:tc>
          <w:tcPr>
            <w:tcBorders>
              <w:top w:val="single" w:color="000000" w:sz="4" w:space="0"/>
              <w:left w:val="single" w:color="000000" w:sz="4" w:space="0"/>
              <w:bottom w:val="single" w:color="000000" w:sz="4" w:space="0"/>
            </w:tcBorders>
            <w:tcW w:w="855" w:type="dxa"/>
            <w:textDirection w:val="lrTb"/>
            <w:noWrap w:val="false"/>
          </w:tcPr>
          <w:p>
            <w:pPr>
              <w:pStyle w:val="940"/>
              <w:tabs>
                <w:tab w:val="left" w:pos="0" w:leader="none"/>
                <w:tab w:val="clear" w:pos="708" w:leader="none"/>
              </w:tabs>
              <w:rPr>
                <w:bCs/>
              </w:rPr>
            </w:pPr>
            <w:r>
              <w:rPr>
                <w:bCs/>
              </w:rPr>
              <w:t xml:space="preserve">№</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423" w:type="dxa"/>
            <w:textDirection w:val="lrTb"/>
            <w:noWrap w:val="false"/>
          </w:tcPr>
          <w:p>
            <w:pPr>
              <w:pStyle w:val="940"/>
              <w:tabs>
                <w:tab w:val="left" w:pos="0" w:leader="none"/>
                <w:tab w:val="clear" w:pos="708" w:leader="none"/>
              </w:tabs>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422" w:type="dxa"/>
            <w:textDirection w:val="lrTb"/>
            <w:noWrap w:val="false"/>
          </w:tcPr>
          <w:p>
            <w:pPr>
              <w:pStyle w:val="940"/>
              <w:tabs>
                <w:tab w:val="left" w:pos="0" w:leader="none"/>
                <w:tab w:val="clear" w:pos="708" w:leader="none"/>
              </w:tabs>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tabs>
                <w:tab w:val="left" w:pos="0" w:leader="none"/>
                <w:tab w:val="clear" w:pos="708" w:leader="none"/>
              </w:tabs>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855" w:type="dxa"/>
            <w:textDirection w:val="lrTb"/>
            <w:noWrap w:val="false"/>
          </w:tcPr>
          <w:p>
            <w:pPr>
              <w:pStyle w:val="940"/>
              <w:jc w:val="center"/>
              <w:tabs>
                <w:tab w:val="left" w:pos="0" w:leader="none"/>
                <w:tab w:val="clear" w:pos="708" w:leader="none"/>
              </w:tabs>
            </w:pPr>
            <w:r>
              <w:t xml:space="preserve">1</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pPr>
            <w:r>
              <w:t xml:space="preserve">ГБОУ АО "Школа-интернат одаренных детей им. А.П.Гужвина"</w:t>
            </w:r>
            <w:r/>
          </w:p>
        </w:tc>
        <w:tc>
          <w:tcPr>
            <w:tcBorders>
              <w:top w:val="single" w:color="000000" w:sz="4" w:space="0"/>
              <w:left w:val="single" w:color="000000" w:sz="4" w:space="0"/>
              <w:bottom w:val="single" w:color="000000" w:sz="4" w:space="0"/>
            </w:tcBorders>
            <w:tcW w:w="1423" w:type="dxa"/>
            <w:textDirection w:val="lrTb"/>
            <w:noWrap w:val="false"/>
          </w:tcPr>
          <w:p>
            <w:pPr>
              <w:pStyle w:val="940"/>
              <w:jc w:val="center"/>
              <w:tabs>
                <w:tab w:val="left" w:pos="0" w:leader="none"/>
                <w:tab w:val="clear" w:pos="708" w:leader="none"/>
              </w:tabs>
            </w:pPr>
            <w:r>
              <w:t xml:space="preserve">50,0</w:t>
            </w:r>
            <w:r/>
          </w:p>
        </w:tc>
        <w:tc>
          <w:tcPr>
            <w:tcBorders>
              <w:top w:val="single" w:color="000000" w:sz="4" w:space="0"/>
              <w:left w:val="single" w:color="000000" w:sz="4" w:space="0"/>
              <w:bottom w:val="single" w:color="000000" w:sz="4" w:space="0"/>
            </w:tcBorders>
            <w:tcW w:w="1422" w:type="dxa"/>
            <w:textDirection w:val="lrTb"/>
            <w:noWrap w:val="false"/>
          </w:tcPr>
          <w:p>
            <w:pPr>
              <w:pStyle w:val="940"/>
              <w:jc w:val="center"/>
              <w:tabs>
                <w:tab w:val="left" w:pos="0" w:leader="none"/>
                <w:tab w:val="clear" w:pos="708" w:leader="none"/>
              </w:tabs>
            </w:pPr>
            <w:r>
              <w:t xml:space="preserve">33,3</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jc w:val="center"/>
              <w:tabs>
                <w:tab w:val="left" w:pos="0" w:leader="none"/>
                <w:tab w:val="clear" w:pos="708" w:leader="none"/>
              </w:tabs>
            </w:pPr>
            <w:r>
              <w:t xml:space="preserve">8,3</w:t>
            </w:r>
            <w:r/>
          </w:p>
        </w:tc>
      </w:tr>
      <w:tr>
        <w:trPr>
          <w:trHeight w:val="300"/>
        </w:trPr>
        <w:tc>
          <w:tcPr>
            <w:tcBorders>
              <w:top w:val="single" w:color="000000" w:sz="4" w:space="0"/>
              <w:left w:val="single" w:color="000000" w:sz="4" w:space="0"/>
              <w:bottom w:val="single" w:color="000000" w:sz="4" w:space="0"/>
            </w:tcBorders>
            <w:tcW w:w="855" w:type="dxa"/>
            <w:textDirection w:val="lrTb"/>
            <w:noWrap w:val="false"/>
          </w:tcPr>
          <w:p>
            <w:pPr>
              <w:pStyle w:val="940"/>
              <w:jc w:val="center"/>
              <w:tabs>
                <w:tab w:val="left" w:pos="0" w:leader="none"/>
                <w:tab w:val="clear" w:pos="708" w:leader="none"/>
              </w:tabs>
            </w:pPr>
            <w:r>
              <w:t xml:space="preserve">2</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pPr>
            <w:r>
              <w:t xml:space="preserve">МБОУ г. Астрахани "Лицей № 2"</w:t>
            </w:r>
            <w:r/>
          </w:p>
        </w:tc>
        <w:tc>
          <w:tcPr>
            <w:tcBorders>
              <w:top w:val="single" w:color="000000" w:sz="4" w:space="0"/>
              <w:left w:val="single" w:color="000000" w:sz="4" w:space="0"/>
              <w:bottom w:val="single" w:color="000000" w:sz="4" w:space="0"/>
            </w:tcBorders>
            <w:tcW w:w="1423" w:type="dxa"/>
            <w:textDirection w:val="lrTb"/>
            <w:noWrap w:val="false"/>
          </w:tcPr>
          <w:p>
            <w:pPr>
              <w:pStyle w:val="940"/>
              <w:jc w:val="center"/>
              <w:tabs>
                <w:tab w:val="left" w:pos="0" w:leader="none"/>
                <w:tab w:val="clear" w:pos="708" w:leader="none"/>
              </w:tabs>
            </w:pPr>
            <w:r>
              <w:t xml:space="preserve">17,4</w:t>
            </w:r>
            <w:r/>
          </w:p>
        </w:tc>
        <w:tc>
          <w:tcPr>
            <w:tcBorders>
              <w:top w:val="single" w:color="000000" w:sz="4" w:space="0"/>
              <w:left w:val="single" w:color="000000" w:sz="4" w:space="0"/>
              <w:bottom w:val="single" w:color="000000" w:sz="4" w:space="0"/>
            </w:tcBorders>
            <w:tcW w:w="1422" w:type="dxa"/>
            <w:textDirection w:val="lrTb"/>
            <w:noWrap w:val="false"/>
          </w:tcPr>
          <w:p>
            <w:pPr>
              <w:pStyle w:val="940"/>
              <w:jc w:val="center"/>
              <w:tabs>
                <w:tab w:val="left" w:pos="0" w:leader="none"/>
                <w:tab w:val="clear" w:pos="708" w:leader="none"/>
              </w:tabs>
            </w:pPr>
            <w:r>
              <w:t xml:space="preserve">30,4</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jc w:val="center"/>
              <w:tabs>
                <w:tab w:val="left" w:pos="0" w:leader="none"/>
                <w:tab w:val="clear" w:pos="708" w:leader="none"/>
              </w:tabs>
            </w:pPr>
            <w:r>
              <w:t xml:space="preserve">8,7</w:t>
            </w:r>
            <w:r/>
          </w:p>
        </w:tc>
      </w:tr>
      <w:tr>
        <w:trPr>
          <w:trHeight w:val="300"/>
        </w:trPr>
        <w:tc>
          <w:tcPr>
            <w:tcBorders>
              <w:top w:val="single" w:color="000000" w:sz="4" w:space="0"/>
              <w:left w:val="single" w:color="000000" w:sz="4" w:space="0"/>
              <w:bottom w:val="single" w:color="000000" w:sz="4" w:space="0"/>
            </w:tcBorders>
            <w:tcW w:w="855" w:type="dxa"/>
            <w:textDirection w:val="lrTb"/>
            <w:noWrap w:val="false"/>
          </w:tcPr>
          <w:p>
            <w:pPr>
              <w:pStyle w:val="940"/>
              <w:jc w:val="center"/>
              <w:tabs>
                <w:tab w:val="left" w:pos="0" w:leader="none"/>
                <w:tab w:val="clear" w:pos="708" w:leader="none"/>
              </w:tabs>
            </w:pPr>
            <w:r>
              <w:t xml:space="preserve">3</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pPr>
            <w:r>
              <w:t xml:space="preserve">МБОУ г. Астрахани "Лицей № 1"</w:t>
            </w:r>
            <w:r/>
          </w:p>
        </w:tc>
        <w:tc>
          <w:tcPr>
            <w:tcBorders>
              <w:top w:val="single" w:color="000000" w:sz="4" w:space="0"/>
              <w:left w:val="single" w:color="000000" w:sz="4" w:space="0"/>
              <w:bottom w:val="single" w:color="000000" w:sz="4" w:space="0"/>
            </w:tcBorders>
            <w:tcW w:w="1423" w:type="dxa"/>
            <w:textDirection w:val="lrTb"/>
            <w:noWrap w:val="false"/>
          </w:tcPr>
          <w:p>
            <w:pPr>
              <w:pStyle w:val="940"/>
              <w:jc w:val="center"/>
              <w:tabs>
                <w:tab w:val="left" w:pos="0" w:leader="none"/>
                <w:tab w:val="clear" w:pos="708" w:leader="none"/>
              </w:tabs>
            </w:pPr>
            <w:r>
              <w:t xml:space="preserve">17,2</w:t>
            </w:r>
            <w:r/>
          </w:p>
        </w:tc>
        <w:tc>
          <w:tcPr>
            <w:tcBorders>
              <w:top w:val="single" w:color="000000" w:sz="4" w:space="0"/>
              <w:left w:val="single" w:color="000000" w:sz="4" w:space="0"/>
              <w:bottom w:val="single" w:color="000000" w:sz="4" w:space="0"/>
            </w:tcBorders>
            <w:tcW w:w="1422" w:type="dxa"/>
            <w:textDirection w:val="lrTb"/>
            <w:noWrap w:val="false"/>
          </w:tcPr>
          <w:p>
            <w:pPr>
              <w:pStyle w:val="940"/>
              <w:jc w:val="center"/>
              <w:tabs>
                <w:tab w:val="left" w:pos="0" w:leader="none"/>
                <w:tab w:val="clear" w:pos="708" w:leader="none"/>
              </w:tabs>
            </w:pPr>
            <w:r>
              <w:t xml:space="preserve">34,5</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jc w:val="center"/>
              <w:tabs>
                <w:tab w:val="left" w:pos="0" w:leader="none"/>
                <w:tab w:val="clear" w:pos="708" w:leader="none"/>
              </w:tabs>
            </w:pPr>
            <w:r>
              <w:t xml:space="preserve">0,0</w:t>
            </w:r>
            <w:r/>
          </w:p>
        </w:tc>
      </w:tr>
      <w:tr>
        <w:trPr>
          <w:trHeight w:val="300"/>
        </w:trPr>
        <w:tc>
          <w:tcPr>
            <w:tcBorders>
              <w:top w:val="single" w:color="000000" w:sz="4" w:space="0"/>
              <w:left w:val="single" w:color="000000" w:sz="4" w:space="0"/>
              <w:bottom w:val="single" w:color="000000" w:sz="4" w:space="0"/>
            </w:tcBorders>
            <w:tcW w:w="855" w:type="dxa"/>
            <w:textDirection w:val="lrTb"/>
            <w:noWrap w:val="false"/>
          </w:tcPr>
          <w:p>
            <w:pPr>
              <w:pStyle w:val="940"/>
              <w:jc w:val="center"/>
              <w:tabs>
                <w:tab w:val="left" w:pos="0" w:leader="none"/>
                <w:tab w:val="clear" w:pos="708" w:leader="none"/>
              </w:tabs>
            </w:pPr>
            <w:r>
              <w:t xml:space="preserve">4</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pPr>
            <w:r>
              <w:t xml:space="preserve">МБОУ г. Астрахани "Гимназия №3"</w:t>
            </w:r>
            <w:r/>
          </w:p>
        </w:tc>
        <w:tc>
          <w:tcPr>
            <w:tcBorders>
              <w:top w:val="single" w:color="000000" w:sz="4" w:space="0"/>
              <w:left w:val="single" w:color="000000" w:sz="4" w:space="0"/>
              <w:bottom w:val="single" w:color="000000" w:sz="4" w:space="0"/>
            </w:tcBorders>
            <w:tcW w:w="1423" w:type="dxa"/>
            <w:textDirection w:val="lrTb"/>
            <w:noWrap w:val="false"/>
          </w:tcPr>
          <w:p>
            <w:pPr>
              <w:pStyle w:val="940"/>
              <w:jc w:val="center"/>
              <w:tabs>
                <w:tab w:val="left" w:pos="0" w:leader="none"/>
                <w:tab w:val="clear" w:pos="708" w:leader="none"/>
              </w:tabs>
            </w:pPr>
            <w:r>
              <w:t xml:space="preserve">15,4</w:t>
            </w:r>
            <w:r/>
          </w:p>
        </w:tc>
        <w:tc>
          <w:tcPr>
            <w:tcBorders>
              <w:top w:val="single" w:color="000000" w:sz="4" w:space="0"/>
              <w:left w:val="single" w:color="000000" w:sz="4" w:space="0"/>
              <w:bottom w:val="single" w:color="000000" w:sz="4" w:space="0"/>
            </w:tcBorders>
            <w:tcW w:w="1422" w:type="dxa"/>
            <w:textDirection w:val="lrTb"/>
            <w:noWrap w:val="false"/>
          </w:tcPr>
          <w:p>
            <w:pPr>
              <w:pStyle w:val="940"/>
              <w:jc w:val="center"/>
              <w:tabs>
                <w:tab w:val="left" w:pos="0" w:leader="none"/>
                <w:tab w:val="clear" w:pos="708" w:leader="none"/>
              </w:tabs>
            </w:pPr>
            <w:r>
              <w:t xml:space="preserve">46,2</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jc w:val="center"/>
              <w:tabs>
                <w:tab w:val="left" w:pos="0" w:leader="none"/>
                <w:tab w:val="clear" w:pos="708" w:leader="none"/>
              </w:tabs>
            </w:pPr>
            <w:r>
              <w:t xml:space="preserve">7,7</w:t>
            </w:r>
            <w:r/>
          </w:p>
        </w:tc>
      </w:tr>
      <w:tr>
        <w:trPr>
          <w:trHeight w:val="300"/>
        </w:trPr>
        <w:tc>
          <w:tcPr>
            <w:tcBorders>
              <w:top w:val="single" w:color="000000" w:sz="4" w:space="0"/>
              <w:left w:val="single" w:color="000000" w:sz="4" w:space="0"/>
              <w:bottom w:val="single" w:color="000000" w:sz="4" w:space="0"/>
            </w:tcBorders>
            <w:tcW w:w="855" w:type="dxa"/>
            <w:textDirection w:val="lrTb"/>
            <w:noWrap w:val="false"/>
          </w:tcPr>
          <w:p>
            <w:pPr>
              <w:pStyle w:val="940"/>
              <w:jc w:val="center"/>
              <w:tabs>
                <w:tab w:val="left" w:pos="0" w:leader="none"/>
                <w:tab w:val="clear" w:pos="708" w:leader="none"/>
              </w:tabs>
            </w:pPr>
            <w:r>
              <w:t xml:space="preserve">5</w:t>
            </w:r>
            <w:r/>
          </w:p>
        </w:tc>
        <w:tc>
          <w:tcPr>
            <w:tcBorders>
              <w:top w:val="single" w:color="000000" w:sz="4" w:space="0"/>
              <w:left w:val="single" w:color="000000" w:sz="4" w:space="0"/>
              <w:bottom w:val="single" w:color="000000" w:sz="4" w:space="0"/>
            </w:tcBorders>
            <w:tcW w:w="4837" w:type="dxa"/>
            <w:textDirection w:val="lrTb"/>
            <w:noWrap w:val="false"/>
          </w:tcPr>
          <w:p>
            <w:pPr>
              <w:pStyle w:val="940"/>
              <w:tabs>
                <w:tab w:val="left" w:pos="0" w:leader="none"/>
                <w:tab w:val="clear" w:pos="708" w:leader="none"/>
              </w:tabs>
            </w:pPr>
            <w:r>
              <w:t xml:space="preserve">МАОУ "СОШ №1 с УИОП имени С.Г.Хуснетдинова  МО "Ахтубинский район"</w:t>
            </w:r>
            <w:r/>
          </w:p>
        </w:tc>
        <w:tc>
          <w:tcPr>
            <w:tcBorders>
              <w:top w:val="single" w:color="000000" w:sz="4" w:space="0"/>
              <w:left w:val="single" w:color="000000" w:sz="4" w:space="0"/>
              <w:bottom w:val="single" w:color="000000" w:sz="4" w:space="0"/>
            </w:tcBorders>
            <w:tcW w:w="1423" w:type="dxa"/>
            <w:textDirection w:val="lrTb"/>
            <w:noWrap w:val="false"/>
          </w:tcPr>
          <w:p>
            <w:pPr>
              <w:pStyle w:val="940"/>
              <w:jc w:val="center"/>
              <w:tabs>
                <w:tab w:val="left" w:pos="0" w:leader="none"/>
                <w:tab w:val="clear" w:pos="708" w:leader="none"/>
              </w:tabs>
            </w:pPr>
            <w:r>
              <w:t xml:space="preserve">7,1</w:t>
            </w:r>
            <w:r/>
          </w:p>
        </w:tc>
        <w:tc>
          <w:tcPr>
            <w:tcBorders>
              <w:top w:val="single" w:color="000000" w:sz="4" w:space="0"/>
              <w:left w:val="single" w:color="000000" w:sz="4" w:space="0"/>
              <w:bottom w:val="single" w:color="000000" w:sz="4" w:space="0"/>
            </w:tcBorders>
            <w:tcW w:w="1422" w:type="dxa"/>
            <w:textDirection w:val="lrTb"/>
            <w:noWrap w:val="false"/>
          </w:tcPr>
          <w:p>
            <w:pPr>
              <w:pStyle w:val="940"/>
              <w:jc w:val="center"/>
              <w:tabs>
                <w:tab w:val="left" w:pos="0" w:leader="none"/>
                <w:tab w:val="clear" w:pos="708" w:leader="none"/>
              </w:tabs>
            </w:pPr>
            <w:r>
              <w:t xml:space="preserve">42,9</w:t>
            </w:r>
            <w:r/>
          </w:p>
        </w:tc>
        <w:tc>
          <w:tcPr>
            <w:tcBorders>
              <w:top w:val="single" w:color="000000" w:sz="4" w:space="0"/>
              <w:left w:val="single" w:color="000000" w:sz="4" w:space="0"/>
              <w:bottom w:val="single" w:color="000000" w:sz="4" w:space="0"/>
              <w:right w:val="single" w:color="000000" w:sz="4" w:space="0"/>
            </w:tcBorders>
            <w:tcW w:w="1122" w:type="dxa"/>
            <w:textDirection w:val="lrTb"/>
            <w:noWrap w:val="false"/>
          </w:tcPr>
          <w:p>
            <w:pPr>
              <w:pStyle w:val="940"/>
              <w:jc w:val="center"/>
              <w:tabs>
                <w:tab w:val="left" w:pos="0" w:leader="none"/>
                <w:tab w:val="clear" w:pos="708" w:leader="none"/>
              </w:tabs>
            </w:pPr>
            <w:r>
              <w:t xml:space="preserve">0,0</w:t>
            </w:r>
            <w:r/>
          </w:p>
        </w:tc>
      </w:tr>
    </w:tbl>
    <w:p>
      <w:pPr>
        <w:pStyle w:val="940"/>
        <w:tabs>
          <w:tab w:val="left" w:pos="0" w:leader="none"/>
          <w:tab w:val="clear" w:pos="708" w:leader="none"/>
        </w:tabs>
      </w:pPr>
      <w:r/>
      <w:r/>
    </w:p>
    <w:p>
      <w:pPr>
        <w:pStyle w:val="943"/>
        <w:ind w:left="567" w:firstLine="0"/>
        <w:jc w:val="both"/>
        <w:tabs>
          <w:tab w:val="left" w:pos="426" w:leader="none"/>
          <w:tab w:val="clear" w:pos="708" w:leader="none"/>
        </w:tabs>
        <w:rPr>
          <w:rFonts w:ascii="Times New Roman" w:hAnsi="Times New Roman" w:cs="Times New Roman" w:eastAsia="Times New Roman"/>
          <w:b w:val="0"/>
          <w:bCs w:val="0"/>
          <w:lang w:val="ru-RU"/>
        </w:rPr>
      </w:pPr>
      <w:r>
        <w:rPr>
          <w:rFonts w:ascii="Times New Roman" w:hAnsi="Times New Roman" w:cs="Times New Roman" w:eastAsia="Times New Roman"/>
          <w:b w:val="0"/>
          <w:bCs w:val="0"/>
        </w:rPr>
        <w:t xml:space="preserve"> </w:t>
      </w:r>
      <w:r/>
    </w:p>
    <w:p>
      <w:pPr>
        <w:pStyle w:val="940"/>
        <w:rPr>
          <w:rFonts w:ascii="Times New Roman" w:hAnsi="Times New Roman" w:cs="Times New Roman" w:eastAsia="Times New Roman"/>
          <w:b/>
          <w:bCs/>
          <w:lang w:val="ru-RU"/>
        </w:rPr>
      </w:pPr>
      <w:r>
        <w:rPr>
          <w:rFonts w:cs="Times New Roman" w:eastAsia="Times New Roman"/>
          <w:b/>
          <w:bCs/>
          <w:lang w:val="ru-RU"/>
        </w:rPr>
      </w:r>
      <w:r/>
    </w:p>
    <w:p>
      <w:pPr>
        <w:pStyle w:val="943"/>
        <w:ind w:left="567" w:firstLine="0"/>
        <w:jc w:val="both"/>
        <w:tabs>
          <w:tab w:val="left" w:pos="426" w:leader="none"/>
          <w:tab w:val="clear" w:pos="708" w:leader="none"/>
        </w:tabs>
      </w:pPr>
      <w:r/>
      <w:r/>
    </w:p>
    <w:p>
      <w:pPr>
        <w:pStyle w:val="943"/>
        <w:ind w:left="567" w:firstLine="0"/>
        <w:jc w:val="both"/>
        <w:tabs>
          <w:tab w:val="left" w:pos="426" w:leader="none"/>
          <w:tab w:val="clear" w:pos="708" w:leader="none"/>
        </w:tabs>
      </w:pPr>
      <w:r>
        <w:rPr>
          <w:rFonts w:ascii="Times New Roman" w:hAnsi="Times New Roman" w:cs="Times New Roman" w:eastAsia="Times New Roman"/>
          <w:bCs w:val="0"/>
          <w:lang w:val="ru-RU"/>
        </w:rPr>
        <w:t xml:space="preserve">2.4.2.</w:t>
      </w: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П</w:t>
      </w:r>
      <w:r>
        <w:rPr>
          <w:rFonts w:ascii="Times New Roman" w:hAnsi="Times New Roman" w:cs="Times New Roman"/>
          <w:b w:val="0"/>
          <w:bCs w:val="0"/>
        </w:rPr>
        <w:t xml:space="preserve">еречень ОО, продемонстрировавших низкие результаты ЕГЭ по предмету</w:t>
      </w:r>
      <w:r/>
    </w:p>
    <w:p>
      <w:pPr>
        <w:pStyle w:val="1409"/>
        <w:keepNext/>
        <w:tabs>
          <w:tab w:val="left" w:pos="0" w:leader="none"/>
          <w:tab w:val="clear" w:pos="708" w:leader="none"/>
        </w:tabs>
        <w:rPr>
          <w:rFonts w:eastAsia="Times New Roman"/>
          <w:color w:val="000000"/>
        </w:rPr>
      </w:pPr>
      <w:r>
        <w:rPr>
          <w:rFonts w:eastAsia="Times New Roman"/>
          <w:color w:val="000000"/>
        </w:rPr>
        <w:t xml:space="preserve">Таблица 2</w:t>
        <w:noBreakHyphen/>
        <w:t xml:space="preserve">12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2"/>
        <w:gridCol w:w="4177"/>
        <w:gridCol w:w="1774"/>
        <w:gridCol w:w="1558"/>
        <w:gridCol w:w="1578"/>
      </w:tblGrid>
      <w:tr>
        <w:trPr>
          <w:trHeight w:val="1424"/>
        </w:trPr>
        <w:tc>
          <w:tcPr>
            <w:tcBorders>
              <w:top w:val="single" w:color="000000" w:sz="4" w:space="0"/>
              <w:left w:val="single" w:color="000000" w:sz="4" w:space="0"/>
              <w:bottom w:val="single" w:color="000000" w:sz="4" w:space="0"/>
            </w:tcBorders>
            <w:tcW w:w="572" w:type="dxa"/>
            <w:vAlign w:val="center"/>
            <w:textDirection w:val="lrTb"/>
            <w:noWrap w:val="false"/>
          </w:tcPr>
          <w:p>
            <w:pPr>
              <w:pStyle w:val="940"/>
              <w:tabs>
                <w:tab w:val="left" w:pos="0" w:leader="none"/>
                <w:tab w:val="clear" w:pos="708" w:leader="none"/>
              </w:tabs>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4177" w:type="dxa"/>
            <w:vAlign w:val="center"/>
            <w:textDirection w:val="lrTb"/>
            <w:noWrap w:val="false"/>
          </w:tcPr>
          <w:p>
            <w:pPr>
              <w:pStyle w:val="940"/>
              <w:tabs>
                <w:tab w:val="left" w:pos="0" w:leader="none"/>
                <w:tab w:val="clear" w:pos="708" w:leader="none"/>
              </w:tabs>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774" w:type="dxa"/>
            <w:vAlign w:val="center"/>
            <w:textDirection w:val="lrTb"/>
            <w:noWrap w:val="false"/>
          </w:tcPr>
          <w:p>
            <w:pPr>
              <w:pStyle w:val="940"/>
              <w:jc w:val="center"/>
              <w:tabs>
                <w:tab w:val="left" w:pos="0" w:leader="none"/>
                <w:tab w:val="clear" w:pos="708" w:leader="none"/>
              </w:tabs>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tabs>
                <w:tab w:val="left" w:pos="0" w:leader="none"/>
                <w:tab w:val="clear" w:pos="708" w:leader="none"/>
              </w:tabs>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578" w:type="dxa"/>
            <w:vAlign w:val="center"/>
            <w:textDirection w:val="lrTb"/>
            <w:noWrap w:val="false"/>
          </w:tcPr>
          <w:p>
            <w:pPr>
              <w:pStyle w:val="940"/>
              <w:jc w:val="center"/>
              <w:tabs>
                <w:tab w:val="left" w:pos="0" w:leader="none"/>
                <w:tab w:val="clear" w:pos="708" w:leader="none"/>
              </w:tabs>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3"/>
        </w:trPr>
        <w:tc>
          <w:tcPr>
            <w:tcBorders>
              <w:left w:val="single" w:color="000000" w:sz="4" w:space="0"/>
              <w:bottom w:val="single" w:color="000000" w:sz="4" w:space="0"/>
            </w:tcBorders>
            <w:tcW w:w="572"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4177" w:type="dxa"/>
            <w:vAlign w:val="bottom"/>
            <w:textDirection w:val="lrTb"/>
            <w:noWrap w:val="false"/>
          </w:tcPr>
          <w:p>
            <w:pPr>
              <w:pStyle w:val="940"/>
              <w:tabs>
                <w:tab w:val="left" w:pos="0" w:leader="none"/>
                <w:tab w:val="clear" w:pos="708" w:leader="none"/>
              </w:tabs>
              <w:rPr>
                <w:rFonts w:eastAsia="Times New Roman"/>
                <w:color w:val="000000"/>
              </w:rPr>
            </w:pPr>
            <w:r>
              <w:rPr>
                <w:rFonts w:eastAsia="Times New Roman"/>
                <w:color w:val="000000"/>
              </w:rPr>
              <w:t xml:space="preserve">МБОУ г. Астрахани "СОШ № 28"</w:t>
            </w:r>
            <w:r/>
          </w:p>
        </w:tc>
        <w:tc>
          <w:tcPr>
            <w:tcBorders>
              <w:left w:val="single" w:color="000000" w:sz="4" w:space="0"/>
              <w:bottom w:val="single" w:color="000000" w:sz="4" w:space="0"/>
            </w:tcBorders>
            <w:tcW w:w="1774"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31,3</w:t>
            </w:r>
            <w:r/>
          </w:p>
        </w:tc>
        <w:tc>
          <w:tcPr>
            <w:tcBorders>
              <w:left w:val="single" w:color="000000" w:sz="4" w:space="0"/>
              <w:bottom w:val="single" w:color="000000" w:sz="4" w:space="0"/>
            </w:tcBorders>
            <w:tcW w:w="155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6,3</w:t>
            </w:r>
            <w:r/>
          </w:p>
        </w:tc>
        <w:tc>
          <w:tcPr>
            <w:tcBorders>
              <w:left w:val="single" w:color="000000" w:sz="4" w:space="0"/>
              <w:bottom w:val="single" w:color="000000" w:sz="4" w:space="0"/>
              <w:right w:val="single" w:color="000000" w:sz="4" w:space="0"/>
            </w:tcBorders>
            <w:tcW w:w="157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572"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4177" w:type="dxa"/>
            <w:vAlign w:val="bottom"/>
            <w:textDirection w:val="lrTb"/>
            <w:noWrap w:val="false"/>
          </w:tcPr>
          <w:p>
            <w:pPr>
              <w:pStyle w:val="940"/>
              <w:tabs>
                <w:tab w:val="left" w:pos="0" w:leader="none"/>
                <w:tab w:val="clear" w:pos="708" w:leader="none"/>
              </w:tabs>
              <w:rPr>
                <w:rFonts w:eastAsia="Times New Roman"/>
                <w:color w:val="000000"/>
              </w:rPr>
            </w:pPr>
            <w:r>
              <w:rPr>
                <w:rFonts w:eastAsia="Times New Roman"/>
                <w:color w:val="000000"/>
              </w:rPr>
              <w:t xml:space="preserve">МБОУ г. Астрахани "СОШ № 74 имени Г.Тукая"</w:t>
            </w:r>
            <w:r/>
          </w:p>
        </w:tc>
        <w:tc>
          <w:tcPr>
            <w:tcBorders>
              <w:left w:val="single" w:color="000000" w:sz="4" w:space="0"/>
              <w:bottom w:val="single" w:color="000000" w:sz="4" w:space="0"/>
            </w:tcBorders>
            <w:tcW w:w="1774"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30,8</w:t>
            </w:r>
            <w:r/>
          </w:p>
        </w:tc>
        <w:tc>
          <w:tcPr>
            <w:tcBorders>
              <w:left w:val="single" w:color="000000" w:sz="4" w:space="0"/>
              <w:bottom w:val="single" w:color="000000" w:sz="4" w:space="0"/>
            </w:tcBorders>
            <w:tcW w:w="155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7,7</w:t>
            </w:r>
            <w:r/>
          </w:p>
        </w:tc>
        <w:tc>
          <w:tcPr>
            <w:tcBorders>
              <w:left w:val="single" w:color="000000" w:sz="4" w:space="0"/>
              <w:bottom w:val="single" w:color="000000" w:sz="4" w:space="0"/>
              <w:right w:val="single" w:color="000000" w:sz="4" w:space="0"/>
            </w:tcBorders>
            <w:tcW w:w="157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572"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4177" w:type="dxa"/>
            <w:vAlign w:val="bottom"/>
            <w:textDirection w:val="lrTb"/>
            <w:noWrap w:val="false"/>
          </w:tcPr>
          <w:p>
            <w:pPr>
              <w:pStyle w:val="940"/>
              <w:tabs>
                <w:tab w:val="left" w:pos="0" w:leader="none"/>
                <w:tab w:val="clear" w:pos="708" w:leader="none"/>
              </w:tabs>
              <w:rPr>
                <w:rFonts w:eastAsia="Times New Roman"/>
                <w:color w:val="000000"/>
              </w:rPr>
            </w:pPr>
            <w:r>
              <w:rPr>
                <w:rFonts w:eastAsia="Times New Roman"/>
                <w:color w:val="000000"/>
              </w:rPr>
              <w:t xml:space="preserve">МБОУ г. Астрахани "СОШ №8"</w:t>
            </w:r>
            <w:r/>
          </w:p>
        </w:tc>
        <w:tc>
          <w:tcPr>
            <w:tcBorders>
              <w:left w:val="single" w:color="000000" w:sz="4" w:space="0"/>
              <w:bottom w:val="single" w:color="000000" w:sz="4" w:space="0"/>
            </w:tcBorders>
            <w:tcW w:w="1774"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28,6</w:t>
            </w:r>
            <w:r/>
          </w:p>
        </w:tc>
        <w:tc>
          <w:tcPr>
            <w:tcBorders>
              <w:left w:val="single" w:color="000000" w:sz="4" w:space="0"/>
              <w:bottom w:val="single" w:color="000000" w:sz="4" w:space="0"/>
            </w:tcBorders>
            <w:tcW w:w="155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14,3</w:t>
            </w:r>
            <w:r/>
          </w:p>
        </w:tc>
        <w:tc>
          <w:tcPr>
            <w:tcBorders>
              <w:left w:val="single" w:color="000000" w:sz="4" w:space="0"/>
              <w:bottom w:val="single" w:color="000000" w:sz="4" w:space="0"/>
              <w:right w:val="single" w:color="000000" w:sz="4" w:space="0"/>
            </w:tcBorders>
            <w:tcW w:w="157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572"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4177" w:type="dxa"/>
            <w:vAlign w:val="bottom"/>
            <w:textDirection w:val="lrTb"/>
            <w:noWrap w:val="false"/>
          </w:tcPr>
          <w:p>
            <w:pPr>
              <w:pStyle w:val="940"/>
              <w:tabs>
                <w:tab w:val="left" w:pos="0" w:leader="none"/>
                <w:tab w:val="clear" w:pos="708" w:leader="none"/>
              </w:tabs>
              <w:rPr>
                <w:rFonts w:eastAsia="Times New Roman"/>
                <w:color w:val="000000"/>
              </w:rPr>
            </w:pPr>
            <w:r>
              <w:rPr>
                <w:rFonts w:eastAsia="Times New Roman"/>
                <w:color w:val="000000"/>
              </w:rPr>
              <w:t xml:space="preserve">МБОУ г. Астрахани "СОШ №12"</w:t>
            </w:r>
            <w:r/>
          </w:p>
        </w:tc>
        <w:tc>
          <w:tcPr>
            <w:tcBorders>
              <w:left w:val="single" w:color="000000" w:sz="4" w:space="0"/>
              <w:bottom w:val="single" w:color="000000" w:sz="4" w:space="0"/>
            </w:tcBorders>
            <w:tcW w:w="1774"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27,3</w:t>
            </w:r>
            <w:r/>
          </w:p>
        </w:tc>
        <w:tc>
          <w:tcPr>
            <w:tcBorders>
              <w:left w:val="single" w:color="000000" w:sz="4" w:space="0"/>
              <w:bottom w:val="single" w:color="000000" w:sz="4" w:space="0"/>
            </w:tcBorders>
            <w:tcW w:w="155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18,2</w:t>
            </w:r>
            <w:r/>
          </w:p>
        </w:tc>
        <w:tc>
          <w:tcPr>
            <w:tcBorders>
              <w:left w:val="single" w:color="000000" w:sz="4" w:space="0"/>
              <w:bottom w:val="single" w:color="000000" w:sz="4" w:space="0"/>
              <w:right w:val="single" w:color="000000" w:sz="4" w:space="0"/>
            </w:tcBorders>
            <w:tcW w:w="157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572"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4177" w:type="dxa"/>
            <w:vAlign w:val="bottom"/>
            <w:textDirection w:val="lrTb"/>
            <w:noWrap w:val="false"/>
          </w:tcPr>
          <w:p>
            <w:pPr>
              <w:pStyle w:val="940"/>
              <w:tabs>
                <w:tab w:val="left" w:pos="0" w:leader="none"/>
                <w:tab w:val="clear" w:pos="708" w:leader="none"/>
              </w:tabs>
              <w:rPr>
                <w:rFonts w:eastAsia="Times New Roman"/>
                <w:color w:val="000000"/>
              </w:rPr>
            </w:pPr>
            <w:r>
              <w:rPr>
                <w:rFonts w:eastAsia="Times New Roman"/>
                <w:color w:val="000000"/>
              </w:rPr>
              <w:t xml:space="preserve">МБОУ г. Астрахани "СОШ №39"</w:t>
            </w:r>
            <w:r/>
          </w:p>
        </w:tc>
        <w:tc>
          <w:tcPr>
            <w:tcBorders>
              <w:left w:val="single" w:color="000000" w:sz="4" w:space="0"/>
              <w:bottom w:val="single" w:color="000000" w:sz="4" w:space="0"/>
            </w:tcBorders>
            <w:tcW w:w="1774"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14,3</w:t>
            </w:r>
            <w:r/>
          </w:p>
        </w:tc>
        <w:tc>
          <w:tcPr>
            <w:tcBorders>
              <w:left w:val="single" w:color="000000" w:sz="4" w:space="0"/>
              <w:bottom w:val="single" w:color="000000" w:sz="4" w:space="0"/>
            </w:tcBorders>
            <w:tcW w:w="155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7,1</w:t>
            </w:r>
            <w:r/>
          </w:p>
        </w:tc>
        <w:tc>
          <w:tcPr>
            <w:tcBorders>
              <w:left w:val="single" w:color="000000" w:sz="4" w:space="0"/>
              <w:bottom w:val="single" w:color="000000" w:sz="4" w:space="0"/>
              <w:right w:val="single" w:color="000000" w:sz="4" w:space="0"/>
            </w:tcBorders>
            <w:tcW w:w="1578" w:type="dxa"/>
            <w:vAlign w:val="bottom"/>
            <w:textDirection w:val="lrTb"/>
            <w:noWrap w:val="false"/>
          </w:tcPr>
          <w:p>
            <w:pPr>
              <w:pStyle w:val="940"/>
              <w:jc w:val="center"/>
              <w:tabs>
                <w:tab w:val="left" w:pos="0" w:leader="none"/>
                <w:tab w:val="clear" w:pos="708" w:leader="none"/>
              </w:tabs>
              <w:rPr>
                <w:rFonts w:eastAsia="Times New Roman"/>
                <w:color w:val="000000"/>
              </w:rPr>
            </w:pPr>
            <w:r>
              <w:rPr>
                <w:rFonts w:eastAsia="Times New Roman"/>
                <w:color w:val="000000"/>
              </w:rPr>
              <w:t xml:space="preserve">0,0</w:t>
            </w:r>
            <w:r/>
          </w:p>
        </w:tc>
      </w:tr>
    </w:tbl>
    <w:p>
      <w:pPr>
        <w:pStyle w:val="943"/>
        <w:numPr>
          <w:ilvl w:val="0"/>
          <w:numId w:val="0"/>
        </w:numPr>
        <w:ind w:left="0" w:firstLine="0"/>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940"/>
        <w:jc w:val="both"/>
        <w:keepLines/>
        <w:keepNext/>
        <w:tabs>
          <w:tab w:val="left" w:pos="0" w:leader="none"/>
          <w:tab w:val="clear" w:pos="708" w:leader="none"/>
        </w:tabs>
        <w:rPr>
          <w:rFonts w:eastAsia="SimSun;宋体"/>
          <w:iCs/>
          <w:szCs w:val="22"/>
        </w:rPr>
      </w:pPr>
      <w:r>
        <w:rPr>
          <w:rFonts w:eastAsia="SimSun;宋体"/>
          <w:iCs/>
          <w:szCs w:val="22"/>
        </w:rPr>
      </w:r>
      <w:r/>
    </w:p>
    <w:p>
      <w:pPr>
        <w:pStyle w:val="940"/>
        <w:jc w:val="both"/>
        <w:keepLines/>
        <w:keepNext/>
        <w:tabs>
          <w:tab w:val="left" w:pos="0" w:leader="none"/>
          <w:tab w:val="clear" w:pos="708" w:leader="none"/>
        </w:tabs>
      </w:pPr>
      <w:r>
        <w:rPr>
          <w:rFonts w:eastAsia="SimSun;宋体"/>
          <w:iCs/>
          <w:szCs w:val="22"/>
        </w:rPr>
        <w:tab/>
      </w:r>
      <w:r>
        <w:rPr>
          <w:rFonts w:eastAsia="SimSun;宋体"/>
          <w:iCs/>
          <w:szCs w:val="22"/>
          <w:lang w:val="en-US"/>
        </w:rPr>
        <w:t xml:space="preserve">На основе приведенных в разделе показателей:</w:t>
      </w:r>
      <w:r/>
    </w:p>
    <w:p>
      <w:pPr>
        <w:pStyle w:val="940"/>
        <w:jc w:val="both"/>
        <w:keepLines/>
        <w:keepNext/>
        <w:tabs>
          <w:tab w:val="left" w:pos="0" w:leader="none"/>
          <w:tab w:val="clear" w:pos="708" w:leader="none"/>
        </w:tabs>
      </w:pPr>
      <w:r>
        <w:rPr>
          <w:rFonts w:eastAsia="SimSun;宋体"/>
          <w:iCs/>
          <w:szCs w:val="22"/>
        </w:rPr>
        <w:tab/>
      </w:r>
      <w:r>
        <w:rPr>
          <w:rFonts w:eastAsia="SimSun;宋体"/>
          <w:iCs/>
          <w:szCs w:val="22"/>
          <w:lang w:val="en-US"/>
        </w:rPr>
        <w:t xml:space="preserve">А) результат</w:t>
      </w:r>
      <w:r>
        <w:rPr>
          <w:rFonts w:eastAsia="SimSun;宋体"/>
          <w:iCs/>
          <w:szCs w:val="22"/>
        </w:rPr>
        <w:t xml:space="preserve">ы</w:t>
      </w:r>
      <w:r>
        <w:rPr>
          <w:rFonts w:eastAsia="SimSun;宋体"/>
          <w:iCs/>
          <w:szCs w:val="22"/>
          <w:lang w:val="en-US"/>
        </w:rPr>
        <w:t xml:space="preserve"> ЕГЭ 2021 года по </w:t>
      </w:r>
      <w:r>
        <w:rPr>
          <w:rFonts w:eastAsia="SimSun;宋体"/>
          <w:iCs/>
          <w:szCs w:val="22"/>
        </w:rPr>
        <w:t xml:space="preserve">биологии</w:t>
      </w:r>
      <w:r>
        <w:rPr>
          <w:rFonts w:eastAsia="SimSun;宋体"/>
          <w:iCs/>
          <w:szCs w:val="22"/>
          <w:lang w:val="en-US"/>
        </w:rPr>
        <w:t xml:space="preserve"> относительно результатов 2019-2020 гг.</w:t>
      </w:r>
      <w:r>
        <w:rPr>
          <w:rFonts w:eastAsia="SimSun;宋体"/>
          <w:iCs/>
          <w:szCs w:val="22"/>
        </w:rPr>
        <w:t xml:space="preserve"> незначительно изменились, появился 100-бальник, на 1,5% увеличилось число набравших высокие баллы от 81 до 99 с 3,2% в 2019 году до 4,7% в 2021. На 0,7 % вырос средний балл с 49,9 до 50,6.</w:t>
      </w:r>
      <w:r/>
    </w:p>
    <w:p>
      <w:pPr>
        <w:pStyle w:val="940"/>
        <w:jc w:val="both"/>
        <w:keepLines/>
        <w:keepNext/>
        <w:tabs>
          <w:tab w:val="left" w:pos="0" w:leader="none"/>
          <w:tab w:val="clear" w:pos="708" w:leader="none"/>
        </w:tabs>
      </w:pPr>
      <w:r>
        <w:rPr>
          <w:rFonts w:eastAsia="SimSun;宋体"/>
          <w:iCs/>
          <w:szCs w:val="22"/>
        </w:rPr>
        <w:tab/>
        <w:t xml:space="preserve">Уменьшилось на 0,4 % количество не преодолевших «порог» с 19,2 до 18,8</w:t>
      </w:r>
      <w:r/>
    </w:p>
    <w:p>
      <w:pPr>
        <w:pStyle w:val="940"/>
        <w:jc w:val="both"/>
        <w:keepLines/>
        <w:keepNext/>
        <w:tabs>
          <w:tab w:val="left" w:pos="0" w:leader="none"/>
          <w:tab w:val="clear" w:pos="708" w:leader="none"/>
        </w:tabs>
        <w:rPr>
          <w:rFonts w:eastAsia="SimSun;宋体"/>
          <w:iCs/>
          <w:szCs w:val="22"/>
        </w:rPr>
      </w:pPr>
      <w:r>
        <w:rPr>
          <w:rFonts w:eastAsia="SimSun;宋体"/>
          <w:iCs/>
          <w:szCs w:val="22"/>
        </w:rPr>
        <w:t xml:space="preserve">Стабильно хороший результат показали выпускники ЗАТО Знаменск, - около 80% справились с заданиями и набрали средние и достаточно высокие баллы, Камызякские школ</w:t>
      </w:r>
      <w:r>
        <w:rPr>
          <w:rFonts w:eastAsia="SimSun;宋体"/>
          <w:iCs/>
          <w:szCs w:val="22"/>
        </w:rPr>
        <w:t xml:space="preserve">ьники, не смотря на то что не получили высокие баллы, имеют совсем не плохой результат, всего 10,3 % участников, набрали балл ниже минимального, а 38% от 61 до 80 баллов. Хорошие результаты показали участники ЕГЭ из Харабалинского и Наримановского районов.</w:t>
      </w:r>
      <w:r/>
    </w:p>
    <w:p>
      <w:pPr>
        <w:pStyle w:val="940"/>
        <w:jc w:val="both"/>
        <w:keepLines/>
        <w:keepNext/>
        <w:tabs>
          <w:tab w:val="left" w:pos="0" w:leader="none"/>
          <w:tab w:val="clear" w:pos="708" w:leader="none"/>
        </w:tabs>
      </w:pPr>
      <w:r>
        <w:rPr>
          <w:rFonts w:eastAsia="SimSun;宋体"/>
          <w:iCs/>
          <w:szCs w:val="22"/>
        </w:rPr>
        <w:tab/>
        <w:t xml:space="preserve">Особенно следует отметить 100%-ное прохождение «порога» учащимися из Лиманского и Икряненского районов.</w:t>
      </w:r>
      <w:r/>
    </w:p>
    <w:p>
      <w:pPr>
        <w:pStyle w:val="940"/>
        <w:jc w:val="both"/>
        <w:keepLines/>
        <w:keepNext/>
        <w:tabs>
          <w:tab w:val="left" w:pos="0" w:leader="none"/>
          <w:tab w:val="clear" w:pos="708" w:leader="none"/>
        </w:tabs>
        <w:rPr>
          <w:rFonts w:eastAsia="SimSun;宋体"/>
          <w:iCs/>
          <w:szCs w:val="22"/>
        </w:rPr>
      </w:pPr>
      <w:r>
        <w:rPr>
          <w:rFonts w:eastAsia="SimSun;宋体"/>
          <w:iCs/>
          <w:szCs w:val="22"/>
        </w:rPr>
        <w:t xml:space="preserve">Самый высокий процент участников, набравших балл ниже минимального в Енотаевском, Красноярском и Черноярском районе.</w:t>
      </w:r>
      <w:r/>
    </w:p>
    <w:p>
      <w:pPr>
        <w:pStyle w:val="940"/>
        <w:jc w:val="both"/>
        <w:keepLines/>
        <w:keepNext/>
        <w:tabs>
          <w:tab w:val="left" w:pos="0" w:leader="none"/>
          <w:tab w:val="clear" w:pos="708" w:leader="none"/>
        </w:tabs>
      </w:pPr>
      <w:r>
        <w:rPr>
          <w:rFonts w:eastAsia="SimSun;宋体"/>
          <w:iCs/>
          <w:szCs w:val="22"/>
        </w:rPr>
        <w:tab/>
      </w:r>
      <w:r>
        <w:rPr>
          <w:rFonts w:eastAsia="SimSun;宋体"/>
          <w:iCs/>
          <w:szCs w:val="22"/>
          <w:lang w:val="en-US"/>
        </w:rPr>
        <w:t xml:space="preserve">Б) Такая, на первый взгляд полож</w:t>
      </w:r>
      <w:r>
        <w:rPr>
          <w:rFonts w:eastAsia="SimSun;宋体"/>
          <w:iCs/>
          <w:szCs w:val="22"/>
          <w:lang w:val="en-US"/>
        </w:rPr>
        <w:t xml:space="preserve">ительная, динамика обусловлена не столько повышением уровня преподавания, а скорее всего увеличением уровня осознанности выпускников и их успешной подготовки самостоятельно или с репетиторами. В подавляющем большинстве учебных заведений Астраханской област</w:t>
      </w:r>
      <w:r>
        <w:rPr>
          <w:rFonts w:eastAsia="SimSun;宋体"/>
          <w:iCs/>
          <w:szCs w:val="22"/>
          <w:lang w:val="en-US"/>
        </w:rPr>
        <w:t xml:space="preserve">и биологическое образование в старших классах ограничивается рамками 1 часа в неделю, только при наличии профильного обучения или введения в расписание элективных курсов может появиться возможность изучать биологию в достаточном для выполнения заданий повы</w:t>
      </w:r>
      <w:r>
        <w:rPr>
          <w:rFonts w:eastAsia="SimSun;宋体"/>
          <w:iCs/>
          <w:szCs w:val="22"/>
          <w:lang w:val="en-US"/>
        </w:rPr>
        <w:t xml:space="preserve">шенного и высокого уровня сложности. В лицеях, гимназиях и других «особых» учреждениях ОСО (Казачий кадетский корпус, Инженерная школа, АСВУ МВД России и пр.), занимаются прикладной биологией в рамках элективных курсов или углубленно изучают живую природу.</w:t>
      </w:r>
      <w:r/>
    </w:p>
    <w:p>
      <w:pPr>
        <w:pStyle w:val="940"/>
        <w:jc w:val="both"/>
        <w:keepLines/>
        <w:keepNext/>
        <w:tabs>
          <w:tab w:val="left" w:pos="0" w:leader="none"/>
          <w:tab w:val="clear" w:pos="708" w:leader="none"/>
        </w:tabs>
        <w:rPr>
          <w:rFonts w:eastAsia="SimSun;宋体"/>
          <w:iCs/>
          <w:szCs w:val="22"/>
        </w:rPr>
      </w:pPr>
      <w:r>
        <w:rPr>
          <w:rFonts w:eastAsia="SimSun;宋体"/>
          <w:iCs/>
          <w:szCs w:val="22"/>
        </w:rPr>
      </w:r>
      <w:r/>
    </w:p>
    <w:p>
      <w:pPr>
        <w:pStyle w:val="940"/>
        <w:jc w:val="both"/>
        <w:keepLines/>
        <w:keepNext/>
        <w:tabs>
          <w:tab w:val="left" w:pos="0" w:leader="none"/>
          <w:tab w:val="clear" w:pos="708" w:leader="none"/>
        </w:tabs>
        <w:rPr>
          <w:rFonts w:eastAsia="SimSun;宋体"/>
          <w:iCs/>
          <w:szCs w:val="22"/>
        </w:rPr>
      </w:pPr>
      <w:r>
        <w:rPr>
          <w:rFonts w:eastAsia="SimSun;宋体"/>
          <w:iCs/>
          <w:szCs w:val="22"/>
        </w:rPr>
      </w:r>
      <w:r/>
    </w:p>
    <w:p>
      <w:pPr>
        <w:pStyle w:val="940"/>
        <w:keepLines/>
        <w:keepNext/>
        <w:spacing w:before="40" w:after="0"/>
        <w:tabs>
          <w:tab w:val="left" w:pos="0" w:leader="none"/>
          <w:tab w:val="clear" w:pos="708" w:leader="none"/>
        </w:tabs>
        <w:rPr>
          <w:rFonts w:eastAsia="SimSun;宋体"/>
          <w:b/>
          <w:bCs/>
          <w:iCs/>
          <w:sz w:val="28"/>
          <w:szCs w:val="28"/>
          <w:lang w:val="en-US"/>
        </w:rPr>
      </w:pPr>
      <w:r>
        <w:rPr>
          <w:rFonts w:eastAsia="SimSun;宋体"/>
          <w:b/>
          <w:bCs/>
          <w:iCs/>
          <w:sz w:val="28"/>
          <w:szCs w:val="28"/>
          <w:lang w:val="en-US"/>
        </w:rPr>
      </w:r>
      <w:r/>
    </w:p>
    <w:p>
      <w:pPr>
        <w:pStyle w:val="940"/>
        <w:keepLines/>
        <w:keepNext/>
        <w:spacing w:before="40" w:after="0"/>
        <w:tabs>
          <w:tab w:val="left" w:pos="0" w:leader="none"/>
          <w:tab w:val="clear" w:pos="708" w:leader="none"/>
        </w:tabs>
        <w:rPr>
          <w:rFonts w:eastAsia="SimSun;宋体"/>
          <w:b/>
          <w:bCs/>
          <w:iCs/>
          <w:sz w:val="28"/>
          <w:szCs w:val="28"/>
          <w:lang w:val="en-US"/>
        </w:rPr>
      </w:pPr>
      <w:r>
        <w:rPr>
          <w:rFonts w:eastAsia="SimSun;宋体"/>
          <w:b/>
          <w:bCs/>
          <w:i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numPr>
          <w:ilvl w:val="1"/>
          <w:numId w:val="66"/>
        </w:numPr>
        <w:keepLines/>
        <w:keepNext/>
        <w:spacing w:before="200" w:after="0"/>
      </w:pPr>
      <w:r>
        <w:rPr>
          <w:rFonts w:eastAsia="Times New Roman"/>
          <w:b/>
          <w:bCs/>
          <w:sz w:val="28"/>
        </w:rPr>
        <w:t xml:space="preserve"> </w:t>
      </w:r>
      <w:r>
        <w:rPr>
          <w:rFonts w:eastAsia="SimSun;宋体"/>
          <w:b/>
          <w:bCs/>
          <w:sz w:val="28"/>
          <w:lang w:val="en-US"/>
        </w:rPr>
        <w:t xml:space="preserve">Краткая характеристика КИМ по учебному предмету</w:t>
      </w:r>
      <w:r/>
    </w:p>
    <w:p>
      <w:pPr>
        <w:pStyle w:val="940"/>
        <w:jc w:val="both"/>
        <w:tabs>
          <w:tab w:val="left" w:pos="0" w:leader="none"/>
          <w:tab w:val="clear" w:pos="708" w:leader="none"/>
        </w:tabs>
      </w:pPr>
      <w:r/>
      <w:r/>
    </w:p>
    <w:p>
      <w:pPr>
        <w:pStyle w:val="940"/>
        <w:jc w:val="both"/>
        <w:tabs>
          <w:tab w:val="left" w:pos="0" w:leader="none"/>
          <w:tab w:val="clear" w:pos="708" w:leader="none"/>
        </w:tabs>
      </w:pPr>
      <w:r>
        <w:tab/>
      </w:r>
      <w:r>
        <w:rPr>
          <w:lang w:val="en-US"/>
        </w:rPr>
        <w:t xml:space="preserve">В 2021 г. структура КИМ не изменилась в сравнении с 2020 г. Так же, каждый вариант состоит из двух частей со сквозной нумерацией и включает задания с кратким или развернутым ответом. </w:t>
      </w:r>
      <w:r/>
    </w:p>
    <w:p>
      <w:pPr>
        <w:pStyle w:val="940"/>
        <w:jc w:val="both"/>
        <w:tabs>
          <w:tab w:val="left" w:pos="0" w:leader="none"/>
          <w:tab w:val="clear" w:pos="708" w:leader="none"/>
        </w:tabs>
      </w:pPr>
      <w:r>
        <w:tab/>
      </w:r>
      <w:r>
        <w:rPr>
          <w:lang w:val="en-US"/>
        </w:rPr>
        <w:t xml:space="preserve">«Часть 1» включает в себя 21 задание. Среди заданий, так же как</w:t>
      </w:r>
      <w:r>
        <w:rPr>
          <w:lang w:val="en-US"/>
        </w:rPr>
        <w:t xml:space="preserve"> и в 2020 году, есть задания на заполнение пропущенных элементов схемы или таблицы, нахождение правильно указанных обозначений в рисунке, анализ и синтез информации, в том числе представленной в форме графиков, диаграмм и таблиц со статистическими данными.</w:t>
      </w:r>
      <w:r/>
    </w:p>
    <w:p>
      <w:pPr>
        <w:pStyle w:val="940"/>
        <w:jc w:val="both"/>
        <w:tabs>
          <w:tab w:val="left" w:pos="0" w:leader="none"/>
          <w:tab w:val="clear" w:pos="708" w:leader="none"/>
        </w:tabs>
      </w:pPr>
      <w:r>
        <w:tab/>
      </w:r>
      <w:r>
        <w:rPr>
          <w:lang w:val="en-US"/>
        </w:rPr>
        <w:t xml:space="preserve">«Часть 2» не претерпела существенных изменений и как в прошлом году содержит 7 заданий, но при этом есть некоторые изменения в формулировке заданий и конкретизированы критерии к оцениванию: </w:t>
      </w:r>
      <w:r/>
    </w:p>
    <w:p>
      <w:pPr>
        <w:pStyle w:val="940"/>
        <w:jc w:val="both"/>
        <w:tabs>
          <w:tab w:val="left" w:pos="0" w:leader="none"/>
          <w:tab w:val="clear" w:pos="708" w:leader="none"/>
        </w:tabs>
      </w:pPr>
      <w:r>
        <w:tab/>
      </w:r>
      <w:r>
        <w:rPr>
          <w:lang w:val="en-US"/>
        </w:rPr>
        <w:t xml:space="preserve">- в заданиях на нахождение ошибок (Линия 24) также, как и в 2020 году каждый текст имеет определенное название и исправить ошибки требуется в контексте обозначенной темы, уточнены критерии оценивания в случае исправления 4 и более предложений; </w:t>
      </w:r>
      <w:r/>
    </w:p>
    <w:p>
      <w:pPr>
        <w:pStyle w:val="940"/>
        <w:jc w:val="both"/>
        <w:tabs>
          <w:tab w:val="left" w:pos="0" w:leader="none"/>
          <w:tab w:val="clear" w:pos="708" w:leader="none"/>
        </w:tabs>
      </w:pPr>
      <w:r>
        <w:tab/>
      </w:r>
      <w:r>
        <w:rPr>
          <w:lang w:val="en-US"/>
        </w:rPr>
        <w:t xml:space="preserve">- в линии заданий 27 анонсировалось и было включено в реальные КИМ задание на биосинтез белка с опорой на знание сущности понятия «антипараллельность» и механизма биосинтеза, включая варианты транскрипции разных видов РНК.</w:t>
      </w:r>
      <w:r/>
    </w:p>
    <w:p>
      <w:pPr>
        <w:pStyle w:val="940"/>
        <w:jc w:val="both"/>
        <w:tabs>
          <w:tab w:val="left" w:pos="0" w:leader="none"/>
          <w:tab w:val="clear" w:pos="708" w:leader="none"/>
        </w:tabs>
      </w:pPr>
      <w:r>
        <w:tab/>
      </w:r>
      <w:r>
        <w:rPr>
          <w:lang w:val="en-US"/>
        </w:rPr>
        <w:t xml:space="preserve">-  в заданиях линии 28 в разных вариантах учащимся предлагается самостоятельно определить</w:t>
      </w:r>
      <w:r>
        <w:rPr>
          <w:lang w:val="en-US"/>
        </w:rPr>
        <w:t xml:space="preserve"> доминантность и рецессивность признака, сцепление конкретного признака с полом; а также как и в 2020 году включены задачи на кроссинговер в половых хромосомах у человека, конкретизированы критерии оценивания в случаях на сцепленное наследование признаков,</w:t>
      </w:r>
      <w:r/>
    </w:p>
    <w:p>
      <w:pPr>
        <w:pStyle w:val="940"/>
        <w:jc w:val="both"/>
        <w:tabs>
          <w:tab w:val="left" w:pos="0" w:leader="none"/>
          <w:tab w:val="clear" w:pos="708" w:leader="none"/>
        </w:tabs>
      </w:pPr>
      <w:r>
        <w:tab/>
      </w:r>
      <w:r>
        <w:rPr>
          <w:lang w:val="en-US"/>
        </w:rPr>
        <w:t xml:space="preserve">- во всех заданиях 2 части конкретизированы критерии оценивания: каждое задание оценивается по ИНДИВИДУАЛЬНЫМ  критериям, элементов может включать от 2 - 3 (линия 22) до 6-9 ( линии 23, 25, 26, 27).</w:t>
      </w:r>
      <w:r/>
    </w:p>
    <w:p>
      <w:pPr>
        <w:pStyle w:val="940"/>
        <w:jc w:val="both"/>
        <w:tabs>
          <w:tab w:val="left" w:pos="0" w:leader="none"/>
          <w:tab w:val="clear" w:pos="708" w:leader="none"/>
        </w:tabs>
        <w:rPr>
          <w:lang w:val="en-US"/>
        </w:rPr>
      </w:pPr>
      <w:r>
        <w:rPr>
          <w:lang w:val="en-US"/>
        </w:rPr>
      </w:r>
      <w:r/>
    </w:p>
    <w:p>
      <w:pPr>
        <w:pStyle w:val="940"/>
        <w:jc w:val="center"/>
        <w:tabs>
          <w:tab w:val="left" w:pos="0" w:leader="none"/>
          <w:tab w:val="clear" w:pos="708" w:leader="none"/>
        </w:tabs>
        <w:rPr>
          <w:iCs/>
        </w:rPr>
      </w:pPr>
      <w:r>
        <w:rPr>
          <w:iCs/>
        </w:rPr>
        <w:t xml:space="preserve">СОДЕРЖАТЕЛЬНЫЕ ОСОБЕННОСТИ КИМ</w:t>
      </w:r>
      <w:r/>
    </w:p>
    <w:p>
      <w:pPr>
        <w:pStyle w:val="940"/>
        <w:jc w:val="center"/>
        <w:tabs>
          <w:tab w:val="left" w:pos="0" w:leader="none"/>
          <w:tab w:val="clear" w:pos="708" w:leader="none"/>
        </w:tabs>
        <w:rPr>
          <w:iCs/>
          <w:lang w:val="en-US"/>
        </w:rPr>
      </w:pPr>
      <w:r>
        <w:rPr>
          <w:iCs/>
          <w:lang w:val="en-US"/>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049"/>
        <w:gridCol w:w="2372"/>
        <w:gridCol w:w="2105"/>
        <w:gridCol w:w="2133"/>
      </w:tblGrid>
      <w:tr>
        <w:trPr>
          <w:trHeight w:val="219"/>
        </w:trPr>
        <w:tc>
          <w:tcPr>
            <w:gridSpan w:val="4"/>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tabs>
                <w:tab w:val="left" w:pos="0" w:leader="none"/>
                <w:tab w:val="clear" w:pos="708" w:leader="none"/>
              </w:tabs>
              <w:rPr>
                <w:lang w:eastAsia="en-US"/>
              </w:rPr>
            </w:pPr>
            <w:r>
              <w:rPr>
                <w:lang w:eastAsia="en-US"/>
              </w:rPr>
            </w:r>
            <w:r/>
          </w:p>
        </w:tc>
      </w:tr>
      <w:tr>
        <w:trPr>
          <w:trHeight w:val="1612"/>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Содержательный раздел</w:t>
            </w:r>
            <w:r/>
          </w:p>
        </w:tc>
        <w:tc>
          <w:tcPr>
            <w:tcBorders>
              <w:top w:val="single" w:color="000000" w:sz="4" w:space="0"/>
              <w:left w:val="single" w:color="000000" w:sz="4" w:space="0"/>
              <w:bottom w:val="single" w:color="000000" w:sz="4" w:space="0"/>
            </w:tcBorders>
            <w:tcW w:w="2372" w:type="dxa"/>
            <w:textDirection w:val="lrTb"/>
            <w:noWrap w:val="false"/>
          </w:tcPr>
          <w:p>
            <w:pPr>
              <w:pStyle w:val="940"/>
              <w:tabs>
                <w:tab w:val="left" w:pos="0" w:leader="none"/>
                <w:tab w:val="clear" w:pos="708" w:leader="none"/>
              </w:tabs>
              <w:rPr>
                <w:lang w:eastAsia="en-US"/>
              </w:rPr>
            </w:pPr>
            <w:r>
              <w:rPr>
                <w:lang w:eastAsia="en-US"/>
              </w:rPr>
              <w:t xml:space="preserve">Количество и перечень заданий (в 1 и 2 части соответственно )</w:t>
            </w:r>
            <w:r/>
          </w:p>
        </w:tc>
        <w:tc>
          <w:tcPr>
            <w:tcBorders>
              <w:top w:val="single" w:color="000000" w:sz="4" w:space="0"/>
              <w:left w:val="single" w:color="000000" w:sz="4" w:space="0"/>
              <w:bottom w:val="single" w:color="000000" w:sz="4" w:space="0"/>
            </w:tcBorders>
            <w:tcW w:w="2105" w:type="dxa"/>
            <w:textDirection w:val="lrTb"/>
            <w:noWrap w:val="false"/>
          </w:tcPr>
          <w:p>
            <w:pPr>
              <w:pStyle w:val="940"/>
              <w:tabs>
                <w:tab w:val="left" w:pos="0" w:leader="none"/>
                <w:tab w:val="clear" w:pos="708" w:leader="none"/>
              </w:tabs>
              <w:rPr>
                <w:lang w:eastAsia="en-US"/>
              </w:rPr>
            </w:pPr>
            <w:r>
              <w:rPr>
                <w:lang w:eastAsia="en-US"/>
              </w:rPr>
              <w:t xml:space="preserve">Максимальный первичный балл</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tabs>
                <w:tab w:val="left" w:pos="0" w:leader="none"/>
                <w:tab w:val="clear" w:pos="708" w:leader="none"/>
              </w:tabs>
              <w:rPr>
                <w:lang w:eastAsia="en-US"/>
              </w:rPr>
            </w:pPr>
            <w:r>
              <w:rPr>
                <w:lang w:eastAsia="en-US"/>
              </w:rPr>
              <w:t xml:space="preserve">% максимального первичного балла за задания данного раздела от максимального первичного балла за всю работу</w:t>
            </w:r>
            <w:r/>
          </w:p>
        </w:tc>
      </w:tr>
      <w:tr>
        <w:trPr>
          <w:trHeight w:val="689"/>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1. Биология как наука. Методы научного познания</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2 (1 и 1 )</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4</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6,8%</w:t>
            </w:r>
            <w:r/>
          </w:p>
        </w:tc>
      </w:tr>
      <w:tr>
        <w:trPr>
          <w:trHeight w:val="454"/>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2. Клетка как биологическая система </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5-4  (4-3 и 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11-8</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18,7%</w:t>
            </w:r>
            <w:r/>
          </w:p>
        </w:tc>
      </w:tr>
      <w:tr>
        <w:trPr>
          <w:trHeight w:val="454"/>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3. Организм как биологическая система</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4-5 (3-4 и 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8-10</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13,6%</w:t>
            </w:r>
            <w:r/>
          </w:p>
        </w:tc>
      </w:tr>
      <w:tr>
        <w:trPr>
          <w:trHeight w:val="908"/>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4 Система и многообразие</w:t>
            </w:r>
            <w:r/>
          </w:p>
          <w:p>
            <w:pPr>
              <w:pStyle w:val="940"/>
              <w:tabs>
                <w:tab w:val="left" w:pos="0" w:leader="none"/>
                <w:tab w:val="clear" w:pos="708" w:leader="none"/>
              </w:tabs>
              <w:rPr>
                <w:lang w:eastAsia="en-US"/>
              </w:rPr>
            </w:pPr>
            <w:r>
              <w:rPr>
                <w:lang w:eastAsia="en-US"/>
              </w:rPr>
              <w:t xml:space="preserve">органического мира</w:t>
            </w:r>
            <w:r/>
          </w:p>
          <w:p>
            <w:pPr>
              <w:pStyle w:val="940"/>
              <w:tabs>
                <w:tab w:val="left" w:pos="0" w:leader="none"/>
                <w:tab w:val="clear" w:pos="708" w:leader="none"/>
              </w:tabs>
              <w:rPr>
                <w:iCs/>
                <w:lang w:eastAsia="en-US"/>
              </w:rPr>
            </w:pPr>
            <w:r>
              <w:rPr>
                <w:iCs/>
                <w:lang w:eastAsia="en-US"/>
              </w:rPr>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4 (3 и 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7</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11,9%</w:t>
            </w:r>
            <w:r/>
          </w:p>
        </w:tc>
      </w:tr>
      <w:tr>
        <w:trPr>
          <w:trHeight w:val="454"/>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lang w:eastAsia="en-US"/>
              </w:rPr>
            </w:pPr>
            <w:r>
              <w:rPr>
                <w:lang w:eastAsia="en-US"/>
              </w:rPr>
              <w:t xml:space="preserve">5. Организм человека и его здоровье </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5 (4 и 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11</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18,6%</w:t>
            </w:r>
            <w:r/>
          </w:p>
        </w:tc>
      </w:tr>
      <w:tr>
        <w:trPr>
          <w:trHeight w:val="454"/>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iCs/>
                <w:lang w:eastAsia="en-US"/>
              </w:rPr>
            </w:pPr>
            <w:r>
              <w:rPr>
                <w:iCs/>
                <w:lang w:eastAsia="en-US"/>
              </w:rPr>
              <w:t xml:space="preserve">6. Эволюция живой природы</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4 (3 и 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9</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15,2%</w:t>
            </w:r>
            <w:r/>
          </w:p>
        </w:tc>
      </w:tr>
      <w:tr>
        <w:trPr>
          <w:trHeight w:val="689"/>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iCs/>
                <w:lang w:eastAsia="en-US"/>
              </w:rPr>
            </w:pPr>
            <w:r>
              <w:rPr>
                <w:iCs/>
                <w:lang w:eastAsia="en-US"/>
              </w:rPr>
              <w:t xml:space="preserve">7. Экосистемы и присущие им закономерности</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4 (3 и1)</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9</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15,2%</w:t>
            </w:r>
            <w:r/>
          </w:p>
        </w:tc>
      </w:tr>
      <w:tr>
        <w:trPr>
          <w:trHeight w:val="219"/>
        </w:trPr>
        <w:tc>
          <w:tcPr>
            <w:tcBorders>
              <w:top w:val="single" w:color="000000" w:sz="4" w:space="0"/>
              <w:left w:val="single" w:color="000000" w:sz="4" w:space="0"/>
              <w:bottom w:val="single" w:color="000000" w:sz="4" w:space="0"/>
            </w:tcBorders>
            <w:tcW w:w="3049" w:type="dxa"/>
            <w:textDirection w:val="lrTb"/>
            <w:noWrap w:val="false"/>
          </w:tcPr>
          <w:p>
            <w:pPr>
              <w:pStyle w:val="940"/>
              <w:tabs>
                <w:tab w:val="left" w:pos="0" w:leader="none"/>
                <w:tab w:val="clear" w:pos="708" w:leader="none"/>
              </w:tabs>
              <w:rPr>
                <w:i/>
                <w:lang w:eastAsia="en-US"/>
              </w:rPr>
            </w:pPr>
            <w:r>
              <w:rPr>
                <w:i/>
                <w:lang w:eastAsia="en-US"/>
              </w:rPr>
              <w:t xml:space="preserve">Итого</w:t>
            </w:r>
            <w:r/>
          </w:p>
        </w:tc>
        <w:tc>
          <w:tcPr>
            <w:tcBorders>
              <w:top w:val="single" w:color="000000" w:sz="4" w:space="0"/>
              <w:left w:val="single" w:color="000000" w:sz="4" w:space="0"/>
              <w:bottom w:val="single" w:color="000000" w:sz="4" w:space="0"/>
            </w:tcBorders>
            <w:tcW w:w="2372" w:type="dxa"/>
            <w:textDirection w:val="lrTb"/>
            <w:noWrap w:val="false"/>
          </w:tcPr>
          <w:p>
            <w:pPr>
              <w:pStyle w:val="940"/>
              <w:jc w:val="center"/>
              <w:tabs>
                <w:tab w:val="left" w:pos="0" w:leader="none"/>
                <w:tab w:val="clear" w:pos="708" w:leader="none"/>
              </w:tabs>
              <w:rPr>
                <w:lang w:eastAsia="en-US"/>
              </w:rPr>
            </w:pPr>
            <w:r>
              <w:rPr>
                <w:lang w:eastAsia="en-US"/>
              </w:rPr>
              <w:t xml:space="preserve">28</w:t>
            </w:r>
            <w:r/>
          </w:p>
        </w:tc>
        <w:tc>
          <w:tcPr>
            <w:tcBorders>
              <w:top w:val="single" w:color="000000" w:sz="4" w:space="0"/>
              <w:left w:val="single" w:color="000000" w:sz="4" w:space="0"/>
              <w:bottom w:val="single" w:color="000000" w:sz="4" w:space="0"/>
            </w:tcBorders>
            <w:tcW w:w="2105" w:type="dxa"/>
            <w:textDirection w:val="lrTb"/>
            <w:noWrap w:val="false"/>
          </w:tcPr>
          <w:p>
            <w:pPr>
              <w:pStyle w:val="940"/>
              <w:jc w:val="center"/>
              <w:tabs>
                <w:tab w:val="left" w:pos="0" w:leader="none"/>
                <w:tab w:val="clear" w:pos="708" w:leader="none"/>
              </w:tabs>
              <w:rPr>
                <w:lang w:eastAsia="en-US"/>
              </w:rPr>
            </w:pPr>
            <w:r>
              <w:rPr>
                <w:lang w:eastAsia="en-US"/>
              </w:rPr>
              <w:t xml:space="preserve">58</w:t>
            </w:r>
            <w:r/>
          </w:p>
        </w:tc>
        <w:tc>
          <w:tcPr>
            <w:tcBorders>
              <w:top w:val="single" w:color="000000" w:sz="4" w:space="0"/>
              <w:left w:val="single" w:color="000000" w:sz="4" w:space="0"/>
              <w:bottom w:val="single" w:color="000000" w:sz="4" w:space="0"/>
              <w:right w:val="single" w:color="000000" w:sz="4" w:space="0"/>
            </w:tcBorders>
            <w:tcW w:w="2133" w:type="dxa"/>
            <w:textDirection w:val="lrTb"/>
            <w:noWrap w:val="false"/>
          </w:tcPr>
          <w:p>
            <w:pPr>
              <w:pStyle w:val="940"/>
              <w:jc w:val="center"/>
              <w:tabs>
                <w:tab w:val="left" w:pos="0" w:leader="none"/>
                <w:tab w:val="clear" w:pos="708" w:leader="none"/>
              </w:tabs>
              <w:rPr>
                <w:lang w:eastAsia="en-US"/>
              </w:rPr>
            </w:pPr>
            <w:r>
              <w:rPr>
                <w:lang w:eastAsia="en-US"/>
              </w:rPr>
              <w:t xml:space="preserve">100%</w:t>
            </w:r>
            <w:r/>
          </w:p>
        </w:tc>
      </w:tr>
    </w:tbl>
    <w:p>
      <w:pPr>
        <w:pStyle w:val="940"/>
        <w:contextualSpacing/>
        <w:jc w:val="both"/>
        <w:spacing w:before="0" w:after="0"/>
        <w:tabs>
          <w:tab w:val="left" w:pos="0" w:leader="none"/>
          <w:tab w:val="clear" w:pos="708" w:leader="none"/>
        </w:tabs>
        <w:rPr>
          <w:iCs/>
          <w:lang w:val="en-US"/>
        </w:rPr>
      </w:pPr>
      <w:r>
        <w:rPr>
          <w:iCs/>
          <w:lang w:val="en-US"/>
        </w:rPr>
      </w:r>
      <w:r/>
    </w:p>
    <w:p>
      <w:pPr>
        <w:pStyle w:val="940"/>
        <w:numPr>
          <w:ilvl w:val="1"/>
          <w:numId w:val="66"/>
        </w:numPr>
        <w:keepLines/>
        <w:keepNext/>
        <w:spacing w:before="200" w:after="0"/>
      </w:pPr>
      <w:r>
        <w:rPr>
          <w:rFonts w:eastAsia="Times New Roman"/>
          <w:b/>
          <w:bCs/>
          <w:sz w:val="28"/>
        </w:rPr>
        <w:t xml:space="preserve"> </w:t>
      </w:r>
      <w:r>
        <w:rPr>
          <w:rFonts w:eastAsia="SimSun;宋体"/>
          <w:b/>
          <w:bCs/>
          <w:sz w:val="28"/>
          <w:lang w:val="en-US"/>
        </w:rPr>
        <w:t xml:space="preserve">Анализ выполнения заданий КИМ</w:t>
      </w:r>
      <w:r/>
    </w:p>
    <w:p>
      <w:pPr>
        <w:pStyle w:val="940"/>
        <w:contextualSpacing/>
        <w:jc w:val="both"/>
        <w:spacing w:before="0" w:after="0"/>
        <w:tabs>
          <w:tab w:val="left" w:pos="0" w:leader="none"/>
          <w:tab w:val="clear" w:pos="708" w:leader="none"/>
        </w:tabs>
        <w:rPr>
          <w:rFonts w:eastAsia="SimSun;宋体"/>
          <w:b/>
          <w:bCs/>
          <w:i/>
          <w:iCs/>
          <w:sz w:val="28"/>
          <w:lang w:val="en-US"/>
        </w:rPr>
      </w:pPr>
      <w:r>
        <w:rPr>
          <w:rFonts w:eastAsia="SimSun;宋体"/>
          <w:b/>
          <w:bCs/>
          <w:i/>
          <w:iCs/>
          <w:sz w:val="28"/>
          <w:lang w:val="en-US"/>
        </w:rPr>
      </w:r>
      <w:r/>
    </w:p>
    <w:p>
      <w:pPr>
        <w:pStyle w:val="940"/>
        <w:jc w:val="both"/>
        <w:tabs>
          <w:tab w:val="left" w:pos="0" w:leader="none"/>
          <w:tab w:val="clear" w:pos="708" w:leader="none"/>
        </w:tabs>
      </w:pPr>
      <w:r>
        <w:tab/>
        <w:t xml:space="preserve">В 2021 году в ЕГЭ по биологии в Астраханской области приняли участие 825 человек. </w:t>
      </w:r>
      <w:r/>
    </w:p>
    <w:p>
      <w:pPr>
        <w:pStyle w:val="940"/>
        <w:jc w:val="both"/>
        <w:tabs>
          <w:tab w:val="left" w:pos="0" w:leader="none"/>
          <w:tab w:val="clear" w:pos="708" w:leader="none"/>
        </w:tabs>
      </w:pPr>
      <w:r>
        <w:tab/>
        <w:t xml:space="preserve">Задания части 1 базового и повышенного уровней проверяли освоение биологических знаний, составляющих инвариантное ядро содержания биологического образования, которое отражено в ста</w:t>
      </w:r>
      <w:r>
        <w:t xml:space="preserve">ндарте биологического образования. Задания повышенного и высокого уровней сложности были направлены как на проверку освоения углубленного (профильного) биологического содержания, так и на выявление у выпускников готовности продолжить обучение в высших учеб</w:t>
      </w:r>
      <w:r>
        <w:t xml:space="preserve">ных заведениях биологической направленности. Такие задания позволяют оценить не только учебные достижения экзаменуемых и глубину знаний по биологии, но и умение применять полученные знания в новых нестандартных ситуациях, устанавливать причинно-следственны</w:t>
      </w:r>
      <w:r>
        <w:t xml:space="preserve">е связи, обобщать, обосновывать, делать выводы, логически мыслить, четко и по существу вопроса излагать ответ. При выполнении заданий части 2 участники имели возможность приводить необходимые аргументы, демонстрировать глубину и широту знаний по биологии. </w:t>
      </w:r>
      <w:r/>
    </w:p>
    <w:p>
      <w:pPr>
        <w:pStyle w:val="940"/>
        <w:jc w:val="both"/>
        <w:tabs>
          <w:tab w:val="left" w:pos="0" w:leader="none"/>
          <w:tab w:val="clear" w:pos="708" w:leader="none"/>
        </w:tabs>
      </w:pPr>
      <w:r>
        <w:tab/>
        <w:t xml:space="preserve">Результаты ЕГЭ показали</w:t>
      </w:r>
      <w:r>
        <w:t xml:space="preserve">, что уровень подготовки выпускников однозначно повышение назвать нельзя, так как несмотря на то, что снизился уровень не перешедших порог участников и повысился процент участников с отличным и удовлетворительным уровнем, доля «хорошистов» снизилась на 4%.</w:t>
      </w:r>
      <w:r/>
    </w:p>
    <w:p>
      <w:pPr>
        <w:pStyle w:val="940"/>
        <w:jc w:val="both"/>
        <w:tabs>
          <w:tab w:val="left" w:pos="0" w:leader="none"/>
          <w:tab w:val="clear" w:pos="708" w:leader="none"/>
        </w:tabs>
      </w:pPr>
      <w:r>
        <w:tab/>
        <w:t xml:space="preserve">- 1 группа: Участники с низким уровнем подготовки (до 36 тестовых баллов) – 16,1% (в 2020 году 17,1%); </w:t>
      </w:r>
      <w:r/>
    </w:p>
    <w:p>
      <w:pPr>
        <w:pStyle w:val="940"/>
        <w:jc w:val="both"/>
        <w:tabs>
          <w:tab w:val="left" w:pos="0" w:leader="none"/>
          <w:tab w:val="clear" w:pos="708" w:leader="none"/>
        </w:tabs>
      </w:pPr>
      <w:r>
        <w:tab/>
        <w:t xml:space="preserve">- 2 группа: Участники с удовлетворительным уровнем подготовки (от 36 до 60 баллов) – </w:t>
      </w:r>
      <w:bookmarkStart w:id="0" w:name="_Hlk79115981"/>
      <w:r>
        <w:t xml:space="preserve">56,7% </w:t>
      </w:r>
      <w:bookmarkEnd w:id="0"/>
      <w:r>
        <w:t xml:space="preserve">(в 2020 году - 53,7% %); </w:t>
      </w:r>
      <w:r/>
    </w:p>
    <w:p>
      <w:pPr>
        <w:pStyle w:val="940"/>
        <w:jc w:val="both"/>
        <w:tabs>
          <w:tab w:val="left" w:pos="0" w:leader="none"/>
          <w:tab w:val="clear" w:pos="708" w:leader="none"/>
        </w:tabs>
      </w:pPr>
      <w:r>
        <w:tab/>
        <w:t xml:space="preserve">- 3 группа: Участники с хорошим уровнем подготовки (от 61 до 80 баллов) – 21,7%: (в 2020 году - 26%); </w:t>
      </w:r>
      <w:r/>
    </w:p>
    <w:p>
      <w:pPr>
        <w:pStyle w:val="940"/>
        <w:jc w:val="both"/>
        <w:tabs>
          <w:tab w:val="left" w:pos="0" w:leader="none"/>
          <w:tab w:val="clear" w:pos="708" w:leader="none"/>
        </w:tabs>
      </w:pPr>
      <w:r>
        <w:tab/>
        <w:t xml:space="preserve">- 4 группа: Участники с отличным уровнем подготовки (от 81 до 100 баллов) – 5,3% (в 2020 - 3,2%).</w:t>
      </w:r>
      <w:r/>
    </w:p>
    <w:p>
      <w:pPr>
        <w:pStyle w:val="940"/>
        <w:numPr>
          <w:ilvl w:val="2"/>
          <w:numId w:val="66"/>
        </w:numPr>
        <w:ind w:left="567" w:firstLine="0"/>
        <w:keepLines/>
        <w:keepNext/>
        <w:spacing w:before="200" w:after="0"/>
        <w:tabs>
          <w:tab w:val="left" w:pos="567" w:leader="none"/>
          <w:tab w:val="clear" w:pos="708" w:leader="none"/>
        </w:tabs>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keepLines/>
        <w:keepNext/>
        <w:spacing w:before="200" w:after="0"/>
        <w:tabs>
          <w:tab w:val="left" w:pos="567" w:leader="none"/>
          <w:tab w:val="clear" w:pos="708" w:leader="none"/>
        </w:tabs>
      </w:pPr>
      <w:r/>
      <w:r/>
    </w:p>
    <w:p>
      <w:pPr>
        <w:pStyle w:val="1409"/>
        <w:keepNext/>
        <w:tabs>
          <w:tab w:val="left" w:pos="0" w:leader="none"/>
          <w:tab w:val="clear" w:pos="708" w:leader="none"/>
        </w:tabs>
        <w:rPr>
          <w:rFonts w:eastAsia="SimSun;宋体"/>
          <w:sz w:val="28"/>
          <w:lang w:val="en-US"/>
        </w:rPr>
      </w:pPr>
      <w:r>
        <w:rPr>
          <w:rFonts w:eastAsia="SimSun;宋体"/>
          <w:sz w:val="28"/>
          <w:lang w:val="en-US"/>
        </w:rPr>
      </w:r>
      <w:r/>
    </w:p>
    <w:p>
      <w:pPr>
        <w:pStyle w:val="1409"/>
        <w:keepNext/>
        <w:tabs>
          <w:tab w:val="left" w:pos="0" w:leader="none"/>
          <w:tab w:val="clear" w:pos="708" w:leader="none"/>
        </w:tabs>
        <w:rPr>
          <w:lang w:val="en-US"/>
        </w:rPr>
      </w:pPr>
      <w:r>
        <w:rPr>
          <w:lang w:val="en-US"/>
        </w:rPr>
        <w:t xml:space="preserve">Таблица 2-13</w:t>
      </w:r>
      <w:r/>
    </w:p>
    <w:tbl>
      <w:tblPr>
        <w:tblW w:w="9874" w:type="dxa"/>
        <w:tblInd w:w="-123" w:type="dxa"/>
        <w:tblLayout w:type="fixed"/>
        <w:tblCellMar>
          <w:left w:w="108" w:type="dxa"/>
          <w:top w:w="0" w:type="dxa"/>
          <w:right w:w="108" w:type="dxa"/>
          <w:bottom w:w="0" w:type="dxa"/>
        </w:tblCellMar>
        <w:tblLook w:val="04A0" w:firstRow="1" w:lastRow="0" w:firstColumn="1" w:lastColumn="0" w:noHBand="0" w:noVBand="1"/>
      </w:tblPr>
      <w:tblGrid>
        <w:gridCol w:w="898"/>
        <w:gridCol w:w="2021"/>
        <w:gridCol w:w="1381"/>
        <w:gridCol w:w="936"/>
        <w:gridCol w:w="1491"/>
        <w:gridCol w:w="1493"/>
        <w:gridCol w:w="817"/>
        <w:gridCol w:w="837"/>
      </w:tblGrid>
      <w:tr>
        <w:trPr>
          <w:trHeight w:val="435"/>
        </w:trPr>
        <w:tc>
          <w:tcPr>
            <w:tcBorders>
              <w:top w:val="single" w:color="000000" w:sz="4" w:space="0"/>
              <w:left w:val="single" w:color="000000" w:sz="4" w:space="0"/>
              <w:bottom w:val="single" w:color="000000" w:sz="4" w:space="0"/>
            </w:tcBorders>
            <w:tcW w:w="898" w:type="dxa"/>
            <w:vAlign w:val="bottom"/>
            <w:vMerge w:val="restart"/>
            <w:textDirection w:val="lrTb"/>
            <w:noWrap w:val="false"/>
          </w:tcPr>
          <w:p>
            <w:pPr>
              <w:pStyle w:val="940"/>
              <w:contextualSpacing/>
              <w:jc w:val="center"/>
              <w:spacing w:before="0" w:after="0"/>
              <w:widowControl w:val="off"/>
              <w:tabs>
                <w:tab w:val="left" w:pos="0" w:leader="none"/>
                <w:tab w:val="clear" w:pos="708" w:leader="none"/>
              </w:tabs>
              <w:rPr>
                <w:bCs/>
                <w:sz w:val="22"/>
                <w:szCs w:val="22"/>
              </w:rPr>
            </w:pPr>
            <w:r>
              <w:rPr>
                <w:bCs/>
                <w:sz w:val="22"/>
                <w:szCs w:val="22"/>
              </w:rPr>
              <w:t xml:space="preserve">Номер</w:t>
            </w:r>
            <w:r/>
          </w:p>
          <w:p>
            <w:pPr>
              <w:pStyle w:val="940"/>
              <w:contextualSpacing/>
              <w:jc w:val="center"/>
              <w:spacing w:before="0" w:after="0"/>
              <w:widowControl w:val="off"/>
              <w:tabs>
                <w:tab w:val="left" w:pos="0" w:leader="none"/>
                <w:tab w:val="clear" w:pos="708" w:leader="none"/>
              </w:tabs>
            </w:pPr>
            <w:r>
              <w:rPr>
                <w:bCs/>
                <w:sz w:val="22"/>
                <w:szCs w:val="22"/>
              </w:rPr>
              <w:t xml:space="preserve">задания в КИМ</w:t>
            </w:r>
            <w:r>
              <w:rPr>
                <w:rFonts w:eastAsia="Times New Roman"/>
                <w:color w:val="000000"/>
                <w:sz w:val="22"/>
                <w:szCs w:val="22"/>
              </w:rPr>
              <w:t xml:space="preserve"> </w:t>
            </w:r>
            <w:r/>
          </w:p>
        </w:tc>
        <w:tc>
          <w:tcPr>
            <w:tcBorders>
              <w:top w:val="single" w:color="000000" w:sz="4" w:space="0"/>
              <w:left w:val="single" w:color="000000" w:sz="4" w:space="0"/>
              <w:bottom w:val="single" w:color="000000" w:sz="4" w:space="0"/>
            </w:tcBorders>
            <w:tcW w:w="2021" w:type="dxa"/>
            <w:vAlign w:val="bottom"/>
            <w:vMerge w:val="restart"/>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Проверяемые элементы содержания / умения</w:t>
            </w:r>
            <w:r/>
          </w:p>
        </w:tc>
        <w:tc>
          <w:tcPr>
            <w:tcBorders>
              <w:top w:val="single" w:color="000000" w:sz="4" w:space="0"/>
              <w:left w:val="single" w:color="000000" w:sz="4" w:space="0"/>
              <w:bottom w:val="single" w:color="000000" w:sz="4" w:space="0"/>
            </w:tcBorders>
            <w:tcW w:w="1381" w:type="dxa"/>
            <w:vAlign w:val="bottom"/>
            <w:vMerge w:val="restart"/>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Уровень сложности задания</w:t>
            </w:r>
            <w:r/>
          </w:p>
        </w:tc>
        <w:tc>
          <w:tcPr>
            <w:gridSpan w:val="5"/>
            <w:tcBorders>
              <w:top w:val="single" w:color="000000" w:sz="4" w:space="0"/>
              <w:left w:val="single" w:color="000000" w:sz="4" w:space="0"/>
              <w:bottom w:val="single" w:color="000000" w:sz="4" w:space="0"/>
              <w:right w:val="single" w:color="000000" w:sz="4" w:space="0"/>
            </w:tcBorders>
            <w:tcW w:w="5574"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Процент выполнения задания в субъекте Российской Федерации</w:t>
            </w:r>
            <w:r/>
          </w:p>
        </w:tc>
      </w:tr>
      <w:tr>
        <w:trPr>
          <w:trHeight w:val="1215"/>
        </w:trPr>
        <w:tc>
          <w:tcPr>
            <w:tcBorders>
              <w:top w:val="single" w:color="000000" w:sz="4" w:space="0"/>
              <w:left w:val="single" w:color="000000" w:sz="4" w:space="0"/>
              <w:bottom w:val="single" w:color="000000" w:sz="4" w:space="0"/>
            </w:tcBorders>
            <w:tcW w:w="898" w:type="dxa"/>
            <w:vAlign w:val="bottom"/>
            <w:vMerge w:val="continue"/>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tc>
        <w:tc>
          <w:tcPr>
            <w:tcBorders>
              <w:top w:val="single" w:color="000000" w:sz="4" w:space="0"/>
              <w:left w:val="single" w:color="000000" w:sz="4" w:space="0"/>
              <w:bottom w:val="single" w:color="000000" w:sz="4" w:space="0"/>
            </w:tcBorders>
            <w:tcW w:w="2021" w:type="dxa"/>
            <w:vAlign w:val="bottom"/>
            <w:vMerge w:val="continue"/>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tc>
        <w:tc>
          <w:tcPr>
            <w:tcBorders>
              <w:top w:val="single" w:color="000000" w:sz="4" w:space="0"/>
              <w:left w:val="single" w:color="000000" w:sz="4" w:space="0"/>
              <w:bottom w:val="single" w:color="000000" w:sz="4" w:space="0"/>
            </w:tcBorders>
            <w:tcW w:w="1381" w:type="dxa"/>
            <w:vAlign w:val="bottom"/>
            <w:vMerge w:val="continue"/>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tc>
        <w:tc>
          <w:tcPr>
            <w:tcBorders>
              <w:left w:val="single" w:color="000000" w:sz="4" w:space="0"/>
              <w:bottom w:val="single" w:color="000000" w:sz="4" w:space="0"/>
            </w:tcBorders>
            <w:tcW w:w="936"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средний</w:t>
            </w:r>
            <w:r/>
          </w:p>
        </w:tc>
        <w:tc>
          <w:tcPr>
            <w:tcBorders>
              <w:left w:val="single" w:color="000000" w:sz="4" w:space="0"/>
              <w:bottom w:val="single" w:color="000000" w:sz="4" w:space="0"/>
            </w:tcBorders>
            <w:tcW w:w="1491"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в группе не преодолевших минимальный балл</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в группе от минимального до 60 т.б.</w:t>
            </w:r>
            <w:r/>
          </w:p>
        </w:tc>
        <w:tc>
          <w:tcPr>
            <w:tcBorders>
              <w:left w:val="single" w:color="000000" w:sz="4" w:space="0"/>
              <w:bottom w:val="single" w:color="000000" w:sz="4" w:space="0"/>
            </w:tcBorders>
            <w:tcW w:w="817"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в группе 61-80 т.б.</w:t>
            </w:r>
            <w:r/>
          </w:p>
        </w:tc>
        <w:tc>
          <w:tcPr>
            <w:tcBorders>
              <w:left w:val="single" w:color="000000" w:sz="4" w:space="0"/>
              <w:bottom w:val="single" w:color="000000" w:sz="4" w:space="0"/>
              <w:right w:val="single" w:color="000000" w:sz="4" w:space="0"/>
            </w:tcBorders>
            <w:tcW w:w="837"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в группе 81-100 т.б.</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Биологические термины и понятия. Дополнение схемы</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 -базовый</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84,38</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55,93</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86,23</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96,86</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pPr>
            <w:r>
              <w:rPr>
                <w:rFonts w:eastAsia="Times New Roman"/>
                <w:color w:val="000000"/>
                <w:sz w:val="22"/>
                <w:szCs w:val="22"/>
              </w:rPr>
              <w:t xml:space="preserve">100,00</w:t>
            </w:r>
            <w:r/>
          </w:p>
        </w:tc>
      </w:tr>
      <w:tr>
        <w:trPr>
          <w:trHeight w:val="804"/>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Биология как наука. Методы научного познания. Уровни организации живого. Работа с таблицей</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67,12</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38,14</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65,46</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87,42</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89,74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Генетическая информация в клетке. Хромосомный набор, соматические и половые клетки. Решение биологической задачи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pPr>
            <w:r>
              <w:rPr>
                <w:rFonts w:eastAsia="Times New Roman"/>
                <w:color w:val="000000"/>
                <w:sz w:val="22"/>
                <w:szCs w:val="22"/>
              </w:rPr>
              <w:t xml:space="preserve">60,27</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22,88</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59,66</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82,39</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89,74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Клетка как биологическая система. Жизненный цикл клетки. Множественный выбор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64,45</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46,19</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60,27</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80,82</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97,44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Клетка как биологическая система. Строение клетки, метаболизм. Жизненный цикл клетки. Установление соответствия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 -повышенный</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50,68</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17,37</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44,81</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79,25</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97,44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Моно- и дигибридное, анализирующее скрещивание. Решение биологической задачи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63,84</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25,42</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61,11</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91,19</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97,44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Организм как биологическая система. Селекция. Биотехнология. Множественный выбор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61,99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41,53</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57,00</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80,82</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100,00</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Организм как биологическая система. Селекция. Биотехнология. Установление соответствия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44,79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pPr>
            <w:r>
              <w:rPr>
                <w:rFonts w:eastAsia="Times New Roman"/>
                <w:color w:val="000000"/>
                <w:sz w:val="22"/>
                <w:szCs w:val="22"/>
              </w:rPr>
              <w:t xml:space="preserve">13,14</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37,32</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75,16</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96,15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Многообразие организмов. Бактерии, Грибы, Растения, Животные, Вирусы. Множественный выбор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65,34</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32,20</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63,89</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85,85</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97,44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10</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Многообразие организмов. Бактерии, Грибы, Растения, Животные, Вирусы. Установление соответствия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43,49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12,71</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38,65</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67,61</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89,74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11</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Многообразие организмов. Основные систематические категории, их соподчинённость. Установление последовательности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81,99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39,83</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86,23</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98,43</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97,44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pPr>
            <w:r>
              <w:rPr>
                <w:rFonts w:eastAsia="Times New Roman"/>
                <w:color w:val="000000"/>
                <w:sz w:val="22"/>
                <w:szCs w:val="22"/>
              </w:rPr>
              <w:t xml:space="preserve">12</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Организм человека. Гигиена человека. Множественный выбор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62,12</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35,17</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57,61</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85,53</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96,15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13</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Организм человека. Установление соответствия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46,71</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18,64</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41,55</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71,70</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84,62</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14</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Организм человека. Установление последовательности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41,30</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9,32</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35,51</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67,30</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93,59</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15</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Эволюция живой природы. Множественный выбор (работа с текстом)</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68,01</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38,56</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68,12</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85,85</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83,33</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16</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Эволюция живой природы. Происхождение человека. Установление соответствия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50,21</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16,95</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46,62</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72,96</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96,15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17</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Экосистемы и присущие им закономерности. Биосфера. Множественный выбор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59,45</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34,75</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57,49</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76,10</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87,18</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18</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Экосистемы и присущие им закономерности. Биосфера. Установление соответствия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49,86</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24,15</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44,57</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74,84</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82,05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19</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Общебиологические закономерности. Установление последовательности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48,49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15,68</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40,46</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82,39</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94,87</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20</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Общебиологические закономерности. Человек и его здоровье. Работа с таблицей (с рисунком и без рисунка)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51,44</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10,59</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47,83</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82,08</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88,46</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21</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Биологические системы и их закономерности. Анализ данных, в табличной или графической форме</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Б</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59,59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30,08</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60,27</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74,21</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82,05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22</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Применение биологических знаний в практических ситуациях (практико-ориентированное задание)</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 - высокий</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37,67</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11,86</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33,57</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55,66</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85,90</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23</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Задание с изображением биологического объекта</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29,18</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5,93</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22,79</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49,27</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85,47</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24</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Задание на анализ биологической информации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40,27</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8,19</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35,27</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64,57</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91,45</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25</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Обобщение и применение знаний о человеке и многообразии организмов</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19,54</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2,26</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12,72</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38,16</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68,38</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26</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Обобщение и применение знаний об эволюции органического мира и экологических закономерностях в новой ситуации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14,70</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1,41</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7,33</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29,98</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70,94</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27</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Решение задач по цитологии на применение знаний в новой ситуации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25,39</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1,13</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14,90</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54,30</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92,31</w:t>
            </w:r>
            <w:r/>
          </w:p>
        </w:tc>
      </w:tr>
      <w:tr>
        <w:trPr>
          <w:trHeight w:val="300"/>
        </w:trPr>
        <w:tc>
          <w:tcPr>
            <w:tcBorders>
              <w:left w:val="single" w:color="000000" w:sz="4" w:space="0"/>
              <w:bottom w:val="single" w:color="000000" w:sz="4" w:space="0"/>
            </w:tcBorders>
            <w:tcW w:w="898"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28</w:t>
            </w:r>
            <w:r/>
          </w:p>
        </w:tc>
        <w:tc>
          <w:tcPr>
            <w:tcBorders>
              <w:left w:val="single" w:color="000000" w:sz="4" w:space="0"/>
              <w:bottom w:val="single" w:color="000000" w:sz="4" w:space="0"/>
            </w:tcBorders>
            <w:tcW w:w="202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Решение задач по генетике на применение знаний в новой ситуации</w:t>
            </w:r>
            <w:r/>
          </w:p>
        </w:tc>
        <w:tc>
          <w:tcPr>
            <w:tcBorders>
              <w:left w:val="single" w:color="000000" w:sz="4" w:space="0"/>
              <w:bottom w:val="single" w:color="000000" w:sz="4" w:space="0"/>
            </w:tcBorders>
            <w:tcW w:w="1381" w:type="dxa"/>
            <w:textDirection w:val="lrTb"/>
            <w:noWrap w:val="false"/>
          </w:tcPr>
          <w:p>
            <w:pPr>
              <w:pStyle w:val="940"/>
              <w:contextualSpacing/>
              <w:jc w:val="center"/>
              <w:spacing w:before="0" w:after="0"/>
              <w:widowControl w:val="off"/>
              <w:tabs>
                <w:tab w:val="left" w:pos="0" w:leader="none"/>
                <w:tab w:val="clear" w:pos="708" w:leader="none"/>
              </w:tabs>
              <w:rPr>
                <w:sz w:val="22"/>
                <w:szCs w:val="22"/>
              </w:rPr>
            </w:pPr>
            <w:r>
              <w:rPr>
                <w:sz w:val="22"/>
                <w:szCs w:val="22"/>
              </w:rPr>
              <w:t xml:space="preserve">В</w:t>
            </w:r>
            <w:r/>
          </w:p>
        </w:tc>
        <w:tc>
          <w:tcPr>
            <w:tcBorders>
              <w:left w:val="single" w:color="000000" w:sz="4" w:space="0"/>
              <w:bottom w:val="single" w:color="000000" w:sz="4" w:space="0"/>
            </w:tcBorders>
            <w:tcW w:w="936"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31,23</w:t>
            </w:r>
            <w:r/>
          </w:p>
        </w:tc>
        <w:tc>
          <w:tcPr>
            <w:tcBorders>
              <w:left w:val="single" w:color="000000" w:sz="4" w:space="0"/>
              <w:bottom w:val="single" w:color="000000" w:sz="4" w:space="0"/>
            </w:tcBorders>
            <w:tcW w:w="1491"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2,54</w:t>
            </w:r>
            <w:r/>
          </w:p>
        </w:tc>
        <w:tc>
          <w:tcPr>
            <w:tcBorders>
              <w:left w:val="single" w:color="000000" w:sz="4" w:space="0"/>
              <w:bottom w:val="single" w:color="000000" w:sz="4" w:space="0"/>
            </w:tcBorders>
            <w:tcW w:w="1493" w:type="dxa"/>
            <w:vAlign w:val="center"/>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r>
            <w:r/>
          </w:p>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21,01</w:t>
            </w:r>
            <w:r/>
          </w:p>
        </w:tc>
        <w:tc>
          <w:tcPr>
            <w:tcBorders>
              <w:left w:val="single" w:color="000000" w:sz="4" w:space="0"/>
              <w:bottom w:val="single" w:color="000000" w:sz="4" w:space="0"/>
            </w:tcBorders>
            <w:tcW w:w="81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63,73</w:t>
            </w:r>
            <w:r/>
          </w:p>
        </w:tc>
        <w:tc>
          <w:tcPr>
            <w:tcBorders>
              <w:left w:val="single" w:color="000000" w:sz="4" w:space="0"/>
              <w:bottom w:val="single" w:color="000000" w:sz="4" w:space="0"/>
              <w:right w:val="single" w:color="000000" w:sz="4" w:space="0"/>
            </w:tcBorders>
            <w:tcW w:w="837" w:type="dxa"/>
            <w:vAlign w:val="bottom"/>
            <w:textDirection w:val="lrTb"/>
            <w:noWrap w:val="false"/>
          </w:tcPr>
          <w:p>
            <w:pPr>
              <w:pStyle w:val="940"/>
              <w:contextualSpacing/>
              <w:jc w:val="center"/>
              <w:spacing w:before="0" w:after="0"/>
              <w:widowControl w:val="off"/>
              <w:tabs>
                <w:tab w:val="left" w:pos="0" w:leader="none"/>
                <w:tab w:val="clear" w:pos="708" w:leader="none"/>
              </w:tabs>
              <w:rPr>
                <w:rFonts w:eastAsia="Times New Roman"/>
                <w:color w:val="000000"/>
                <w:sz w:val="22"/>
                <w:szCs w:val="22"/>
              </w:rPr>
            </w:pPr>
            <w:r>
              <w:rPr>
                <w:rFonts w:eastAsia="Times New Roman"/>
                <w:color w:val="000000"/>
                <w:sz w:val="22"/>
                <w:szCs w:val="22"/>
              </w:rPr>
              <w:t xml:space="preserve">94,02</w:t>
            </w:r>
            <w:r/>
          </w:p>
        </w:tc>
      </w:tr>
    </w:tbl>
    <w:p>
      <w:pPr>
        <w:pStyle w:val="940"/>
        <w:tabs>
          <w:tab w:val="left" w:pos="0" w:leader="none"/>
          <w:tab w:val="clear" w:pos="708" w:leader="none"/>
        </w:tabs>
        <w:rPr>
          <w:iCs/>
        </w:rPr>
      </w:pPr>
      <w:r>
        <w:rPr>
          <w:iCs/>
        </w:rPr>
      </w:r>
      <w:r/>
    </w:p>
    <w:p>
      <w:pPr>
        <w:pStyle w:val="940"/>
        <w:tabs>
          <w:tab w:val="left" w:pos="0" w:leader="none"/>
          <w:tab w:val="clear" w:pos="708" w:leader="none"/>
        </w:tabs>
        <w:rPr>
          <w:rFonts w:eastAsia="SimSun;宋体"/>
          <w:sz w:val="28"/>
          <w:lang w:val="en-US"/>
        </w:rPr>
      </w:pPr>
      <w:r>
        <w:object w:dxaOrig="10233" w:dyaOrig="5121">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498.6pt;height:253.7pt;" filled="f" strokecolor="#000000">
            <v:path textboxrect="0,0,100000,99999"/>
            <v:imagedata r:id="rId26" o:title=""/>
          </v:shape>
          <o:OLEObject DrawAspect="Content" r:id="rId27" ObjectID="_15250411" ProgID="Excel.Sheet.12" ShapeID="_x0000_i11" Type="Embed"/>
        </w:object>
      </w:r>
      <w:r/>
    </w:p>
    <w:p>
      <w:pPr>
        <w:pStyle w:val="940"/>
        <w:numPr>
          <w:ilvl w:val="2"/>
          <w:numId w:val="66"/>
        </w:numPr>
        <w:ind w:left="567" w:firstLine="0"/>
        <w:keepLines/>
        <w:keepNext/>
        <w:spacing w:before="200" w:after="0"/>
        <w:tabs>
          <w:tab w:val="left" w:pos="567" w:leader="none"/>
          <w:tab w:val="clear" w:pos="708" w:leader="none"/>
        </w:tabs>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ind w:left="567" w:firstLine="0"/>
        <w:jc w:val="both"/>
        <w:tabs>
          <w:tab w:val="left" w:pos="0" w:leader="none"/>
          <w:tab w:val="clear" w:pos="708" w:leader="none"/>
        </w:tabs>
      </w:pPr>
      <w:r/>
      <w:r/>
    </w:p>
    <w:p>
      <w:pPr>
        <w:pStyle w:val="940"/>
        <w:jc w:val="both"/>
        <w:tabs>
          <w:tab w:val="left" w:pos="0" w:leader="none"/>
          <w:tab w:val="clear" w:pos="708" w:leader="none"/>
        </w:tabs>
      </w:pPr>
      <w:r>
        <w:tab/>
        <w:t xml:space="preserve">Анализ выполнения заданий по элементам содержания позволяет сделать вывод об успешном выполнении задании базового уровня в среднем по всем категориям успешности (2021/2020): </w:t>
      </w:r>
      <w:r/>
    </w:p>
    <w:p>
      <w:pPr>
        <w:pStyle w:val="940"/>
        <w:jc w:val="both"/>
        <w:tabs>
          <w:tab w:val="left" w:pos="0" w:leader="none"/>
          <w:tab w:val="clear" w:pos="708" w:leader="none"/>
        </w:tabs>
      </w:pPr>
      <w:r>
        <w:tab/>
        <w:t xml:space="preserve">- 1. Биологические термины и понятия. Дополнение схемы – 84,38%/65,28 %</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- 3. Генетическая информация в клетке. Хромосомный набор, соматические и половые клетки. Решение биологической задачи – 60,27% / 50,21%</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- 4. Моно- и дигибридное, анализирующее скрещивание. Решение биологической задачи – 63,8%/62,24%</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- 11. Многообразие организмов. Основные систематические категории, их соподчинённость. Установление последовательности – 81,98%/ 70,68%</w:t>
      </w:r>
      <w:r/>
    </w:p>
    <w:p>
      <w:pPr>
        <w:pStyle w:val="940"/>
        <w:jc w:val="both"/>
        <w:tabs>
          <w:tab w:val="left" w:pos="0" w:leader="none"/>
          <w:tab w:val="clear" w:pos="708" w:leader="none"/>
        </w:tabs>
      </w:pPr>
      <w:r>
        <w:tab/>
        <w:t xml:space="preserve">- 21. Биологические системы и их закономерности. Анализ данных, в табличной или графической форме – 59,59%/46,47%</w:t>
      </w:r>
      <w:r/>
    </w:p>
    <w:p>
      <w:pPr>
        <w:pStyle w:val="940"/>
        <w:jc w:val="both"/>
        <w:tabs>
          <w:tab w:val="left" w:pos="0" w:leader="none"/>
          <w:tab w:val="clear" w:pos="708" w:leader="none"/>
        </w:tabs>
      </w:pPr>
      <w:r>
        <w:tab/>
        <w:t xml:space="preserve">В группе заданий, успешно выполненных участниками, наблюдается положительная динамика, за исключением задания линии 11. (Многообразие организмов. Основные систематические категории, их соподчинённость. Установление последовательности). </w:t>
      </w:r>
      <w:r/>
    </w:p>
    <w:p>
      <w:pPr>
        <w:pStyle w:val="940"/>
        <w:jc w:val="both"/>
        <w:tabs>
          <w:tab w:val="left" w:pos="0" w:leader="none"/>
          <w:tab w:val="clear" w:pos="708" w:leader="none"/>
        </w:tabs>
      </w:pPr>
      <w:r>
        <w:tab/>
        <w:t xml:space="preserve">Успешно выполненными с положительной динамикой или небольшим снижением показателя в 2021 году можно считать и задания повышенного уровня: </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- 5. Клетка как биологическая система. Строение клетки, метаболизм. Жизненный цикл клетки. Установление соответствия (с рисунком и без рисунка) - 66,8 (+12,63)</w:t>
      </w:r>
      <w:r/>
    </w:p>
    <w:p>
      <w:pPr>
        <w:pStyle w:val="940"/>
        <w:jc w:val="both"/>
        <w:tabs>
          <w:tab w:val="left" w:pos="0" w:leader="none"/>
          <w:tab w:val="clear" w:pos="708" w:leader="none"/>
        </w:tabs>
      </w:pPr>
      <w:r>
        <w:tab/>
        <w:t xml:space="preserve">- 13. - Организм человека. Установление соответствия (с рисунком и без рисунка) - 46,7%/39,00</w:t>
      </w:r>
      <w:r/>
    </w:p>
    <w:p>
      <w:pPr>
        <w:pStyle w:val="940"/>
        <w:jc w:val="both"/>
        <w:tabs>
          <w:tab w:val="left" w:pos="0" w:leader="none"/>
          <w:tab w:val="clear" w:pos="708" w:leader="none"/>
        </w:tabs>
      </w:pPr>
      <w:r>
        <w:tab/>
        <w:t xml:space="preserve">- 16. - Эволюция живой природы. Происхождение человека. Установление соответствия (без рисунка) 50,2%/40,4</w:t>
      </w:r>
      <w:r/>
    </w:p>
    <w:p>
      <w:pPr>
        <w:pStyle w:val="940"/>
        <w:jc w:val="both"/>
        <w:tabs>
          <w:tab w:val="left" w:pos="0" w:leader="none"/>
          <w:tab w:val="clear" w:pos="708" w:leader="none"/>
        </w:tabs>
      </w:pPr>
      <w:r>
        <w:tab/>
        <w:t xml:space="preserve">- 18. - Экосистемы и присущие им закономерности. Биосфера. Установление соответствия (без рисунка) – 50,2%/40,32%</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- 20. Общебиологические закономерности. Человек и его здоровье. Работа с таблицей (с рисунком и без рисунка) – 85,71 (-1,5). </w:t>
      </w:r>
      <w:r/>
    </w:p>
    <w:p>
      <w:pPr>
        <w:pStyle w:val="940"/>
        <w:jc w:val="both"/>
        <w:tabs>
          <w:tab w:val="left" w:pos="0" w:leader="none"/>
          <w:tab w:val="clear" w:pos="708" w:leader="none"/>
        </w:tabs>
      </w:pPr>
      <w:r>
        <w:t xml:space="preserve">Среди заданий высокого уровня наиболее успешными оказались:</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- 22. Применение биологических знаний в практических ситуациях (практико-ориентированное задание) – 37,67%/34,44%</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- 24. Задание на анализ биологической информации – 40,27%/31,49%</w:t>
      </w:r>
      <w:r/>
    </w:p>
    <w:p>
      <w:pPr>
        <w:pStyle w:val="940"/>
        <w:jc w:val="both"/>
        <w:tabs>
          <w:tab w:val="left" w:pos="0" w:leader="none"/>
          <w:tab w:val="clear" w:pos="708" w:leader="none"/>
        </w:tabs>
      </w:pPr>
      <w:r>
        <w:tab/>
        <w:t xml:space="preserve">- 28. Решение задач по генетике на применение знаний в новой ситуации – 31,23%/24,76 (положительная динамика отмечается в группе с хорошей и отличной подготовкой участников).</w:t>
      </w:r>
      <w:r/>
    </w:p>
    <w:p>
      <w:pPr>
        <w:pStyle w:val="940"/>
        <w:jc w:val="both"/>
        <w:tabs>
          <w:tab w:val="left" w:pos="0" w:leader="none"/>
          <w:tab w:val="clear" w:pos="708" w:leader="none"/>
        </w:tabs>
      </w:pPr>
      <w:r>
        <w:tab/>
        <w:t xml:space="preserve">Наибольшие затруднения с отрицательной динамикой по сравнению с 2020 годом среди всех категорий участников вызвали задания: </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- 2. (базовый уровень) Биология как наука. Методы научного познания. Уровни организации живого. Работа с таблицей - 67,1%/72,61%.</w:t>
      </w:r>
      <w:r/>
    </w:p>
    <w:p>
      <w:pPr>
        <w:pStyle w:val="940"/>
        <w:ind w:left="708" w:firstLine="0"/>
        <w:jc w:val="both"/>
        <w:tabs>
          <w:tab w:val="left" w:pos="0" w:leader="none"/>
          <w:tab w:val="clear" w:pos="708" w:leader="none"/>
        </w:tabs>
      </w:pPr>
      <w:r>
        <w:tab/>
        <w:t xml:space="preserve">- 4. (базовый уровень) Клетка как биологическая система. Жизненный цикл клетки. Множественный выбор (с рисунком и без рисунка)– 64,4 %/73,44%</w:t>
      </w:r>
      <w:r/>
    </w:p>
    <w:p>
      <w:pPr>
        <w:pStyle w:val="940"/>
        <w:jc w:val="both"/>
        <w:tabs>
          <w:tab w:val="left" w:pos="0" w:leader="none"/>
          <w:tab w:val="clear" w:pos="708" w:leader="none"/>
        </w:tabs>
      </w:pPr>
      <w:r>
        <w:tab/>
        <w:t xml:space="preserve">- 5 (повышенный уровень) Клетка как биологическая система. Строение клетки, метаболизм. Жизненный цикл клетки. Установление соответствия (с рисунком и без рисунка) 50,68%/66,80%</w:t>
      </w:r>
      <w:r/>
    </w:p>
    <w:p>
      <w:pPr>
        <w:pStyle w:val="940"/>
        <w:jc w:val="both"/>
        <w:tabs>
          <w:tab w:val="left" w:pos="0" w:leader="none"/>
          <w:tab w:val="clear" w:pos="708" w:leader="none"/>
        </w:tabs>
      </w:pPr>
      <w:r>
        <w:tab/>
        <w:t xml:space="preserve">Пример задания, с которым справляются 45% - Установите соответствие между характеристика</w:t>
      </w:r>
      <w:r>
        <w:t xml:space="preserve">ми и процессами обмена веществ у растений: к каждой позиции, данной в первом столбце, подберите соответствующую позицию из второго столбца. – указывает на недостаточное овладение участниками учебными материалом об особенностях метаболизма живых организмов.</w:t>
      </w:r>
      <w:r/>
    </w:p>
    <w:p>
      <w:pPr>
        <w:pStyle w:val="940"/>
        <w:jc w:val="both"/>
        <w:tabs>
          <w:tab w:val="left" w:pos="0" w:leader="none"/>
          <w:tab w:val="clear" w:pos="708" w:leader="none"/>
        </w:tabs>
      </w:pPr>
      <w:r>
        <w:tab/>
        <w:t xml:space="preserve">- 17.  (базовый уровень) Экосистемы и присущие им закономерности. Биосфера. Множественный выбор (без рисунка) -  59,45%/70,12%.</w:t>
      </w:r>
      <w:r/>
    </w:p>
    <w:p>
      <w:pPr>
        <w:pStyle w:val="940"/>
        <w:jc w:val="both"/>
        <w:tabs>
          <w:tab w:val="left" w:pos="0" w:leader="none"/>
          <w:tab w:val="clear" w:pos="708" w:leader="none"/>
        </w:tabs>
      </w:pPr>
      <w:r>
        <w:t xml:space="preserve">Традиционное задание взаимоотношениях организмов в экосистемах – вызвало затруднение у участников, хотя сам вопрос ориентирован она общую эрудицию участника. </w:t>
      </w:r>
      <w:r/>
    </w:p>
    <w:p>
      <w:pPr>
        <w:pStyle w:val="940"/>
        <w:jc w:val="both"/>
        <w:tabs>
          <w:tab w:val="left" w:pos="0" w:leader="none"/>
          <w:tab w:val="clear" w:pos="708" w:leader="none"/>
        </w:tabs>
      </w:pPr>
      <w:r>
        <w:tab/>
        <w:t xml:space="preserve">- 23. (высокий уровень) Задание с изображением биологического объекта - 29,1%/31,49%, в этих заданиях если неправильно определить объект или изображенное явление, все остальные критерии не защитываются. </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- 26. (высокий уровень) Обобщение и применение знаний об эволюции органического мира и экологических закономерностях в новой ситуации - 14,7%/17,34%.</w:t>
      </w:r>
      <w:r/>
    </w:p>
    <w:p>
      <w:pPr>
        <w:pStyle w:val="940"/>
        <w:jc w:val="both"/>
        <w:tabs>
          <w:tab w:val="left" w:pos="0" w:leader="none"/>
          <w:tab w:val="clear" w:pos="708" w:leader="none"/>
        </w:tabs>
      </w:pPr>
      <w:r>
        <w:t xml:space="preserve">Задания этой линии традиционно требуют не только знаний материала, умения применить их для решения конкретной задачи, но и пояснит</w:t>
      </w:r>
      <w:r>
        <w:t xml:space="preserve">ь, аргументировать ответ.  К тому же в 2020 году изменились критерии оценивания, увеличилось количество элементов ответа, за которые можно было получить 1-2-3 балла. Возможно, учащиеся были не готовы (или вообще не знали) к такому варианту оценки задания. </w:t>
      </w:r>
      <w:r/>
    </w:p>
    <w:p>
      <w:pPr>
        <w:pStyle w:val="940"/>
        <w:jc w:val="both"/>
        <w:tabs>
          <w:tab w:val="left" w:pos="0" w:leader="none"/>
          <w:tab w:val="clear" w:pos="708" w:leader="none"/>
        </w:tabs>
      </w:pPr>
      <w:r>
        <w:tab/>
        <w:t xml:space="preserve">- 27. (высокий уровень) Решение задач по цитологии на применение знаний в новой ситуации – 25,38%/36,7%. </w:t>
      </w:r>
      <w:r/>
    </w:p>
    <w:p>
      <w:pPr>
        <w:pStyle w:val="940"/>
        <w:jc w:val="both"/>
        <w:tabs>
          <w:tab w:val="left" w:pos="0" w:leader="none"/>
          <w:tab w:val="clear" w:pos="708" w:leader="none"/>
        </w:tabs>
      </w:pPr>
      <w:r>
        <w:tab/>
        <w:t xml:space="preserve">Задания – на биосинтез белка с использованием знаний о сущности закономерности «антипараллельность» и направлений считывания информации с ДНК и с РНК- не в</w:t>
      </w:r>
      <w:r>
        <w:t xml:space="preserve">ызвала затруднений в группе участников с высоким уровнем подготовки, но вызвала определенные затруднения в других группах участников, что свидетельствует о формальном знании сущности процесса биосинтеза белка у учащихся с низким и средним уровнем знаний.  </w:t>
      </w:r>
      <w:r/>
    </w:p>
    <w:p>
      <w:pPr>
        <w:pStyle w:val="940"/>
        <w:jc w:val="both"/>
        <w:tabs>
          <w:tab w:val="left" w:pos="0" w:leader="none"/>
          <w:tab w:val="clear" w:pos="708" w:leader="none"/>
        </w:tabs>
      </w:pPr>
      <w:r>
        <w:t xml:space="preserve">Таким образом, можно сделать вывод, что преимущественно не справляются с заданиями группа участников с низким уровнем усвоения материала, осваивающими курс биологии на базовом уровне, знания которых носят формальный характер.</w:t>
      </w:r>
      <w:r/>
    </w:p>
    <w:p>
      <w:pPr>
        <w:pStyle w:val="940"/>
        <w:jc w:val="both"/>
        <w:tabs>
          <w:tab w:val="left" w:pos="0" w:leader="none"/>
          <w:tab w:val="clear" w:pos="708" w:leader="none"/>
        </w:tabs>
      </w:pPr>
      <w:r>
        <w:t xml:space="preserve">В целом задания в КИМ по биологии соответствуют требованиям к профильному уровню обучения школьников, даже базовые понятия и термины в заданиях поданы в формате заставляющим задуматься</w:t>
      </w:r>
      <w:r>
        <w:t xml:space="preserve"> над процессами и явлениями, таким образом, репродуктивное обучение не сможет обеспечить высокий результат в ЕГЭ по биологии. Большая часть заданий повышенной сложности и сложных, нуждается в дополнительном формировании и развитии биологического кругозора.</w:t>
      </w:r>
      <w:r/>
    </w:p>
    <w:p>
      <w:pPr>
        <w:pStyle w:val="940"/>
        <w:numPr>
          <w:ilvl w:val="2"/>
          <w:numId w:val="66"/>
        </w:numPr>
        <w:ind w:left="567" w:firstLine="0"/>
        <w:keepLines/>
        <w:keepNext/>
        <w:spacing w:before="200" w:after="0"/>
        <w:tabs>
          <w:tab w:val="left" w:pos="567" w:leader="none"/>
          <w:tab w:val="clear" w:pos="708" w:leader="none"/>
        </w:tabs>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keepLines/>
        <w:keepNext/>
        <w:spacing w:before="200" w:after="0"/>
        <w:tabs>
          <w:tab w:val="left" w:pos="0" w:leader="none"/>
          <w:tab w:val="clear" w:pos="708" w:leader="none"/>
        </w:tabs>
        <w:rPr>
          <w:rFonts w:eastAsia="SimSun;宋体"/>
          <w:sz w:val="28"/>
          <w:lang w:val="en-US"/>
        </w:rPr>
      </w:pPr>
      <w:r>
        <w:object w:dxaOrig="10233" w:dyaOrig="537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78.2pt;height:268.8pt;" filled="f" strokecolor="#000000">
            <v:path textboxrect="0,0,100000,99999"/>
            <v:imagedata r:id="rId28" o:title=""/>
          </v:shape>
          <o:OLEObject DrawAspect="Content" r:id="rId29" ObjectID="_15250412" ProgID="Excel.Sheet.12" ShapeID="_x0000_i12" Type="Embed"/>
        </w:object>
      </w:r>
      <w:r/>
    </w:p>
    <w:p>
      <w:pPr>
        <w:pStyle w:val="940"/>
        <w:tabs>
          <w:tab w:val="left" w:pos="0" w:leader="none"/>
          <w:tab w:val="clear" w:pos="708" w:leader="none"/>
        </w:tabs>
        <w:rPr>
          <w:rFonts w:eastAsia="SimSun;宋体"/>
          <w:sz w:val="28"/>
          <w:lang w:val="en-US"/>
        </w:rPr>
      </w:pPr>
      <w:r>
        <w:rPr>
          <w:rFonts w:eastAsia="SimSun;宋体"/>
          <w:sz w:val="28"/>
          <w:lang w:val="en-US"/>
        </w:rPr>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jc w:val="both"/>
        <w:tabs>
          <w:tab w:val="left" w:pos="0" w:leader="none"/>
          <w:tab w:val="clear" w:pos="708" w:leader="none"/>
        </w:tabs>
      </w:pPr>
      <w:r>
        <w:rPr>
          <w:rFonts w:eastAsia="Times New Roman"/>
          <w:bCs/>
          <w:iCs/>
        </w:rPr>
        <w:tab/>
        <w:t xml:space="preserve">1. Биологические термины и понятия. Дополнение схемы </w:t>
      </w:r>
      <w:r/>
    </w:p>
    <w:p>
      <w:pPr>
        <w:pStyle w:val="940"/>
        <w:jc w:val="both"/>
        <w:tabs>
          <w:tab w:val="left" w:pos="0" w:leader="none"/>
          <w:tab w:val="clear" w:pos="708" w:leader="none"/>
        </w:tabs>
      </w:pPr>
      <w:r>
        <w:rPr>
          <w:rFonts w:eastAsia="Times New Roman"/>
          <w:bCs/>
          <w:iCs/>
        </w:rPr>
        <w:tab/>
        <w:t xml:space="preserve">2. Биология как наука. Методы научного познания. Уровни организации живого. Работа с таблицей </w:t>
      </w:r>
      <w:r/>
    </w:p>
    <w:p>
      <w:pPr>
        <w:pStyle w:val="940"/>
        <w:jc w:val="both"/>
        <w:tabs>
          <w:tab w:val="left" w:pos="0" w:leader="none"/>
          <w:tab w:val="clear" w:pos="708" w:leader="none"/>
        </w:tabs>
      </w:pPr>
      <w:r>
        <w:rPr>
          <w:rFonts w:eastAsia="Times New Roman"/>
          <w:bCs/>
          <w:iCs/>
        </w:rPr>
        <w:tab/>
        <w:t xml:space="preserve">4. Клетка как биологическая система. Жизненный цикл клетки. Множественный выбор (с рисунком и без рисунка) </w:t>
      </w:r>
      <w:r/>
    </w:p>
    <w:p>
      <w:pPr>
        <w:pStyle w:val="940"/>
        <w:jc w:val="both"/>
        <w:tabs>
          <w:tab w:val="left" w:pos="0" w:leader="none"/>
          <w:tab w:val="clear" w:pos="708" w:leader="none"/>
        </w:tabs>
      </w:pPr>
      <w:r>
        <w:rPr>
          <w:rFonts w:eastAsia="Times New Roman"/>
          <w:bCs/>
          <w:iCs/>
        </w:rPr>
        <w:tab/>
        <w:t xml:space="preserve">9. Многообразие организмов. Бактерии, Грибы, Растения, Животные, Вирусы. Множественный выбор (с рисунком и без рисунка) </w:t>
      </w:r>
      <w:r/>
    </w:p>
    <w:p>
      <w:pPr>
        <w:pStyle w:val="940"/>
        <w:jc w:val="both"/>
        <w:tabs>
          <w:tab w:val="left" w:pos="0" w:leader="none"/>
          <w:tab w:val="clear" w:pos="708" w:leader="none"/>
        </w:tabs>
      </w:pPr>
      <w:r>
        <w:rPr>
          <w:rFonts w:eastAsia="Times New Roman"/>
          <w:bCs/>
          <w:iCs/>
        </w:rPr>
        <w:tab/>
        <w:t xml:space="preserve">11. Многообразие организмов. Основные систематические категории, их соподчинённость. Установление последовательности </w:t>
      </w:r>
      <w:r/>
    </w:p>
    <w:p>
      <w:pPr>
        <w:pStyle w:val="940"/>
        <w:jc w:val="both"/>
        <w:tabs>
          <w:tab w:val="left" w:pos="0" w:leader="none"/>
          <w:tab w:val="clear" w:pos="708" w:leader="none"/>
        </w:tabs>
      </w:pPr>
      <w:r>
        <w:rPr>
          <w:rFonts w:eastAsia="Times New Roman"/>
          <w:bCs/>
          <w:iCs/>
        </w:rPr>
        <w:tab/>
        <w:t xml:space="preserve">12. Организм человека. Гигиена человека. Множественный выбор (с рисунком и без рисунка) </w:t>
      </w:r>
      <w:r/>
    </w:p>
    <w:p>
      <w:pPr>
        <w:pStyle w:val="940"/>
        <w:jc w:val="both"/>
        <w:tabs>
          <w:tab w:val="left" w:pos="0" w:leader="none"/>
          <w:tab w:val="clear" w:pos="708" w:leader="none"/>
        </w:tabs>
      </w:pPr>
      <w:r>
        <w:rPr>
          <w:rFonts w:eastAsia="Times New Roman"/>
          <w:bCs/>
          <w:iCs/>
        </w:rPr>
        <w:tab/>
        <w:t xml:space="preserve">15. Эволюция живой природы. Множественный выбор (работа с текстом) </w:t>
      </w:r>
      <w:r/>
    </w:p>
    <w:p>
      <w:pPr>
        <w:pStyle w:val="940"/>
        <w:jc w:val="both"/>
        <w:tabs>
          <w:tab w:val="left" w:pos="0" w:leader="none"/>
          <w:tab w:val="clear" w:pos="708" w:leader="none"/>
        </w:tabs>
      </w:pPr>
      <w:r>
        <w:rPr>
          <w:rFonts w:eastAsia="Times New Roman"/>
          <w:bCs/>
          <w:iCs/>
        </w:rPr>
        <w:tab/>
        <w:t xml:space="preserve">17. Экосистемы и присущие им закономерности. Биосфера. Множественный выбор (без рисунка)</w:t>
      </w:r>
      <w:r/>
    </w:p>
    <w:p>
      <w:pPr>
        <w:pStyle w:val="940"/>
        <w:ind w:firstLine="708"/>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(средний процент выполнения задания в субъекте Российской Федерации).</w:t>
      </w:r>
      <w:r/>
    </w:p>
    <w:p>
      <w:pPr>
        <w:pStyle w:val="940"/>
        <w:jc w:val="both"/>
        <w:tabs>
          <w:tab w:val="left" w:pos="0" w:leader="none"/>
          <w:tab w:val="clear" w:pos="708" w:leader="none"/>
        </w:tabs>
      </w:pPr>
      <w:r>
        <w:rPr>
          <w:rFonts w:eastAsia="Times New Roman"/>
          <w:bCs/>
          <w:iCs/>
        </w:rPr>
        <w:tab/>
        <w:t xml:space="preserve">8 - Организм как биологическая система. Селекция. Биотехнология. Установление соответствия (с рисунком и без рисунка) (44,79%);</w:t>
      </w:r>
      <w:r/>
    </w:p>
    <w:p>
      <w:pPr>
        <w:pStyle w:val="940"/>
        <w:jc w:val="both"/>
        <w:tabs>
          <w:tab w:val="left" w:pos="0" w:leader="none"/>
          <w:tab w:val="clear" w:pos="708" w:leader="none"/>
        </w:tabs>
      </w:pPr>
      <w:r>
        <w:rPr>
          <w:rFonts w:eastAsia="Times New Roman"/>
          <w:bCs/>
          <w:iCs/>
        </w:rPr>
        <w:tab/>
        <w:t xml:space="preserve">10. Многообразие организмов. Бактерии, Грибы, Растения, Животные, Вирусы. Установление соответствия (с рисунком и без рисунка) (43,49%);</w:t>
      </w:r>
      <w:r/>
    </w:p>
    <w:p>
      <w:pPr>
        <w:pStyle w:val="940"/>
        <w:jc w:val="both"/>
        <w:tabs>
          <w:tab w:val="left" w:pos="0" w:leader="none"/>
          <w:tab w:val="clear" w:pos="708" w:leader="none"/>
        </w:tabs>
      </w:pPr>
      <w:r>
        <w:rPr>
          <w:rFonts w:eastAsia="Times New Roman"/>
          <w:bCs/>
          <w:iCs/>
        </w:rPr>
        <w:tab/>
        <w:t xml:space="preserve">13 - Организм человека. Установление соответствия (с рисунком и без рисунка) (46,71%);</w:t>
      </w:r>
      <w:r/>
    </w:p>
    <w:p>
      <w:pPr>
        <w:pStyle w:val="940"/>
        <w:jc w:val="both"/>
        <w:tabs>
          <w:tab w:val="left" w:pos="0" w:leader="none"/>
          <w:tab w:val="clear" w:pos="708" w:leader="none"/>
        </w:tabs>
      </w:pPr>
      <w:r>
        <w:rPr>
          <w:rFonts w:eastAsia="Times New Roman"/>
          <w:bCs/>
          <w:iCs/>
        </w:rPr>
        <w:tab/>
        <w:t xml:space="preserve">14 - Организм человека. Установление последовательности (41,30%);</w:t>
      </w:r>
      <w:r/>
    </w:p>
    <w:p>
      <w:pPr>
        <w:pStyle w:val="940"/>
        <w:jc w:val="both"/>
        <w:tabs>
          <w:tab w:val="left" w:pos="0" w:leader="none"/>
          <w:tab w:val="clear" w:pos="708" w:leader="none"/>
        </w:tabs>
      </w:pPr>
      <w:r>
        <w:rPr>
          <w:rFonts w:eastAsia="Times New Roman"/>
          <w:bCs/>
          <w:iCs/>
        </w:rPr>
        <w:tab/>
        <w:t xml:space="preserve">18 - Экосистемы и присущие им закономерности. Биосфера. Установление соответствия (без рисунка) (49,86%);</w:t>
      </w:r>
      <w:r/>
    </w:p>
    <w:p>
      <w:pPr>
        <w:pStyle w:val="940"/>
        <w:jc w:val="both"/>
        <w:tabs>
          <w:tab w:val="left" w:pos="0" w:leader="none"/>
          <w:tab w:val="clear" w:pos="708" w:leader="none"/>
        </w:tabs>
      </w:pPr>
      <w:r>
        <w:rPr>
          <w:rFonts w:eastAsia="Times New Roman"/>
          <w:bCs/>
          <w:iCs/>
        </w:rPr>
        <w:tab/>
        <w:t xml:space="preserve">19 - Общебиологические закономерности. Установление последовательности (48,49%);</w:t>
      </w:r>
      <w:r/>
    </w:p>
    <w:p>
      <w:pPr>
        <w:pStyle w:val="940"/>
        <w:jc w:val="both"/>
        <w:tabs>
          <w:tab w:val="left" w:pos="0" w:leader="none"/>
          <w:tab w:val="clear" w:pos="708" w:leader="none"/>
        </w:tabs>
      </w:pPr>
      <w:r>
        <w:rPr>
          <w:rFonts w:eastAsia="Times New Roman"/>
          <w:bCs/>
          <w:iCs/>
        </w:rPr>
        <w:tab/>
        <w:t xml:space="preserve">22 - Применение биологических знаний в практических ситуациях (практико-ориентированное задание) (37,67%);</w:t>
      </w:r>
      <w:r/>
    </w:p>
    <w:p>
      <w:pPr>
        <w:pStyle w:val="940"/>
        <w:jc w:val="both"/>
        <w:tabs>
          <w:tab w:val="left" w:pos="0" w:leader="none"/>
          <w:tab w:val="clear" w:pos="708" w:leader="none"/>
        </w:tabs>
      </w:pPr>
      <w:r>
        <w:rPr>
          <w:rFonts w:eastAsia="Times New Roman"/>
          <w:bCs/>
          <w:iCs/>
        </w:rPr>
        <w:tab/>
        <w:t xml:space="preserve">23 - Задание с изображением биологического объекта (29,18%)</w:t>
      </w:r>
      <w:r/>
    </w:p>
    <w:p>
      <w:pPr>
        <w:pStyle w:val="940"/>
        <w:jc w:val="both"/>
        <w:tabs>
          <w:tab w:val="left" w:pos="0" w:leader="none"/>
          <w:tab w:val="clear" w:pos="708" w:leader="none"/>
        </w:tabs>
      </w:pPr>
      <w:r>
        <w:rPr>
          <w:rFonts w:eastAsia="Times New Roman"/>
          <w:bCs/>
          <w:iCs/>
        </w:rPr>
        <w:tab/>
        <w:t xml:space="preserve">24 - Задание на анализ биологической информации (40,27%);</w:t>
      </w:r>
      <w:r/>
    </w:p>
    <w:p>
      <w:pPr>
        <w:pStyle w:val="940"/>
        <w:jc w:val="both"/>
        <w:tabs>
          <w:tab w:val="left" w:pos="0" w:leader="none"/>
          <w:tab w:val="clear" w:pos="708" w:leader="none"/>
        </w:tabs>
      </w:pPr>
      <w:r>
        <w:rPr>
          <w:rFonts w:eastAsia="Times New Roman"/>
          <w:bCs/>
          <w:iCs/>
        </w:rPr>
        <w:tab/>
        <w:t xml:space="preserve">25 - Обобщение и применение знаний о человеке и многообразии организмов (19,54%);</w:t>
      </w:r>
      <w:r/>
    </w:p>
    <w:p>
      <w:pPr>
        <w:pStyle w:val="940"/>
        <w:jc w:val="both"/>
        <w:tabs>
          <w:tab w:val="left" w:pos="0" w:leader="none"/>
          <w:tab w:val="clear" w:pos="708" w:leader="none"/>
        </w:tabs>
      </w:pPr>
      <w:r>
        <w:rPr>
          <w:rFonts w:eastAsia="Times New Roman"/>
          <w:bCs/>
          <w:iCs/>
        </w:rPr>
        <w:tab/>
        <w:t xml:space="preserve">26 - Обобщение и применение знаний об эволюции органического мира и экологических закономерностях в новой ситуации (14,70%);</w:t>
      </w:r>
      <w:r/>
    </w:p>
    <w:p>
      <w:pPr>
        <w:pStyle w:val="940"/>
        <w:jc w:val="both"/>
        <w:tabs>
          <w:tab w:val="left" w:pos="0" w:leader="none"/>
          <w:tab w:val="clear" w:pos="708" w:leader="none"/>
        </w:tabs>
      </w:pPr>
      <w:r>
        <w:rPr>
          <w:rFonts w:eastAsia="Times New Roman"/>
          <w:bCs/>
          <w:iCs/>
        </w:rPr>
        <w:tab/>
        <w:t xml:space="preserve">27 - Решение задач по цитологии на применение знаний в новой ситуации (25,39%);</w:t>
      </w:r>
      <w:r/>
    </w:p>
    <w:p>
      <w:pPr>
        <w:pStyle w:val="940"/>
        <w:jc w:val="both"/>
        <w:tabs>
          <w:tab w:val="left" w:pos="0" w:leader="none"/>
          <w:tab w:val="clear" w:pos="708" w:leader="none"/>
        </w:tabs>
      </w:pPr>
      <w:r>
        <w:rPr>
          <w:rFonts w:eastAsia="Times New Roman"/>
          <w:bCs/>
          <w:iCs/>
        </w:rPr>
        <w:tab/>
        <w:t xml:space="preserve">28 - Решение задач по генетике на применение знаний в новой ситуации (31,23%).</w:t>
      </w:r>
      <w:r/>
    </w:p>
    <w:p>
      <w:pPr>
        <w:pStyle w:val="940"/>
        <w:ind w:firstLine="708"/>
        <w:jc w:val="both"/>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 </w:t>
      </w:r>
      <w:r/>
    </w:p>
    <w:p>
      <w:pPr>
        <w:pStyle w:val="940"/>
        <w:jc w:val="both"/>
        <w:tabs>
          <w:tab w:val="left" w:pos="0" w:leader="none"/>
          <w:tab w:val="clear" w:pos="708" w:leader="none"/>
        </w:tabs>
      </w:pPr>
      <w:r>
        <w:rPr>
          <w:rFonts w:eastAsia="Times New Roman"/>
          <w:bCs/>
          <w:iCs/>
        </w:rPr>
        <w:tab/>
        <w:t xml:space="preserve">Участники ГИА научились хорошо решать генетические задачи – линии 6 и 28, работать с жизненными циклами растений – линии 3 и 27. Значительно снизалось выполнение заданий 26 линии.</w:t>
      </w:r>
      <w:r/>
    </w:p>
    <w:p>
      <w:pPr>
        <w:pStyle w:val="940"/>
        <w:ind w:firstLine="708"/>
        <w:jc w:val="both"/>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jc w:val="both"/>
        <w:tabs>
          <w:tab w:val="left" w:pos="0" w:leader="none"/>
          <w:tab w:val="clear" w:pos="708" w:leader="none"/>
        </w:tabs>
      </w:pPr>
      <w:r>
        <w:rPr>
          <w:rFonts w:eastAsia="Times New Roman"/>
          <w:bCs/>
          <w:iCs/>
        </w:rPr>
        <w:tab/>
        <w:t xml:space="preserve">Изменений в КИМ в 2021 году не было, это позволило продемонстрировать результат сходный по основным позициям с 2020 и 2019 гг.</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jc w:val="both"/>
        <w:tabs>
          <w:tab w:val="left" w:pos="0" w:leader="none"/>
          <w:tab w:val="clear" w:pos="708" w:leader="none"/>
        </w:tabs>
      </w:pPr>
      <w:r>
        <w:rPr>
          <w:rFonts w:eastAsia="Times New Roman"/>
          <w:bCs/>
          <w:iCs/>
        </w:rPr>
        <w:tab/>
        <w:t xml:space="preserve">Небольшую положительную динамику успешности участников ЕГЭ по биологии по некоторым линиям можно объяснить стабильностью формата и содержания КИМ.</w:t>
      </w:r>
      <w:r/>
    </w:p>
    <w:p>
      <w:pPr>
        <w:pStyle w:val="940"/>
        <w:ind w:firstLine="708"/>
        <w:jc w:val="both"/>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jc w:val="both"/>
        <w:tabs>
          <w:tab w:val="left" w:pos="0" w:leader="none"/>
          <w:tab w:val="clear" w:pos="708" w:leader="none"/>
        </w:tabs>
      </w:pPr>
      <w:r>
        <w:rPr>
          <w:rFonts w:eastAsia="Times New Roman"/>
          <w:bCs/>
          <w:iCs/>
        </w:rPr>
        <w:tab/>
        <w:t xml:space="preserve">Результаты выполнения заданий участниками ЕГЭ в 2021 году только по линиям 1,11,18,19,21 и24 выгодно отличаются от результатов прошлого года, по большей части заданий показатели либо остались прежними -6,7,12</w:t>
      </w:r>
      <w:r>
        <w:rPr>
          <w:rFonts w:eastAsia="Times New Roman"/>
          <w:bCs/>
          <w:iCs/>
        </w:rPr>
        <w:t xml:space="preserve">,15 либо значительно снизились – 4,5,8,9,10,12,15,16,17,20,26,27. В связи с этом можно сделать вывод, что мероприятия, проведенные в рамках выполнения дорожной карты 2020 года по улучшению состояния подготовки по биологии, не достигли желаемых результатов.</w:t>
      </w:r>
      <w:r/>
    </w:p>
    <w:p>
      <w:pPr>
        <w:pStyle w:val="940"/>
        <w:ind w:firstLine="708"/>
        <w:jc w:val="both"/>
        <w:rPr>
          <w:i/>
        </w:rPr>
      </w:pPr>
      <w:r>
        <w:rPr>
          <w:i/>
        </w:rPr>
        <w:t xml:space="preserve">Прочие выводы</w:t>
      </w:r>
      <w:r/>
    </w:p>
    <w:p>
      <w:pPr>
        <w:pStyle w:val="940"/>
        <w:jc w:val="both"/>
        <w:tabs>
          <w:tab w:val="left" w:pos="0" w:leader="none"/>
          <w:tab w:val="clear" w:pos="708" w:leader="none"/>
        </w:tabs>
      </w:pPr>
      <w:r>
        <w:tab/>
        <w:t xml:space="preserve">Анализ результатов ЕГЭ по «Биологии» показал, что сложными для изучения учащихся являются:</w:t>
      </w:r>
      <w:r/>
    </w:p>
    <w:p>
      <w:pPr>
        <w:pStyle w:val="940"/>
        <w:jc w:val="both"/>
        <w:tabs>
          <w:tab w:val="left" w:pos="0" w:leader="none"/>
          <w:tab w:val="clear" w:pos="708" w:leader="none"/>
        </w:tabs>
      </w:pPr>
      <w:r>
        <w:tab/>
        <w:t xml:space="preserve">- знание биологических наук, методов познания живой природы и отличительных особенностей уровней организации живого;</w:t>
      </w:r>
      <w:r/>
    </w:p>
    <w:p>
      <w:pPr>
        <w:pStyle w:val="940"/>
        <w:jc w:val="both"/>
        <w:tabs>
          <w:tab w:val="left" w:pos="0" w:leader="none"/>
          <w:tab w:val="clear" w:pos="708" w:leader="none"/>
        </w:tabs>
      </w:pPr>
      <w:r>
        <w:tab/>
        <w:t xml:space="preserve">- знание химического состава клетки, и роли этих веществ в ней; а также строение и функции органоидов клеткознание этапов и процессов онтогенеза, типов размножения у растений животных;</w:t>
      </w:r>
      <w:r/>
    </w:p>
    <w:p>
      <w:pPr>
        <w:pStyle w:val="940"/>
        <w:jc w:val="both"/>
        <w:tabs>
          <w:tab w:val="left" w:pos="0" w:leader="none"/>
          <w:tab w:val="clear" w:pos="708" w:leader="none"/>
        </w:tabs>
      </w:pPr>
      <w:r>
        <w:tab/>
        <w:t xml:space="preserve">- особенностей строения и характерных признаков биологических объектов из разных царств живой природы, знание представителей этих царства и их значение в природе и жизни человека;</w:t>
      </w:r>
      <w:r/>
    </w:p>
    <w:p>
      <w:pPr>
        <w:pStyle w:val="940"/>
        <w:jc w:val="both"/>
        <w:tabs>
          <w:tab w:val="left" w:pos="0" w:leader="none"/>
          <w:tab w:val="clear" w:pos="708" w:leader="none"/>
        </w:tabs>
      </w:pPr>
      <w:r>
        <w:tab/>
        <w:t xml:space="preserve">- жизненные циклы растений и стадии развития паразитических червей;</w:t>
      </w:r>
      <w:r/>
    </w:p>
    <w:p>
      <w:pPr>
        <w:pStyle w:val="940"/>
        <w:jc w:val="both"/>
        <w:tabs>
          <w:tab w:val="left" w:pos="0" w:leader="none"/>
          <w:tab w:val="clear" w:pos="708" w:leader="none"/>
        </w:tabs>
      </w:pPr>
      <w:r>
        <w:tab/>
        <w:t xml:space="preserve">- особенности строения тканей растений и животных;</w:t>
      </w:r>
      <w:r/>
    </w:p>
    <w:p>
      <w:pPr>
        <w:pStyle w:val="940"/>
        <w:jc w:val="both"/>
        <w:tabs>
          <w:tab w:val="left" w:pos="0" w:leader="none"/>
          <w:tab w:val="clear" w:pos="708" w:leader="none"/>
        </w:tabs>
      </w:pPr>
      <w:r>
        <w:tab/>
        <w:t xml:space="preserve">- особенности строения и функционирования органов</w:t>
      </w:r>
      <w:r>
        <w:t xml:space="preserve"> и систем органов человека (пищеварительной, дыхательной, нервной системы; желез внутренней секреции и органов чувств, а также роли гормонов в организме человека; внутренней среды организма и форменных элементов крови, роли витаминов в организме человека);</w:t>
      </w:r>
      <w:r/>
    </w:p>
    <w:p>
      <w:pPr>
        <w:pStyle w:val="940"/>
        <w:jc w:val="both"/>
        <w:tabs>
          <w:tab w:val="left" w:pos="0" w:leader="none"/>
          <w:tab w:val="clear" w:pos="708" w:leader="none"/>
        </w:tabs>
      </w:pPr>
      <w:r>
        <w:tab/>
        <w:t xml:space="preserve">- знания особенностей энергетического и пластического обмена, фаз митоза и мейоза.</w:t>
      </w:r>
      <w:r/>
    </w:p>
    <w:p>
      <w:pPr>
        <w:pStyle w:val="940"/>
        <w:jc w:val="both"/>
        <w:tabs>
          <w:tab w:val="left" w:pos="0" w:leader="none"/>
          <w:tab w:val="clear" w:pos="708" w:leader="none"/>
        </w:tabs>
      </w:pPr>
      <w:r>
        <w:tab/>
        <w:t xml:space="preserve">При повторении разделов «Растения», «Бактерии. Грибы. Лишайники», «Животные» особое внимание следует уделить вопросам систематики, а также характерным признакам строения и жизнедеятельности организм</w:t>
      </w:r>
      <w:r>
        <w:t xml:space="preserve">ов разных царств живой природы. Материал этих разделов достаточно объемный, поэтому его закрепление и повторение, целесообразно осуществлять с использованием сравнительных таблиц, как Царств между собой, так и таксономических групп внутри отдельных Царств.</w:t>
      </w:r>
      <w:r/>
    </w:p>
    <w:p>
      <w:pPr>
        <w:pStyle w:val="940"/>
        <w:jc w:val="both"/>
        <w:tabs>
          <w:tab w:val="left" w:pos="0" w:leader="none"/>
          <w:tab w:val="clear" w:pos="708" w:leader="none"/>
        </w:tabs>
      </w:pPr>
      <w:r>
        <w:tab/>
        <w:t xml:space="preserve">Учащиеся должны уметь узнавать наиболее типичных представителей различных царств, определять их систематическую принадлежность, уметь работать с изображен</w:t>
      </w:r>
      <w:r>
        <w:t xml:space="preserve">иями и схемами строения организмов, выявлять черты сходства и различия организмов и органов; уметь устанавливать последовательность объектов, процессов и явлений; сопоставлять особенности строения и функционирования организмов разных таксономических групп.</w:t>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jc w:val="both"/>
        <w:tabs>
          <w:tab w:val="left" w:pos="0" w:leader="none"/>
          <w:tab w:val="clear" w:pos="708" w:leader="none"/>
        </w:tabs>
      </w:p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rPr>
      </w:pPr>
      <w:r>
        <w:rPr>
          <w:rFonts w:eastAsia="Times New Roman"/>
          <w:b/>
          <w:bCs/>
          <w:iCs/>
          <w:sz w:val="28"/>
          <w:szCs w:val="28"/>
        </w:rPr>
      </w:r>
      <w:r/>
    </w:p>
    <w:p>
      <w:pPr>
        <w:pStyle w:val="940"/>
        <w:contextualSpacing/>
        <w:jc w:val="center"/>
        <w:spacing w:before="0" w:after="0"/>
        <w:tabs>
          <w:tab w:val="left" w:pos="0" w:leader="none"/>
          <w:tab w:val="clear" w:pos="708" w:leader="none"/>
        </w:tabs>
        <w:rPr>
          <w:rFonts w:eastAsia="Times New Roman"/>
          <w:b/>
          <w:bCs/>
          <w:iCs/>
          <w:sz w:val="28"/>
          <w:szCs w:val="28"/>
          <w:lang w:val="en-US"/>
        </w:rPr>
      </w:pPr>
      <w:r>
        <w:rPr>
          <w:rFonts w:eastAsia="Times New Roman"/>
          <w:b/>
          <w:bCs/>
          <w:iCs/>
          <w:sz w:val="28"/>
          <w:szCs w:val="28"/>
          <w:lang w:val="en-US"/>
        </w:rPr>
        <w:t xml:space="preserve">Раздел 4. РЕКОМЕНДАЦИИ ДЛЯ СИСТЕМЫ ОБРАЗОВАНИЯ СУБЪЕКТА РОССИЙСКОЙ ФЕДЕРАЦИИ</w:t>
      </w:r>
      <w:r/>
    </w:p>
    <w:p>
      <w:pPr>
        <w:pStyle w:val="940"/>
        <w:jc w:val="both"/>
        <w:tabs>
          <w:tab w:val="left" w:pos="0" w:leader="none"/>
          <w:tab w:val="clear" w:pos="708" w:leader="none"/>
        </w:tabs>
      </w:pPr>
      <w:r/>
      <w:r/>
    </w:p>
    <w:p>
      <w:pPr>
        <w:pStyle w:val="940"/>
        <w:jc w:val="both"/>
        <w:tabs>
          <w:tab w:val="left" w:pos="0" w:leader="none"/>
          <w:tab w:val="clear" w:pos="708" w:leader="none"/>
        </w:tabs>
      </w:pPr>
      <w:r>
        <w:tab/>
        <w:t xml:space="preserve">Для успешной подготовки учащихся к ЕГЭ по биологии необходимо проведения ряда мероприятий со стороны «Института развития образования»: </w:t>
      </w:r>
      <w:r/>
    </w:p>
    <w:p>
      <w:pPr>
        <w:pStyle w:val="940"/>
        <w:jc w:val="both"/>
        <w:tabs>
          <w:tab w:val="left" w:pos="0" w:leader="none"/>
          <w:tab w:val="clear" w:pos="708" w:leader="none"/>
        </w:tabs>
      </w:pPr>
      <w:r>
        <w:tab/>
        <w:t xml:space="preserve">1. В плане УМО по биологии необходимо предусмотреть не менее 3 -х заседаний по проблеме подготовки к ЕГЭ:</w:t>
      </w:r>
      <w:r/>
    </w:p>
    <w:p>
      <w:pPr>
        <w:pStyle w:val="940"/>
        <w:jc w:val="both"/>
        <w:tabs>
          <w:tab w:val="left" w:pos="0" w:leader="none"/>
          <w:tab w:val="clear" w:pos="708" w:leader="none"/>
        </w:tabs>
      </w:pPr>
      <w:r>
        <w:tab/>
        <w:t xml:space="preserve">-  анализ результатов ЕГЭ в 2021 году (август – сентябрь)</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нормативные документы, регламентирующие проведение ЕГЭ в 2022 году (декабрь – январь)</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сложные вопросы подготовки к ЕГЭ (апрель): </w:t>
      </w:r>
      <w:r/>
    </w:p>
    <w:p>
      <w:pPr>
        <w:pStyle w:val="940"/>
        <w:jc w:val="both"/>
        <w:tabs>
          <w:tab w:val="left" w:pos="0" w:leader="none"/>
          <w:tab w:val="clear" w:pos="708" w:leader="none"/>
        </w:tabs>
      </w:pPr>
      <w:r>
        <w:rPr>
          <w:iCs/>
        </w:rPr>
        <w:tab/>
        <w:t xml:space="preserve">2.</w:t>
      </w:r>
      <w:r>
        <w:rPr>
          <w:i/>
          <w:iCs/>
        </w:rPr>
        <w:t xml:space="preserve"> </w:t>
      </w:r>
      <w:r>
        <w:t xml:space="preserve">Курсы повышения квалификации для учителей биологии «Организация и методика преподавания биологии» с включением модулей</w:t>
      </w:r>
      <w:r/>
    </w:p>
    <w:p>
      <w:pPr>
        <w:pStyle w:val="940"/>
        <w:jc w:val="both"/>
        <w:tabs>
          <w:tab w:val="left" w:pos="0" w:leader="none"/>
          <w:tab w:val="clear" w:pos="708" w:leader="none"/>
        </w:tabs>
      </w:pPr>
      <w:r>
        <w:tab/>
        <w:t xml:space="preserve">- Решение задач по генетике</w:t>
      </w:r>
      <w:r/>
    </w:p>
    <w:p>
      <w:pPr>
        <w:pStyle w:val="940"/>
        <w:jc w:val="both"/>
        <w:tabs>
          <w:tab w:val="left" w:pos="0" w:leader="none"/>
          <w:tab w:val="clear" w:pos="708" w:leader="none"/>
        </w:tabs>
      </w:pPr>
      <w:r>
        <w:tab/>
        <w:t xml:space="preserve">- Закономерности размножения и развития организмов</w:t>
      </w:r>
      <w:r/>
    </w:p>
    <w:p>
      <w:pPr>
        <w:pStyle w:val="940"/>
        <w:jc w:val="both"/>
        <w:tabs>
          <w:tab w:val="left" w:pos="0" w:leader="none"/>
          <w:tab w:val="clear" w:pos="708" w:leader="none"/>
        </w:tabs>
      </w:pPr>
      <w:r>
        <w:tab/>
        <w:t xml:space="preserve">- Биологические процессы в клетке</w:t>
      </w:r>
      <w:r/>
    </w:p>
    <w:p>
      <w:pPr>
        <w:pStyle w:val="940"/>
        <w:jc w:val="both"/>
        <w:tabs>
          <w:tab w:val="left" w:pos="0" w:leader="none"/>
          <w:tab w:val="clear" w:pos="708" w:leader="none"/>
        </w:tabs>
      </w:pPr>
      <w:r>
        <w:rPr>
          <w:rFonts w:eastAsia="Times New Roman"/>
        </w:rPr>
        <w:t xml:space="preserve"> </w:t>
      </w:r>
      <w:r>
        <w:rPr>
          <w:rFonts w:eastAsia="Times New Roman"/>
        </w:rPr>
        <w:tab/>
      </w:r>
      <w:r>
        <w:t xml:space="preserve">- Закономерности эволюции</w:t>
      </w:r>
      <w:r/>
    </w:p>
    <w:p>
      <w:pPr>
        <w:pStyle w:val="940"/>
        <w:jc w:val="both"/>
        <w:tabs>
          <w:tab w:val="left" w:pos="0" w:leader="none"/>
          <w:tab w:val="clear" w:pos="708" w:leader="none"/>
        </w:tabs>
      </w:pPr>
      <w:r>
        <w:tab/>
        <w:t xml:space="preserve">- Структура КИМ по биологии </w:t>
      </w:r>
      <w:r/>
    </w:p>
    <w:p>
      <w:pPr>
        <w:pStyle w:val="940"/>
        <w:jc w:val="both"/>
        <w:tabs>
          <w:tab w:val="left" w:pos="0" w:leader="none"/>
          <w:tab w:val="clear" w:pos="708" w:leader="none"/>
        </w:tabs>
      </w:pPr>
      <w:r>
        <w:tab/>
        <w:t xml:space="preserve">3. Проблемные курсы «Организация и методика подготовки выпускников к ГИА»</w:t>
      </w:r>
      <w:r/>
    </w:p>
    <w:p>
      <w:pPr>
        <w:pStyle w:val="940"/>
        <w:jc w:val="both"/>
        <w:tabs>
          <w:tab w:val="left" w:pos="0" w:leader="none"/>
          <w:tab w:val="clear" w:pos="708" w:leader="none"/>
        </w:tabs>
      </w:pPr>
      <w:r>
        <w:tab/>
        <w:t xml:space="preserve">4. Организация лекций ППС ВУЗов региона для учителей и выпускников.</w:t>
      </w:r>
      <w:r/>
    </w:p>
    <w:p>
      <w:pPr>
        <w:pStyle w:val="940"/>
        <w:tabs>
          <w:tab w:val="left" w:pos="0" w:leader="none"/>
          <w:tab w:val="clear" w:pos="708" w:leader="none"/>
        </w:tabs>
      </w:pPr>
      <w:r/>
      <w:r/>
    </w:p>
    <w:p>
      <w:pPr>
        <w:pStyle w:val="940"/>
        <w:numPr>
          <w:ilvl w:val="1"/>
          <w:numId w:val="29"/>
        </w:numPr>
        <w:ind w:left="0" w:firstLine="0"/>
        <w:jc w:val="both"/>
        <w:keepLines/>
        <w:keepNext/>
        <w:spacing w:before="200" w:after="0"/>
        <w:tabs>
          <w:tab w:val="left" w:pos="0" w:leader="none"/>
          <w:tab w:val="clear" w:pos="708" w:leader="none"/>
        </w:tabs>
      </w:pPr>
      <w:r>
        <w:rPr>
          <w:rFonts w:eastAsia="Times New Roman"/>
        </w:rPr>
        <w:t xml:space="preserve"> </w:t>
      </w:r>
      <w:r>
        <w:rPr>
          <w:rFonts w:eastAsia="SimSun;宋体"/>
          <w:b/>
          <w:bCs/>
          <w:sz w:val="28"/>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numPr>
          <w:ilvl w:val="2"/>
          <w:numId w:val="29"/>
        </w:numPr>
        <w:ind w:left="567" w:firstLine="0"/>
        <w:jc w:val="both"/>
        <w:rPr>
          <w:rFonts w:eastAsia="SimSun;宋体"/>
          <w:sz w:val="28"/>
          <w:lang w:val="en-US"/>
        </w:rPr>
      </w:pPr>
      <w:r>
        <w:rPr>
          <w:rFonts w:eastAsia="SimSun;宋体"/>
          <w:sz w:val="28"/>
          <w:lang w:val="en-US"/>
        </w:rPr>
        <w:t xml:space="preserve">по совершенствованию преподавания учебного предмета всем обучающимся</w:t>
      </w:r>
      <w:r/>
    </w:p>
    <w:p>
      <w:pPr>
        <w:pStyle w:val="940"/>
        <w:jc w:val="both"/>
        <w:tabs>
          <w:tab w:val="left" w:pos="0" w:leader="none"/>
          <w:tab w:val="clear" w:pos="708" w:leader="none"/>
        </w:tabs>
      </w:pPr>
      <w:r>
        <w:rPr>
          <w:rFonts w:eastAsia="SimSun;宋体"/>
        </w:rPr>
        <w:tab/>
      </w:r>
      <w:r>
        <w:rPr>
          <w:rFonts w:eastAsia="SimSun;宋体"/>
          <w:lang w:val="en-US"/>
        </w:rPr>
        <w:t xml:space="preserve">1. Особое внимание следует обратить на ключевые, системообразующие биологические термины и понятия:</w:t>
      </w:r>
      <w:r/>
    </w:p>
    <w:p>
      <w:pPr>
        <w:pStyle w:val="940"/>
        <w:jc w:val="both"/>
        <w:tabs>
          <w:tab w:val="left" w:pos="0" w:leader="none"/>
          <w:tab w:val="clear" w:pos="708" w:leader="none"/>
        </w:tabs>
      </w:pPr>
      <w:r>
        <w:rPr>
          <w:rFonts w:eastAsia="SimSun;宋体"/>
        </w:rPr>
        <w:tab/>
      </w:r>
      <w:r>
        <w:rPr>
          <w:rFonts w:eastAsia="SimSun;宋体"/>
          <w:lang w:val="en-US"/>
        </w:rPr>
        <w:t xml:space="preserve">-</w:t>
        <w:tab/>
        <w:t xml:space="preserve">в разделе «Общая биология»: обмен веществ и превращения энергии, энергетический обмен, фотосин</w:t>
      </w:r>
      <w:r>
        <w:rPr>
          <w:rFonts w:eastAsia="SimSun;宋体"/>
          <w:lang w:val="en-US"/>
        </w:rPr>
        <w:t xml:space="preserve">тез, хемосинтез, хромосомный набор, митоз и мейоз, 20 наследственность, гаметогенез, нейрула, бластула, изменчивость, ароморфоз, идиоадаптация, популяция, вид, видообразование, дегенерация, эволюция, экосистема, биоценоз, трофические связи, биосфера и др.;</w:t>
      </w:r>
      <w:r/>
    </w:p>
    <w:p>
      <w:pPr>
        <w:pStyle w:val="940"/>
        <w:jc w:val="both"/>
        <w:tabs>
          <w:tab w:val="left" w:pos="0" w:leader="none"/>
          <w:tab w:val="clear" w:pos="708" w:leader="none"/>
        </w:tabs>
      </w:pPr>
      <w:r>
        <w:rPr>
          <w:rFonts w:eastAsia="SimSun;宋体"/>
        </w:rPr>
        <w:tab/>
      </w:r>
      <w:r>
        <w:rPr>
          <w:rFonts w:eastAsia="SimSun;宋体"/>
          <w:lang w:val="en-US"/>
        </w:rPr>
        <w:t xml:space="preserve">-</w:t>
        <w:tab/>
        <w:t xml:space="preserve">в разделе «Человек и его здоровье»: орган ткань, система органов, рефлекс, иммунитет, поведение, нейрогум</w:t>
      </w:r>
      <w:r>
        <w:rPr>
          <w:rFonts w:eastAsia="SimSun;宋体"/>
        </w:rPr>
        <w:t xml:space="preserve">о</w:t>
      </w:r>
      <w:r>
        <w:rPr>
          <w:rFonts w:eastAsia="SimSun;宋体"/>
          <w:lang w:val="en-US"/>
        </w:rPr>
        <w:t xml:space="preserve">ральная регуляция, нейрон, торможение, возбуждение, гормон и др.</w:t>
      </w:r>
      <w:r/>
    </w:p>
    <w:p>
      <w:pPr>
        <w:pStyle w:val="940"/>
        <w:jc w:val="both"/>
        <w:tabs>
          <w:tab w:val="left" w:pos="0" w:leader="none"/>
          <w:tab w:val="clear" w:pos="708" w:leader="none"/>
        </w:tabs>
      </w:pPr>
      <w:r>
        <w:rPr>
          <w:rFonts w:eastAsia="SimSun;宋体"/>
        </w:rPr>
        <w:tab/>
      </w:r>
      <w:r>
        <w:rPr>
          <w:rFonts w:eastAsia="SimSun;宋体"/>
          <w:lang w:val="en-US"/>
        </w:rPr>
        <w:t xml:space="preserve">-</w:t>
        <w:tab/>
        <w:t xml:space="preserve">в разделах «Растение», «Бактерии», «Грибы», «Лишайники»: растительные ткани, органы растений, многообразие растений, онтогенез растений, жизненный цикл растительного организма, генеративные и вегетативные органы, гаметофит, спорофит и др.;</w:t>
      </w:r>
      <w:r/>
    </w:p>
    <w:p>
      <w:pPr>
        <w:pStyle w:val="940"/>
        <w:jc w:val="both"/>
        <w:tabs>
          <w:tab w:val="left" w:pos="0" w:leader="none"/>
          <w:tab w:val="clear" w:pos="708" w:leader="none"/>
        </w:tabs>
      </w:pPr>
      <w:r>
        <w:rPr>
          <w:rFonts w:eastAsia="SimSun;宋体"/>
        </w:rPr>
        <w:tab/>
      </w:r>
      <w:r>
        <w:rPr>
          <w:rFonts w:eastAsia="SimSun;宋体"/>
          <w:lang w:val="en-US"/>
        </w:rPr>
        <w:t xml:space="preserve">-</w:t>
        <w:tab/>
        <w:t xml:space="preserve">в разделе «Животные»: систематика животных, органы, системы органов животных, онтогенез животных, билатеральная симметрия, типы нервных систем, метаморфоз, клоака, гермафродитизм и др.</w:t>
      </w:r>
      <w:r/>
    </w:p>
    <w:p>
      <w:pPr>
        <w:pStyle w:val="940"/>
        <w:jc w:val="both"/>
        <w:tabs>
          <w:tab w:val="left" w:pos="0" w:leader="none"/>
          <w:tab w:val="clear" w:pos="708" w:leader="none"/>
        </w:tabs>
        <w:rPr>
          <w:rFonts w:eastAsia="SimSun;宋体"/>
          <w:lang w:val="en-US"/>
        </w:rPr>
      </w:pPr>
      <w:r>
        <w:rPr>
          <w:rFonts w:eastAsia="SimSun;宋体"/>
          <w:lang w:val="en-US"/>
        </w:rPr>
        <w:tab/>
        <w:t xml:space="preserve">2. Обратить внимание на изучение биологического материала вызывающего затруднения у обучающихся: «Биология как наука, методы п</w:t>
      </w:r>
      <w:r>
        <w:rPr>
          <w:rFonts w:eastAsia="SimSun;宋体"/>
          <w:lang w:val="en-US"/>
        </w:rPr>
        <w:t xml:space="preserve">ознания живой природы», «Определение числа хромосом и ДНК в соматических и половых клетках», «Внутренняя среда организма человека, сенсорные системы», «Среды обитания организмов», «Разнообразие экосистем (биогеоценозов)»; на задания, направленные на провер</w:t>
      </w:r>
      <w:r>
        <w:rPr>
          <w:rFonts w:eastAsia="SimSun;宋体"/>
          <w:lang w:val="en-US"/>
        </w:rPr>
        <w:t xml:space="preserve">ку умения характеризовать фазы фотосинтеза, свойства нуклеиновых кислот, двойное оплодотворение у цветковых растений, определять число ДНК в клетках, устанавливать последовательность процесса смены экосистем и соответствия между характеристиками и реакциям</w:t>
      </w:r>
      <w:r>
        <w:rPr>
          <w:rFonts w:eastAsia="SimSun;宋体"/>
          <w:lang w:val="en-US"/>
        </w:rPr>
        <w:t xml:space="preserve">и матричного синтеза; на задания, проверявшие умения анализировать результаты биологического эксперимента по его описанию, делать выводы на основании анализа данных, полученных в результате эксперимента; объяснять действие на организм лекарственного препар</w:t>
      </w:r>
      <w:r>
        <w:rPr>
          <w:rFonts w:eastAsia="SimSun;宋体"/>
          <w:lang w:val="en-US"/>
        </w:rPr>
        <w:t xml:space="preserve">ата; характеризовать причины и механизмы биологической эволюции; устанавливать взаимосвязи движущих сил эволюции; сравнивать биологические процессы обмена веществ и делать выводы на основе сравнения; объяснять особенности индивидуальное развитие организма.</w:t>
      </w:r>
      <w:r/>
    </w:p>
    <w:p>
      <w:pPr>
        <w:pStyle w:val="940"/>
        <w:jc w:val="both"/>
        <w:tabs>
          <w:tab w:val="left" w:pos="0" w:leader="none"/>
          <w:tab w:val="clear" w:pos="708" w:leader="none"/>
        </w:tabs>
      </w:pPr>
      <w:r>
        <w:rPr>
          <w:rFonts w:eastAsia="SimSun;宋体"/>
        </w:rPr>
        <w:tab/>
      </w:r>
      <w:r>
        <w:rPr>
          <w:rFonts w:eastAsia="SimSun;宋体"/>
          <w:lang w:val="en-US"/>
        </w:rPr>
        <w:t xml:space="preserve">3. При изучении биологии в старших классах и подготовке к экзамену целесоо</w:t>
      </w:r>
      <w:r>
        <w:rPr>
          <w:rFonts w:eastAsia="SimSun;宋体"/>
          <w:lang w:val="en-US"/>
        </w:rPr>
        <w:t xml:space="preserve">бразно обратить внимание на развитие умений анализировать биологические объекты, явления, процессы, объяснять обстоятельства их протекания, устанавливать взаимосвязи объектов, процессов, решать биологические задачи, сравнивать различные объекты и процессы.</w:t>
      </w:r>
      <w:r/>
    </w:p>
    <w:p>
      <w:pPr>
        <w:pStyle w:val="940"/>
        <w:jc w:val="both"/>
        <w:tabs>
          <w:tab w:val="left" w:pos="0" w:leader="none"/>
          <w:tab w:val="clear" w:pos="708" w:leader="none"/>
        </w:tabs>
      </w:pPr>
      <w:r>
        <w:rPr>
          <w:rFonts w:eastAsia="SimSun;宋体"/>
        </w:rPr>
        <w:tab/>
      </w:r>
      <w:r>
        <w:rPr>
          <w:rFonts w:eastAsia="SimSun;宋体"/>
          <w:lang w:val="en-US"/>
        </w:rPr>
        <w:t xml:space="preserve">4. При текущем и тематическом контроле более широко использовать задания </w:t>
      </w:r>
      <w:r>
        <w:rPr>
          <w:rFonts w:eastAsia="SimSun;宋体"/>
          <w:lang w:val="en-US"/>
        </w:rPr>
        <w:t xml:space="preserve">со свободным развернутым ответом, требующие от учащихся умений кратко, обоснованно, по существу поставленного вопроса письменно излагать свои мысли, применять теоретические знания на практике, объяснять результаты при решении задач по цитологии и генетике.</w:t>
      </w:r>
      <w:r/>
    </w:p>
    <w:p>
      <w:pPr>
        <w:pStyle w:val="940"/>
        <w:jc w:val="both"/>
        <w:tabs>
          <w:tab w:val="left" w:pos="0" w:leader="none"/>
          <w:tab w:val="clear" w:pos="708" w:leader="none"/>
        </w:tabs>
      </w:pPr>
      <w:r>
        <w:rPr>
          <w:rFonts w:eastAsia="SimSun;宋体"/>
        </w:rPr>
        <w:tab/>
      </w:r>
      <w:r>
        <w:rPr>
          <w:rFonts w:eastAsia="SimSun;宋体"/>
          <w:lang w:val="en-US"/>
        </w:rPr>
        <w:t xml:space="preserve">На этапе подготовки к единому государственному экзамену по биологии в 2020-2021 учебном году учителям биологии необходимо вводить</w:t>
      </w:r>
      <w:r>
        <w:rPr>
          <w:rFonts w:eastAsia="SimSun;宋体"/>
          <w:lang w:val="en-US"/>
        </w:rPr>
        <w:t xml:space="preserve"> в практику организации текущего контроля систему оценивания образовательных достижений учащихся, апробированную в рамках ЕГЭ. Следует особо обратить внимание на выработку умений, учащихся формировать ответы на задания с необходимостью развернутого ответа.</w:t>
      </w:r>
      <w:r/>
    </w:p>
    <w:p>
      <w:pPr>
        <w:pStyle w:val="940"/>
        <w:numPr>
          <w:ilvl w:val="2"/>
          <w:numId w:val="29"/>
        </w:numPr>
        <w:ind w:left="567" w:firstLine="0"/>
        <w:jc w:val="both"/>
        <w:tabs>
          <w:tab w:val="left" w:pos="567" w:leader="none"/>
          <w:tab w:val="clear" w:pos="708" w:leader="none"/>
        </w:tabs>
        <w:rPr>
          <w:rFonts w:eastAsia="SimSun;宋体"/>
          <w:sz w:val="28"/>
          <w:lang w:val="en-US"/>
        </w:rPr>
      </w:pP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tabs>
          <w:tab w:val="left" w:pos="0" w:leader="none"/>
          <w:tab w:val="clear" w:pos="708" w:leader="none"/>
        </w:tabs>
        <w:rPr>
          <w:rFonts w:eastAsia="SimSun;宋体"/>
        </w:rPr>
      </w:pPr>
      <w:r>
        <w:rPr>
          <w:rFonts w:eastAsia="SimSun;宋体"/>
        </w:rPr>
      </w:r>
      <w:r/>
    </w:p>
    <w:p>
      <w:pPr>
        <w:pStyle w:val="940"/>
        <w:jc w:val="both"/>
        <w:tabs>
          <w:tab w:val="left" w:pos="0" w:leader="none"/>
          <w:tab w:val="clear" w:pos="708" w:leader="none"/>
        </w:tabs>
      </w:pPr>
      <w:r>
        <w:rPr>
          <w:rFonts w:eastAsia="SimSun;宋体"/>
        </w:rPr>
        <w:tab/>
      </w:r>
      <w:r>
        <w:rPr>
          <w:rFonts w:eastAsia="SimSun;宋体"/>
          <w:lang w:val="en-US"/>
        </w:rPr>
        <w:t xml:space="preserve">Необходимо усилить практико-ориентированную направленность процесса обучения биологии, используя различные типы учебно- познавательных и практических заданий, </w:t>
      </w:r>
      <w:r>
        <w:rPr>
          <w:rFonts w:eastAsia="SimSun;宋体"/>
          <w:lang w:val="en-US"/>
        </w:rPr>
        <w:t xml:space="preserve">как на уроках, так и во внеурочной деятельности. При выполнении учащимися домашних заданий – ориентироваться на задания творческого и исследовательского характера, отдавая предпочтение тем, которые формируют у учащихся способность научно объяснять явления,</w:t>
      </w:r>
      <w:r>
        <w:rPr>
          <w:rFonts w:eastAsia="SimSun;宋体"/>
          <w:lang w:val="en-US"/>
        </w:rPr>
        <w:t xml:space="preserve"> оценивать и применять методы научного познания живой природы, интерпретировать данные и доказательства с научной точки зрения, формулировать выводы по организации дифференцированного обучения школьников с разными уровнями предметной подготовки. Обязательн</w:t>
      </w:r>
      <w:r>
        <w:rPr>
          <w:rFonts w:eastAsia="SimSun;宋体"/>
          <w:lang w:val="en-US"/>
        </w:rPr>
        <w:t xml:space="preserve">ым компонентом содержания основной образовательной программы основного общего и среднего общего образования является внеурочная деятельность, реализуемая через программу кружков и элективных курсов. Элективные курсы в современном образовании направлены на:</w:t>
      </w:r>
      <w:r/>
    </w:p>
    <w:p>
      <w:pPr>
        <w:pStyle w:val="940"/>
        <w:jc w:val="both"/>
        <w:tabs>
          <w:tab w:val="left" w:pos="0" w:leader="none"/>
          <w:tab w:val="clear" w:pos="708" w:leader="none"/>
        </w:tabs>
      </w:pPr>
      <w:r>
        <w:rPr>
          <w:rFonts w:eastAsia="SimSun;宋体"/>
        </w:rPr>
        <w:tab/>
      </w:r>
      <w:r>
        <w:rPr>
          <w:rFonts w:eastAsia="SimSun;宋体"/>
          <w:lang w:val="en-US"/>
        </w:rPr>
        <w:t xml:space="preserve">1)</w:t>
        <w:tab/>
        <w:t xml:space="preserve">развитие содержания одного из базовых учебных предметов, что позволяет поддерживать изучение смежных учебных предметов на профильном уровне и получать дополнительную подготовку для сдачи ОГЭ и ЕГЭ;</w:t>
      </w:r>
      <w:r/>
    </w:p>
    <w:p>
      <w:pPr>
        <w:pStyle w:val="940"/>
        <w:jc w:val="both"/>
        <w:tabs>
          <w:tab w:val="left" w:pos="0" w:leader="none"/>
          <w:tab w:val="clear" w:pos="708" w:leader="none"/>
        </w:tabs>
      </w:pPr>
      <w:r>
        <w:rPr>
          <w:rFonts w:eastAsia="SimSun;宋体"/>
        </w:rPr>
        <w:tab/>
      </w:r>
      <w:r>
        <w:rPr>
          <w:rFonts w:eastAsia="SimSun;宋体"/>
          <w:lang w:val="en-US"/>
        </w:rPr>
        <w:t xml:space="preserve">2)</w:t>
        <w:tab/>
        <w:t xml:space="preserve">«надстройку» профильного учебного предмета, когда такой дополнительный профильный учебный предмет становится в полной мере углублённым;</w:t>
      </w:r>
      <w:r/>
    </w:p>
    <w:p>
      <w:pPr>
        <w:pStyle w:val="940"/>
        <w:jc w:val="both"/>
        <w:tabs>
          <w:tab w:val="left" w:pos="0" w:leader="none"/>
          <w:tab w:val="clear" w:pos="708" w:leader="none"/>
        </w:tabs>
      </w:pPr>
      <w:r>
        <w:rPr>
          <w:rFonts w:eastAsia="SimSun;宋体"/>
        </w:rPr>
        <w:tab/>
      </w:r>
      <w:r>
        <w:rPr>
          <w:rFonts w:eastAsia="SimSun;宋体"/>
          <w:lang w:val="en-US"/>
        </w:rPr>
        <w:t xml:space="preserve">3)</w:t>
        <w:tab/>
        <w:t xml:space="preserve">формирование навыков естественнонаучной грамотности;</w:t>
      </w:r>
      <w:r/>
    </w:p>
    <w:p>
      <w:pPr>
        <w:pStyle w:val="940"/>
        <w:jc w:val="both"/>
        <w:tabs>
          <w:tab w:val="left" w:pos="0" w:leader="none"/>
          <w:tab w:val="clear" w:pos="708" w:leader="none"/>
        </w:tabs>
      </w:pPr>
      <w:r>
        <w:rPr>
          <w:rFonts w:eastAsia="SimSun;宋体"/>
        </w:rPr>
        <w:tab/>
      </w:r>
      <w:r>
        <w:rPr>
          <w:rFonts w:eastAsia="SimSun;宋体"/>
          <w:lang w:val="en-US"/>
        </w:rPr>
        <w:t xml:space="preserve">4)</w:t>
        <w:tab/>
        <w:t xml:space="preserve">удовлетворение познавательных интересов обучающихся в различных сферах человеческой деятельности.</w:t>
      </w:r>
      <w:r/>
    </w:p>
    <w:p>
      <w:pPr>
        <w:pStyle w:val="940"/>
        <w:jc w:val="both"/>
        <w:tabs>
          <w:tab w:val="left" w:pos="0" w:leader="none"/>
          <w:tab w:val="clear" w:pos="708" w:leader="none"/>
        </w:tabs>
      </w:pPr>
      <w:r>
        <w:rPr>
          <w:rFonts w:eastAsia="SimSun;宋体"/>
        </w:rPr>
        <w:tab/>
      </w:r>
      <w:r>
        <w:rPr>
          <w:rFonts w:eastAsia="SimSun;宋体"/>
          <w:lang w:val="en-US"/>
        </w:rPr>
        <w:t xml:space="preserve">Учитель может использовать программу элективных курсов авторскую, предложенную издательствами (Российский учебник; Бином. Лаборатория знаний; Просвещение и др</w:t>
      </w:r>
      <w:r>
        <w:rPr>
          <w:rFonts w:eastAsia="SimSun;宋体"/>
        </w:rPr>
        <w:t xml:space="preserve">.</w:t>
      </w:r>
      <w:r>
        <w:rPr>
          <w:rFonts w:eastAsia="SimSun;宋体"/>
          <w:lang w:val="en-US"/>
        </w:rPr>
        <w:t xml:space="preserve">), или модифицированную.</w:t>
      </w:r>
      <w:r/>
    </w:p>
    <w:p>
      <w:pPr>
        <w:pStyle w:val="940"/>
        <w:jc w:val="both"/>
        <w:tabs>
          <w:tab w:val="left" w:pos="0" w:leader="none"/>
          <w:tab w:val="clear" w:pos="708" w:leader="none"/>
        </w:tabs>
      </w:pPr>
      <w:r>
        <w:rPr>
          <w:rFonts w:eastAsia="SimSun;宋体"/>
        </w:rPr>
        <w:tab/>
      </w:r>
      <w:r>
        <w:rPr>
          <w:rFonts w:eastAsia="SimSun;宋体"/>
          <w:lang w:val="en-US"/>
        </w:rPr>
        <w:t xml:space="preserve">В рамках реализации практической части при изучении биологии в 5-9 классах рекомендуется выполнять все лабораторные, практические работы и экскурсии, указанные в примерной основной образовательной программе основного общ</w:t>
      </w:r>
      <w:r>
        <w:rPr>
          <w:rFonts w:eastAsia="SimSun;宋体"/>
          <w:lang w:val="en-US"/>
        </w:rPr>
        <w:t xml:space="preserve">его образования. Остальные лабораторные, практические работы и экскурсии, указанные в авторских программах проводить на усмотрение учителя, руководствуясь количеством часов, отводимых на реализацию учебной программы в конкретном образовательном учреждении.</w:t>
      </w:r>
      <w:r/>
    </w:p>
    <w:p>
      <w:pPr>
        <w:pStyle w:val="940"/>
        <w:jc w:val="both"/>
        <w:tabs>
          <w:tab w:val="left" w:pos="0" w:leader="none"/>
          <w:tab w:val="clear" w:pos="708" w:leader="none"/>
        </w:tabs>
      </w:pPr>
      <w:r>
        <w:rPr>
          <w:rFonts w:eastAsia="SimSun;宋体"/>
        </w:rPr>
        <w:tab/>
      </w:r>
      <w:r>
        <w:rPr>
          <w:rFonts w:eastAsia="SimSun;宋体"/>
          <w:lang w:val="en-US"/>
        </w:rPr>
        <w:t xml:space="preserve">1.</w:t>
        <w:tab/>
        <w:t xml:space="preserve">В ходе подготовки к экзамену необходимо структурировать имеющееся биологическое содержание всего курса за шесть лет обучения. Так </w:t>
      </w:r>
      <w:r>
        <w:rPr>
          <w:rFonts w:eastAsia="SimSun;宋体"/>
          <w:lang w:val="en-US"/>
        </w:rPr>
        <w:t xml:space="preserve">как наибольшее количеству заданий в КИМ приходится на раздел «Общая биология», то отработке этого содержания следует уделить наибольшее внимание, а повторение курсов биологии основной школы следует рассматривать системно, с учетом общебиологических знаний.</w:t>
      </w:r>
      <w:r/>
    </w:p>
    <w:p>
      <w:pPr>
        <w:pStyle w:val="940"/>
        <w:jc w:val="both"/>
        <w:tabs>
          <w:tab w:val="left" w:pos="0" w:leader="none"/>
          <w:tab w:val="clear" w:pos="708" w:leader="none"/>
        </w:tabs>
      </w:pPr>
      <w:r>
        <w:rPr>
          <w:rFonts w:eastAsia="SimSun;宋体"/>
        </w:rPr>
        <w:tab/>
      </w:r>
      <w:r>
        <w:rPr>
          <w:rFonts w:eastAsia="SimSun;宋体"/>
          <w:lang w:val="en-US"/>
        </w:rPr>
        <w:t xml:space="preserve">2.</w:t>
        <w:tab/>
        <w:t xml:space="preserve">В учебном процессе необходимо обр</w:t>
      </w:r>
      <w:r>
        <w:rPr>
          <w:rFonts w:eastAsia="SimSun;宋体"/>
          <w:lang w:val="en-US"/>
        </w:rPr>
        <w:t xml:space="preserve">атить внимание на формирование у обучающихся следующих знаний и умений: знать и понимать методы научного познания, строение и признаки организмов разных царств, особенности оплодотворения у цветковых растений и индивидуального развития организма; уметь объ</w:t>
      </w:r>
      <w:r>
        <w:rPr>
          <w:rFonts w:eastAsia="SimSun;宋体"/>
          <w:lang w:val="en-US"/>
        </w:rPr>
        <w:t xml:space="preserve">яснять причины эволюции видов, человека, биосферы; устанавливать взаимосвязи движущих сил эволюции, сравнивать биологические процессы обмена веществ и делать выводы, уметь анализировать результаты биологических экспериментов по их описанию и делать выводы.</w:t>
      </w:r>
      <w:r/>
    </w:p>
    <w:p>
      <w:pPr>
        <w:pStyle w:val="940"/>
        <w:jc w:val="both"/>
        <w:tabs>
          <w:tab w:val="left" w:pos="0" w:leader="none"/>
          <w:tab w:val="clear" w:pos="708" w:leader="none"/>
        </w:tabs>
      </w:pPr>
      <w:r>
        <w:rPr>
          <w:rFonts w:eastAsia="SimSun;宋体"/>
        </w:rPr>
        <w:tab/>
      </w:r>
      <w:r>
        <w:rPr>
          <w:rFonts w:eastAsia="SimSun;宋体"/>
          <w:lang w:val="en-US"/>
        </w:rPr>
        <w:t xml:space="preserve">3.</w:t>
        <w:tab/>
        <w:t xml:space="preserve">На уроках и во внеурочной деятельности необходимо обеспечить системное освоение обучающимися основного содержания курса биологии (базовый и профильный уровни) и обучение оперированию разнообразными видами учебной деятельности, пред</w:t>
      </w:r>
      <w:r>
        <w:rPr>
          <w:rFonts w:eastAsia="SimSun;宋体"/>
          <w:lang w:val="en-US"/>
        </w:rPr>
        <w:t xml:space="preserve">ставленными в кодификаторе элементами содержания и требованиями к уровню подготовки выпускников. Для этого следует запланировать регулярный мониторинг по отработке отдельных умений как при прохождении текущего содержания, так и при повторении пройденного м</w:t>
      </w:r>
      <w:r>
        <w:rPr>
          <w:rFonts w:eastAsia="SimSun;宋体"/>
          <w:lang w:val="en-US"/>
        </w:rPr>
        <w:t xml:space="preserve">атериала. При проведении мониторинга следует широко использовать задания различного типа. Особое внимание следует уделять заданиям, представленным в действующих вариантах ЕГЭ: на множественный выбор (с рисунком или без него); установление соответствия (с р</w:t>
      </w:r>
      <w:r>
        <w:rPr>
          <w:rFonts w:eastAsia="SimSun;宋体"/>
          <w:lang w:val="en-US"/>
        </w:rPr>
        <w:t xml:space="preserve">исунком или без него); установление последовательности систематических таксонов, биологических объектов, процессов, явлений; решение биологических задач по цитологии и генетике; дополнение недостающей информации в схеме; дополнение недостающей информации в</w:t>
      </w:r>
      <w:r>
        <w:rPr>
          <w:rFonts w:eastAsia="SimSun;宋体"/>
          <w:lang w:val="en-US"/>
        </w:rPr>
        <w:t xml:space="preserve"> таблице; анализ информации, представленной в графической или табличной форме, а также заданиям со свободным развернутым ответом, требующим от обучающихся умений обоснованно, кратко и логично излагать свои мысли, применять теоретические знания на практике.</w:t>
      </w:r>
      <w:r/>
    </w:p>
    <w:p>
      <w:pPr>
        <w:pStyle w:val="940"/>
        <w:jc w:val="both"/>
        <w:tabs>
          <w:tab w:val="left" w:pos="0" w:leader="none"/>
          <w:tab w:val="clear" w:pos="708" w:leader="none"/>
        </w:tabs>
      </w:pPr>
      <w:r>
        <w:rPr>
          <w:rFonts w:eastAsia="SimSun;宋体"/>
        </w:rPr>
        <w:tab/>
      </w:r>
      <w:r>
        <w:rPr>
          <w:rFonts w:eastAsia="SimSun;宋体"/>
          <w:lang w:val="en-US"/>
        </w:rPr>
        <w:t xml:space="preserve">4.</w:t>
        <w:tab/>
        <w:t xml:space="preserve">В целях достижения высоких результатов рекомендуется постепенно увеличивать долю самостоятельной работы обучающихся как на уроке, так и во внеурочное время, акцентировать внимание </w:t>
      </w:r>
      <w:r>
        <w:rPr>
          <w:rFonts w:eastAsia="SimSun;宋体"/>
          <w:lang w:val="en-US"/>
        </w:rPr>
        <w:t xml:space="preserve">на выполнение задач по цитологии и генетике, отрабатывать алгоритмы решения этих задач с учетом их специфики. Для подготовки к итоговой аттестации в форме ЕГЭ рекомендуется использовать методические материалы, разработанные с участием членов рабочей группы</w:t>
      </w:r>
      <w:r>
        <w:rPr>
          <w:rFonts w:eastAsia="SimSun;宋体"/>
        </w:rPr>
        <w:t xml:space="preserve">.</w:t>
      </w:r>
      <w:r/>
    </w:p>
    <w:p>
      <w:pPr>
        <w:pStyle w:val="940"/>
        <w:numPr>
          <w:ilvl w:val="1"/>
          <w:numId w:val="29"/>
        </w:numPr>
        <w:ind w:left="0" w:firstLine="0"/>
        <w:jc w:val="both"/>
        <w:keepLines/>
        <w:keepNext/>
        <w:spacing w:before="200" w:after="0"/>
        <w:tabs>
          <w:tab w:val="left" w:pos="0" w:leader="none"/>
          <w:tab w:val="clear" w:pos="708" w:leader="none"/>
        </w:tabs>
      </w:pPr>
      <w:r>
        <w:rPr>
          <w:rFonts w:eastAsia="Times New Roman"/>
          <w:b/>
          <w:bCs/>
          <w:sz w:val="28"/>
        </w:rPr>
        <w:t xml:space="preserve">  </w:t>
      </w:r>
      <w:r>
        <w:rPr>
          <w:rFonts w:eastAsia="SimSun;宋体"/>
          <w:b/>
          <w:bCs/>
          <w:sz w:val="28"/>
          <w:lang w:val="en-US"/>
        </w:rPr>
        <w:t xml:space="preserve">Рекомендации по темам для обсуждения на методических объединениях </w:t>
      </w:r>
      <w:r>
        <w:rPr>
          <w:rFonts w:eastAsia="SimSun;宋体"/>
          <w:b/>
          <w:bCs/>
          <w:sz w:val="28"/>
        </w:rPr>
        <w:t xml:space="preserve"> </w:t>
      </w:r>
      <w:r>
        <w:rPr>
          <w:rFonts w:eastAsia="SimSun;宋体"/>
          <w:b/>
          <w:bCs/>
          <w:sz w:val="28"/>
          <w:lang w:val="en-US"/>
        </w:rPr>
        <w:t xml:space="preserve">учителей-предметников, возможные направления повышения квалификации</w:t>
      </w:r>
      <w:r/>
    </w:p>
    <w:p>
      <w:pPr>
        <w:pStyle w:val="940"/>
        <w:jc w:val="both"/>
        <w:keepLines/>
        <w:keepNext/>
        <w:tabs>
          <w:tab w:val="left" w:pos="0" w:leader="none"/>
          <w:tab w:val="clear" w:pos="708" w:leader="none"/>
        </w:tabs>
        <w:rPr>
          <w:rFonts w:eastAsia="SimSun;宋体"/>
          <w:bCs/>
        </w:rPr>
      </w:pPr>
      <w:r>
        <w:rPr>
          <w:rFonts w:eastAsia="SimSun;宋体"/>
          <w:bCs/>
        </w:rPr>
      </w:r>
      <w:r/>
    </w:p>
    <w:p>
      <w:pPr>
        <w:pStyle w:val="940"/>
        <w:jc w:val="both"/>
        <w:keepLines/>
        <w:keepNext/>
        <w:tabs>
          <w:tab w:val="left" w:pos="0" w:leader="none"/>
          <w:tab w:val="clear" w:pos="708" w:leader="none"/>
        </w:tabs>
      </w:pPr>
      <w:r>
        <w:rPr>
          <w:rFonts w:eastAsia="SimSun;宋体"/>
          <w:bCs/>
        </w:rPr>
        <w:tab/>
      </w:r>
      <w:r>
        <w:rPr>
          <w:rFonts w:eastAsia="SimSun;宋体"/>
          <w:bCs/>
          <w:lang w:val="en-US"/>
        </w:rPr>
        <w:t xml:space="preserve">Необходимо обсудить на методических объединениях учителей биологии следующие вопросы: «Итоги ГИА по биологии 2021 года: анализ достижений и проблем», «Использование результатов ЕГЭ в повышении качества биологического образования».</w:t>
      </w:r>
      <w:r/>
    </w:p>
    <w:p>
      <w:pPr>
        <w:pStyle w:val="940"/>
        <w:jc w:val="both"/>
        <w:keepLines/>
        <w:keepNext/>
        <w:tabs>
          <w:tab w:val="left" w:pos="0" w:leader="none"/>
          <w:tab w:val="clear" w:pos="708" w:leader="none"/>
        </w:tabs>
        <w:rPr>
          <w:rFonts w:eastAsia="SimSun;宋体"/>
          <w:bCs/>
        </w:rPr>
      </w:pPr>
      <w:r>
        <w:rPr>
          <w:rFonts w:eastAsia="SimSun;宋体"/>
          <w:bCs/>
        </w:rPr>
      </w:r>
      <w:r/>
    </w:p>
    <w:p>
      <w:pPr>
        <w:pStyle w:val="940"/>
        <w:jc w:val="both"/>
        <w:keepLines/>
        <w:keepNext/>
        <w:tabs>
          <w:tab w:val="left" w:pos="0" w:leader="none"/>
          <w:tab w:val="clear" w:pos="708" w:leader="none"/>
        </w:tabs>
        <w:rPr>
          <w:rFonts w:eastAsia="SimSun;宋体"/>
          <w:bCs/>
        </w:rPr>
      </w:pPr>
      <w:r>
        <w:rPr>
          <w:rFonts w:eastAsia="SimSun;宋体"/>
          <w:bCs/>
        </w:rPr>
      </w:r>
      <w:r/>
    </w:p>
    <w:p>
      <w:pPr>
        <w:pStyle w:val="940"/>
        <w:jc w:val="both"/>
        <w:rPr>
          <w:rFonts w:eastAsia="Times New Roman"/>
          <w:b/>
          <w:bCs/>
          <w:sz w:val="28"/>
        </w:rPr>
      </w:pPr>
      <w:r>
        <w:rPr>
          <w:rFonts w:eastAsia="Times New Roman"/>
          <w:b/>
          <w:bCs/>
          <w:sz w:val="28"/>
        </w:rPr>
      </w:r>
      <w:r/>
    </w:p>
    <w:p>
      <w:pPr>
        <w:pStyle w:val="940"/>
        <w:jc w:val="both"/>
      </w:pPr>
      <w:r>
        <w:rPr>
          <w:rFonts w:eastAsia="Times New Roman"/>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tabs>
          <w:tab w:val="left" w:pos="0" w:leader="none"/>
          <w:tab w:val="clear" w:pos="708" w:leader="none"/>
        </w:tabs>
        <w:rPr>
          <w:rFonts w:eastAsia="SimSun;宋体"/>
          <w:b/>
          <w:bCs/>
          <w:sz w:val="28"/>
        </w:rPr>
      </w:pPr>
      <w:r>
        <w:rPr>
          <w:rFonts w:eastAsia="SimSun;宋体"/>
          <w:b/>
          <w:bCs/>
          <w:sz w:val="28"/>
        </w:rPr>
      </w:r>
      <w:r/>
    </w:p>
    <w:p>
      <w:pPr>
        <w:pStyle w:val="940"/>
        <w:jc w:val="both"/>
        <w:tabs>
          <w:tab w:val="left" w:pos="0" w:leader="none"/>
          <w:tab w:val="clear" w:pos="708" w:leader="none"/>
        </w:tabs>
      </w:pPr>
      <w:r/>
      <w:hyperlink r:id="rId30"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jc w:val="both"/>
        <w:tabs>
          <w:tab w:val="left" w:pos="0" w:leader="none"/>
          <w:tab w:val="clear" w:pos="708" w:leader="none"/>
        </w:tabs>
        <w:rPr>
          <w:rFonts w:eastAsia="SimSun;宋体"/>
          <w:b/>
          <w:bCs/>
          <w:sz w:val="28"/>
          <w:szCs w:val="28"/>
        </w:rPr>
      </w:pPr>
      <w:r>
        <w:rPr>
          <w:rFonts w:eastAsia="SimSun;宋体"/>
          <w:b/>
          <w:bCs/>
          <w:sz w:val="28"/>
          <w:szCs w:val="28"/>
        </w:rPr>
      </w:r>
      <w:r/>
    </w:p>
    <w:p>
      <w:pPr>
        <w:pStyle w:val="940"/>
        <w:rPr>
          <w:rFonts w:eastAsia="SimSun;宋体"/>
          <w:b/>
          <w:bCs/>
          <w:sz w:val="28"/>
        </w:rPr>
      </w:pPr>
      <w:r>
        <w:rPr>
          <w:rFonts w:eastAsia="SimSun;宋体"/>
          <w:b/>
          <w:bCs/>
          <w:sz w:val="28"/>
        </w:rPr>
      </w:r>
      <w:r/>
    </w:p>
    <w:p>
      <w:pPr>
        <w:pStyle w:val="940"/>
        <w:rPr>
          <w:rFonts w:eastAsia="SimSun;宋体"/>
          <w:b/>
          <w:bCs/>
          <w:sz w:val="28"/>
        </w:rPr>
      </w:pPr>
      <w:r>
        <w:rPr>
          <w:rFonts w:eastAsia="SimSun;宋体"/>
          <w:b/>
          <w:bCs/>
          <w:sz w:val="28"/>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1"/>
        <w:rPr>
          <w:rFonts w:ascii="Times New Roman" w:hAnsi="Times New Roman" w:cs="Times New Roman"/>
        </w:rPr>
      </w:pPr>
      <w:r>
        <w:rPr>
          <w:rFonts w:ascii="Times New Roman" w:hAnsi="Times New Roman" w:cs="Times New Roman"/>
        </w:rPr>
        <w:t xml:space="preserve">Раздел 5. Предложения в ДОРОЖНУЮ КАРТУ по развитию региональной системы образования</w:t>
      </w:r>
      <w:r/>
    </w:p>
    <w:p>
      <w:pPr>
        <w:pStyle w:val="943"/>
        <w:numPr>
          <w:ilvl w:val="0"/>
          <w:numId w:val="0"/>
        </w:numPr>
        <w:ind w:left="0" w:firstLine="0"/>
      </w:pPr>
      <w:r>
        <w:rPr>
          <w:rFonts w:ascii="Times New Roman" w:hAnsi="Times New Roman" w:cs="Times New Roman"/>
          <w:lang w:val="ru-RU"/>
        </w:rPr>
        <w:t xml:space="preserve">5.1. </w:t>
      </w:r>
      <w:r>
        <w:rPr>
          <w:rFonts w:ascii="Times New Roman" w:hAnsi="Times New Roman" w:cs="Times New Roman"/>
        </w:rPr>
        <w:t xml:space="preserve">Анализ эффективности мероприятий, указанных в предложениях в дорожную карту по развитию региональной системы образования на 2020 – 2021 г. </w:t>
      </w:r>
      <w:r/>
    </w:p>
    <w:p>
      <w:pPr>
        <w:pStyle w:val="940"/>
        <w:rPr>
          <w:lang w:val="en-US"/>
        </w:rPr>
      </w:pPr>
      <w:r>
        <w:rPr>
          <w:lang w:val="en-US"/>
        </w:rPr>
      </w:r>
      <w:r/>
    </w:p>
    <w:p>
      <w:pPr>
        <w:pStyle w:val="940"/>
        <w:jc w:val="right"/>
        <w:keepNext/>
        <w:spacing w:before="0" w:after="200"/>
        <w:tabs>
          <w:tab w:val="left" w:pos="0" w:leader="none"/>
          <w:tab w:val="clear" w:pos="708" w:leader="none"/>
        </w:tabs>
        <w:rPr>
          <w:bCs/>
          <w:i/>
          <w:sz w:val="18"/>
          <w:szCs w:val="18"/>
          <w:lang w:val="en-US"/>
        </w:rPr>
      </w:pPr>
      <w:r>
        <w:rPr>
          <w:bCs/>
          <w:i/>
          <w:sz w:val="18"/>
          <w:szCs w:val="18"/>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23"/>
        <w:gridCol w:w="2614"/>
        <w:gridCol w:w="3975"/>
        <w:gridCol w:w="2591"/>
      </w:tblGrid>
      <w:tr>
        <w:trPr>
          <w:trHeight w:val="365"/>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rPr>
                <w:lang w:val="en-US"/>
              </w:rPr>
            </w:pPr>
            <w:r>
              <w:rPr>
                <w:lang w:val="en-US"/>
              </w:rP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(биология)</w:t>
            </w:r>
            <w:r/>
          </w:p>
        </w:tc>
        <w:tc>
          <w:tcPr>
            <w:tcBorders>
              <w:top w:val="single" w:color="000000" w:sz="4" w:space="0"/>
              <w:left w:val="single" w:color="000000" w:sz="4" w:space="0"/>
              <w:bottom w:val="single" w:color="000000" w:sz="4" w:space="0"/>
            </w:tcBorders>
            <w:tcW w:w="3975"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биологии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rPr>
                <w:lang w:eastAsia="en-US"/>
              </w:rPr>
            </w:pPr>
            <w:r>
              <w:rPr>
                <w:lang w:eastAsia="en-US"/>
              </w:rPr>
              <w:t xml:space="preserve">В процессе анализа и обсуждения результатов ЕГЭ – 11 в форма</w:t>
            </w:r>
            <w:r>
              <w:rPr>
                <w:lang w:eastAsia="en-US"/>
              </w:rPr>
              <w:t xml:space="preserve">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биологии   особое внимание было уделено анализу выполнения отдельных заданий или групп заданий предмету.</w:t>
            </w:r>
            <w:r/>
          </w:p>
          <w:p>
            <w:pPr>
              <w:pStyle w:val="940"/>
            </w:pPr>
            <w:r>
              <w:t xml:space="preserve">Были выделены и рассмотрены задания, которые вызвали особые затруднения у участников экзамена по биологии.</w:t>
            </w:r>
            <w:r/>
          </w:p>
          <w:p>
            <w:pPr>
              <w:pStyle w:val="940"/>
            </w:pPr>
            <w:r>
              <w:t xml:space="preserve">Определены умения, несформированностью или недостаточной сформированностью которых обусловлено</w:t>
            </w:r>
            <w:r>
              <w:rPr>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биологии  .</w:t>
            </w:r>
            <w:r/>
          </w:p>
          <w:p>
            <w:pPr>
              <w:pStyle w:val="940"/>
            </w:pPr>
            <w:r>
              <w:t xml:space="preserve">Разработаны рекомендации по изменению программы повышения квалификации учителей биологии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rPr>
                <w:lang w:val="en-US"/>
              </w:rP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65 человек 2 часа, семинар, учителя –предметники, в том числе учителя биологии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(биология)</w:t>
            </w:r>
            <w:r/>
          </w:p>
        </w:tc>
        <w:tc>
          <w:tcPr>
            <w:tcBorders>
              <w:top w:val="single" w:color="000000" w:sz="4" w:space="0"/>
              <w:left w:val="single" w:color="000000" w:sz="4" w:space="0"/>
              <w:bottom w:val="single" w:color="000000" w:sz="4" w:space="0"/>
            </w:tcBorders>
            <w:tcW w:w="3975" w:type="dxa"/>
            <w:textDirection w:val="lrTb"/>
            <w:noWrap w:val="false"/>
          </w:tcPr>
          <w:p>
            <w:pPr>
              <w:pStyle w:val="940"/>
              <w:jc w:val="both"/>
              <w:spacing w:before="0" w:after="160" w:line="254" w:lineRule="auto"/>
              <w:rPr>
                <w:lang w:eastAsia="en-US"/>
              </w:rPr>
            </w:pPr>
            <w:r>
              <w:rPr>
                <w:lang w:eastAsia="en-US"/>
              </w:rPr>
              <w:t xml:space="preserve">14 человек, семинар, члены предметной комиссии, учителя биологии</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w:t>
            </w:r>
            <w:r>
              <w:rPr>
                <w:lang w:eastAsia="en-US"/>
              </w:rPr>
              <w:t xml:space="preserve"> образовательным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биологии;</w:t>
            </w:r>
            <w:r/>
          </w:p>
          <w:p>
            <w:pPr>
              <w:pStyle w:val="940"/>
              <w:jc w:val="both"/>
              <w:spacing w:before="0" w:after="160" w:line="254" w:lineRule="auto"/>
            </w:pPr>
            <w:r>
              <w:rPr>
                <w:lang w:eastAsia="en-US"/>
              </w:rPr>
              <w:t xml:space="preserve">•</w:t>
            </w:r>
            <w:r>
              <w:rPr>
                <w:lang w:eastAsia="en-US"/>
              </w:rPr>
              <w:tab/>
              <w:t xml:space="preserve">формированию у них представления о структуре и содержании  КИМ по биологии;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23"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975" w:type="dxa"/>
            <w:vAlign w:val="center"/>
            <w:textDirection w:val="lrTb"/>
            <w:noWrap w:val="false"/>
          </w:tcPr>
          <w:p>
            <w:pPr>
              <w:pStyle w:val="940"/>
            </w:pPr>
            <w:r>
              <w:t xml:space="preserve">Количество слушателей – 97 человек, в том числе учителя биологии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w:t>
            </w:r>
            <w:r>
              <w:t xml:space="preserve">ключают вопросы обновления технологий и содержания обучения русскому языку и литературе/ истории/ обществознанию/ географии/ математике/ биологии   и астрономии/ химии и др. в соответствии с концепциями преподавания учебных предметов (предметных областей).</w:t>
            </w:r>
            <w:r/>
          </w:p>
        </w:tc>
      </w:tr>
    </w:tbl>
    <w:p>
      <w:pPr>
        <w:pStyle w:val="940"/>
        <w:keepNext/>
        <w:spacing w:before="0" w:after="200"/>
        <w:tabs>
          <w:tab w:val="left" w:pos="0" w:leader="none"/>
          <w:tab w:val="clear" w:pos="708" w:leader="none"/>
        </w:tabs>
        <w:rPr>
          <w:bCs/>
          <w:sz w:val="18"/>
          <w:szCs w:val="18"/>
        </w:rPr>
      </w:pPr>
      <w:r>
        <w:rPr>
          <w:bCs/>
          <w:sz w:val="18"/>
          <w:szCs w:val="18"/>
        </w:rPr>
      </w:r>
      <w:r/>
    </w:p>
    <w:p>
      <w:pPr>
        <w:pStyle w:val="940"/>
        <w:numPr>
          <w:ilvl w:val="1"/>
          <w:numId w:val="35"/>
        </w:numPr>
        <w:ind w:left="0" w:firstLine="0"/>
        <w:keepLines/>
        <w:keepNext/>
        <w:spacing w:before="200" w:after="0"/>
        <w:tabs>
          <w:tab w:val="left" w:pos="0" w:leader="none"/>
          <w:tab w:val="clear" w:pos="708" w:leader="none"/>
        </w:tabs>
        <w:rPr>
          <w:rFonts w:eastAsia="SimSun;宋体"/>
          <w:b/>
          <w:bCs/>
          <w:sz w:val="28"/>
          <w:lang w:val="en-US"/>
        </w:rPr>
      </w:pPr>
      <w:r>
        <w:rPr>
          <w:rFonts w:eastAsia="SimSun;宋体"/>
          <w:b/>
          <w:bCs/>
          <w:sz w:val="28"/>
          <w:lang w:val="en-US"/>
        </w:rPr>
        <w:t xml:space="preserve">Предложения в дорожную карту на 2021-2022 учебный год</w:t>
      </w:r>
      <w:r/>
    </w:p>
    <w:p>
      <w:pPr>
        <w:pStyle w:val="940"/>
        <w:numPr>
          <w:ilvl w:val="2"/>
          <w:numId w:val="35"/>
        </w:numPr>
        <w:ind w:left="567" w:firstLine="0"/>
        <w:keepLines/>
        <w:keepNext/>
        <w:spacing w:before="200" w:after="0"/>
        <w:tabs>
          <w:tab w:val="left" w:pos="567" w:leader="none"/>
          <w:tab w:val="clear" w:pos="708" w:leader="none"/>
        </w:tabs>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tabs>
          <w:tab w:val="left" w:pos="0" w:leader="none"/>
          <w:tab w:val="clear" w:pos="708" w:leader="none"/>
        </w:tabs>
        <w:rPr>
          <w:bCs/>
          <w:i/>
          <w:sz w:val="18"/>
          <w:szCs w:val="18"/>
          <w:lang w:val="en-US"/>
        </w:rPr>
      </w:pPr>
      <w:r>
        <w:rPr>
          <w:bCs/>
          <w:i/>
          <w:sz w:val="18"/>
          <w:szCs w:val="18"/>
          <w:lang w:val="en-US"/>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биологии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биологии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tabs>
          <w:tab w:val="left" w:pos="0" w:leader="none"/>
          <w:tab w:val="clear" w:pos="708" w:leader="none"/>
        </w:tabs>
        <w:rPr>
          <w:bCs/>
          <w:sz w:val="18"/>
          <w:szCs w:val="18"/>
          <w:lang w:val="en-US"/>
        </w:rPr>
      </w:pPr>
      <w:r>
        <w:rPr>
          <w:bCs/>
          <w:sz w:val="18"/>
          <w:szCs w:val="18"/>
          <w:lang w:val="en-US"/>
        </w:rPr>
      </w:r>
      <w:r/>
    </w:p>
    <w:p>
      <w:pPr>
        <w:pStyle w:val="940"/>
        <w:numPr>
          <w:ilvl w:val="2"/>
          <w:numId w:val="35"/>
        </w:numPr>
        <w:ind w:left="567" w:firstLine="0"/>
        <w:jc w:val="both"/>
        <w:keepLines/>
        <w:keepNext/>
        <w:spacing w:before="200" w:after="0"/>
        <w:tabs>
          <w:tab w:val="left" w:pos="567" w:leader="none"/>
          <w:tab w:val="clear" w:pos="708" w:leader="none"/>
        </w:tabs>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tabs>
          <w:tab w:val="left" w:pos="0" w:leader="none"/>
          <w:tab w:val="clear" w:pos="708" w:leader="none"/>
        </w:tabs>
        <w:rPr>
          <w:bCs/>
          <w:i/>
          <w:sz w:val="18"/>
          <w:szCs w:val="18"/>
          <w:lang w:val="en-US"/>
        </w:rPr>
      </w:pPr>
      <w:r>
        <w:rPr>
          <w:bCs/>
          <w:i/>
          <w:sz w:val="18"/>
          <w:szCs w:val="18"/>
          <w:lang w:val="en-US"/>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6"/>
        <w:gridCol w:w="1153"/>
        <w:gridCol w:w="7930"/>
      </w:tblGrid>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jc w:val="center"/>
              <w:spacing w:before="0" w:after="0"/>
              <w:rPr>
                <w:lang w:eastAsia="en-US"/>
              </w:rPr>
            </w:pPr>
            <w:r>
              <w:rPr>
                <w:lang w:eastAsia="en-US"/>
              </w:rPr>
              <w:t xml:space="preserve">Мероприятие</w:t>
            </w:r>
            <w:r/>
          </w:p>
          <w:p>
            <w:pPr>
              <w:pStyle w:val="940"/>
              <w:contextualSpacing/>
              <w:jc w:val="center"/>
              <w:spacing w:before="0" w:after="0"/>
              <w:rPr>
                <w:i/>
                <w:lang w:eastAsia="en-US"/>
              </w:rPr>
            </w:pPr>
            <w:r>
              <w:rPr>
                <w:i/>
                <w:lang w:eastAsia="en-US"/>
              </w:rPr>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Проведение открытых заседаний предметных секций рег</w:t>
            </w:r>
            <w:r>
              <w:t xml:space="preserve">ионального учебно-методического объединения с участием председателей предметных комиссий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jc w:val="both"/>
              <w:rPr>
                <w:lang w:eastAsia="en-US"/>
              </w:rPr>
            </w:pPr>
            <w:r>
              <w:rPr>
                <w:lang w:eastAsia="en-US"/>
              </w:rPr>
              <w:t xml:space="preserve">Обновление содержания обучения биологии   с учетом нового ФГОС ООО и результатов ГИА </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1.3</w:t>
            </w:r>
            <w:r/>
          </w:p>
        </w:tc>
        <w:tc>
          <w:tcPr>
            <w:tcBorders>
              <w:top w:val="single" w:color="000000" w:sz="4" w:space="0"/>
              <w:left w:val="single" w:color="000000" w:sz="4" w:space="0"/>
              <w:bottom w:val="single" w:color="000000" w:sz="4" w:space="0"/>
            </w:tcBorders>
            <w:tcW w:w="1153" w:type="dxa"/>
            <w:textDirection w:val="lrTb"/>
            <w:noWrap w:val="false"/>
          </w:tcPr>
          <w:p>
            <w:pPr>
              <w:pStyle w:val="940"/>
              <w:rPr>
                <w:lang w:eastAsia="en-US"/>
              </w:rPr>
            </w:pPr>
            <w:r>
              <w:rPr>
                <w:lang w:eastAsia="en-US"/>
              </w:rPr>
              <w:t xml:space="preserve">Октябрь</w:t>
            </w:r>
            <w:r/>
          </w:p>
          <w:p>
            <w:pPr>
              <w:pStyle w:val="940"/>
              <w:rPr>
                <w:lang w:eastAsia="en-US"/>
              </w:rPr>
            </w:pPr>
            <w:r>
              <w:rPr>
                <w:lang w:eastAsia="en-US"/>
              </w:rPr>
              <w:t xml:space="preserve">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jc w:val="both"/>
              <w:rPr>
                <w:lang w:eastAsia="en-US"/>
              </w:rPr>
            </w:pPr>
            <w:r>
              <w:rPr>
                <w:lang w:eastAsia="en-US"/>
              </w:rPr>
              <w:t xml:space="preserve">Практикум по разбору заданий 2 части  ЕГЭ по биологии </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Февраль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Подготовка обучающихся к решению биологических задач с метапредметных направленностью</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4.1.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30" w:type="dxa"/>
            <w:textDirection w:val="lrTb"/>
            <w:noWrap w:val="false"/>
          </w:tcPr>
          <w:p>
            <w:pPr>
              <w:pStyle w:val="940"/>
              <w:contextualSpacing/>
              <w:spacing w:before="0" w:after="0"/>
            </w:pPr>
            <w:r>
              <w:t xml:space="preserve">Сравнительны анализ УМК по биологии базового и углубленного уровня</w:t>
            </w:r>
            <w:r/>
          </w:p>
        </w:tc>
      </w:tr>
    </w:tbl>
    <w:p>
      <w:pPr>
        <w:pStyle w:val="940"/>
        <w:keepNext/>
        <w:spacing w:before="0" w:after="200"/>
        <w:tabs>
          <w:tab w:val="left" w:pos="0" w:leader="none"/>
          <w:tab w:val="clear" w:pos="708" w:leader="none"/>
        </w:tabs>
        <w:rPr>
          <w:bCs/>
          <w:sz w:val="18"/>
          <w:szCs w:val="18"/>
        </w:rPr>
      </w:pPr>
      <w:r>
        <w:rPr>
          <w:bCs/>
          <w:sz w:val="18"/>
          <w:szCs w:val="18"/>
        </w:rPr>
      </w:r>
      <w:r/>
    </w:p>
    <w:p>
      <w:pPr>
        <w:pStyle w:val="940"/>
        <w:keepNext/>
        <w:spacing w:before="0" w:after="200"/>
        <w:tabs>
          <w:tab w:val="left" w:pos="0" w:leader="none"/>
          <w:tab w:val="clear" w:pos="708" w:leader="none"/>
        </w:tabs>
        <w:rPr>
          <w:bCs/>
          <w:sz w:val="18"/>
          <w:szCs w:val="18"/>
        </w:rPr>
      </w:pPr>
      <w:r>
        <w:rPr>
          <w:bCs/>
          <w:sz w:val="18"/>
          <w:szCs w:val="18"/>
        </w:rPr>
      </w:r>
      <w:r/>
    </w:p>
    <w:p>
      <w:pPr>
        <w:pStyle w:val="940"/>
        <w:numPr>
          <w:ilvl w:val="2"/>
          <w:numId w:val="35"/>
        </w:numPr>
        <w:ind w:left="567" w:firstLine="0"/>
        <w:jc w:val="both"/>
        <w:keepLines/>
        <w:keepNext/>
        <w:spacing w:before="200" w:after="0"/>
        <w:tabs>
          <w:tab w:val="left" w:pos="567" w:leader="none"/>
          <w:tab w:val="clear" w:pos="708" w:leader="none"/>
        </w:tabs>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tabs>
          <w:tab w:val="left" w:pos="567" w:leader="none"/>
          <w:tab w:val="clear" w:pos="708" w:leader="none"/>
        </w:tabs>
        <w:rPr>
          <w:rFonts w:eastAsia="SimSun;宋体"/>
          <w:bCs/>
          <w:lang w:val="en-US"/>
        </w:rPr>
      </w:pPr>
      <w:r>
        <w:rPr>
          <w:rFonts w:eastAsia="SimSun;宋体"/>
          <w:bCs/>
          <w:lang w:val="en-US"/>
        </w:rPr>
        <w:t xml:space="preserve">Не планируются</w:t>
      </w:r>
      <w:r/>
    </w:p>
    <w:p>
      <w:pPr>
        <w:pStyle w:val="940"/>
        <w:numPr>
          <w:ilvl w:val="2"/>
          <w:numId w:val="35"/>
        </w:numPr>
        <w:ind w:left="567" w:firstLine="0"/>
        <w:jc w:val="both"/>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tabs>
          <w:tab w:val="left" w:pos="0" w:leader="none"/>
          <w:tab w:val="clear" w:pos="708" w:leader="none"/>
        </w:tabs>
        <w:rPr>
          <w:bCs/>
          <w:i/>
          <w:sz w:val="18"/>
          <w:szCs w:val="18"/>
          <w:lang w:val="en-US"/>
        </w:rPr>
      </w:pPr>
      <w:r>
        <w:rPr>
          <w:bCs/>
          <w:i/>
          <w:sz w:val="18"/>
          <w:szCs w:val="18"/>
          <w:lang w:val="en-US"/>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62"/>
        <w:gridCol w:w="7981"/>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62"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81"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62"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7981" w:type="dxa"/>
            <w:textDirection w:val="lrTb"/>
            <w:noWrap w:val="false"/>
          </w:tcPr>
          <w:p>
            <w:pPr>
              <w:pStyle w:val="940"/>
              <w:contextualSpacing/>
              <w:jc w:val="both"/>
              <w:spacing w:before="0" w:after="60"/>
            </w:pPr>
            <w:r>
              <w:rPr>
                <w:sz w:val="23"/>
                <w:szCs w:val="23"/>
              </w:rPr>
              <w:t xml:space="preserve">Проведение вебинаров и видеоконференций с участием председателя предметной комиссий ЕГЭ по биологии,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62"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7981" w:type="dxa"/>
            <w:textDirection w:val="lrTb"/>
            <w:noWrap w:val="false"/>
          </w:tcPr>
          <w:p>
            <w:pPr>
              <w:pStyle w:val="940"/>
              <w:contextualSpacing/>
              <w:jc w:val="both"/>
              <w:spacing w:before="0" w:after="60"/>
            </w:pPr>
            <w:r>
              <w:rPr>
                <w:sz w:val="23"/>
                <w:szCs w:val="23"/>
              </w:rPr>
              <w:t xml:space="preserve">Выступления учителей биологии,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биологии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62" w:type="dxa"/>
            <w:textDirection w:val="lrTb"/>
            <w:noWrap w:val="false"/>
          </w:tcPr>
          <w:p>
            <w:pPr>
              <w:pStyle w:val="940"/>
              <w:contextualSpacing/>
              <w:spacing w:before="0" w:after="0"/>
              <w:rPr>
                <w:sz w:val="23"/>
                <w:szCs w:val="23"/>
              </w:rPr>
            </w:pPr>
            <w:r>
              <w:rPr>
                <w:sz w:val="23"/>
                <w:szCs w:val="23"/>
              </w:rPr>
              <w:t xml:space="preserve">январь</w:t>
            </w:r>
            <w:r/>
          </w:p>
          <w:p>
            <w:pPr>
              <w:pStyle w:val="940"/>
              <w:contextualSpacing/>
              <w:spacing w:before="0" w:after="0"/>
              <w:rPr>
                <w:sz w:val="23"/>
                <w:szCs w:val="23"/>
              </w:rPr>
            </w:pPr>
            <w:r>
              <w:rPr>
                <w:sz w:val="23"/>
                <w:szCs w:val="23"/>
              </w:rPr>
              <w:t xml:space="preserve">2022</w:t>
            </w:r>
            <w:r/>
          </w:p>
        </w:tc>
        <w:tc>
          <w:tcPr>
            <w:tcBorders>
              <w:top w:val="single" w:color="000000" w:sz="4" w:space="0"/>
              <w:left w:val="single" w:color="000000" w:sz="4" w:space="0"/>
              <w:bottom w:val="single" w:color="000000" w:sz="4" w:space="0"/>
              <w:right w:val="single" w:color="000000" w:sz="4" w:space="0"/>
            </w:tcBorders>
            <w:tcW w:w="7981" w:type="dxa"/>
            <w:textDirection w:val="lrTb"/>
            <w:noWrap w:val="false"/>
          </w:tcPr>
          <w:p>
            <w:pPr>
              <w:pStyle w:val="940"/>
              <w:contextualSpacing/>
              <w:jc w:val="both"/>
              <w:spacing w:before="0" w:after="60"/>
              <w:rPr>
                <w:sz w:val="23"/>
                <w:szCs w:val="23"/>
              </w:rPr>
            </w:pPr>
            <w:r>
              <w:rPr>
                <w:sz w:val="23"/>
                <w:szCs w:val="23"/>
              </w:rPr>
              <w:t xml:space="preserve">Представление опыты учителей биологии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2.2</w:t>
            </w:r>
            <w:r/>
          </w:p>
        </w:tc>
        <w:tc>
          <w:tcPr>
            <w:tcBorders>
              <w:top w:val="single" w:color="000000" w:sz="4" w:space="0"/>
              <w:left w:val="single" w:color="000000" w:sz="4" w:space="0"/>
              <w:bottom w:val="single" w:color="000000" w:sz="4" w:space="0"/>
            </w:tcBorders>
            <w:tcW w:w="1162" w:type="dxa"/>
            <w:textDirection w:val="lrTb"/>
            <w:noWrap w:val="false"/>
          </w:tcPr>
          <w:p>
            <w:pPr>
              <w:pStyle w:val="940"/>
              <w:contextualSpacing/>
              <w:spacing w:before="0" w:after="0"/>
            </w:pPr>
            <w:r>
              <w:t xml:space="preserve">Февраль-март</w:t>
            </w:r>
            <w:r/>
          </w:p>
          <w:p>
            <w:pPr>
              <w:pStyle w:val="940"/>
              <w:contextualSpacing/>
              <w:spacing w:before="0" w:after="0"/>
            </w:pPr>
            <w:r>
              <w:t xml:space="preserve">2022</w:t>
            </w:r>
            <w:r/>
          </w:p>
        </w:tc>
        <w:tc>
          <w:tcPr>
            <w:tcBorders>
              <w:top w:val="single" w:color="000000" w:sz="4" w:space="0"/>
              <w:left w:val="single" w:color="000000" w:sz="4" w:space="0"/>
              <w:bottom w:val="single" w:color="000000" w:sz="4" w:space="0"/>
              <w:right w:val="single" w:color="000000" w:sz="4" w:space="0"/>
            </w:tcBorders>
            <w:tcW w:w="7981" w:type="dxa"/>
            <w:textDirection w:val="lrTb"/>
            <w:noWrap w:val="false"/>
          </w:tcPr>
          <w:p>
            <w:pPr>
              <w:pStyle w:val="940"/>
              <w:contextualSpacing/>
              <w:spacing w:before="0" w:after="0"/>
            </w:pPr>
            <w:r>
              <w:t xml:space="preserve">Формирование метапредметных компетенций у обучающихся на уроках биологии</w:t>
            </w:r>
            <w:r/>
          </w:p>
        </w:tc>
      </w:tr>
    </w:tbl>
    <w:p>
      <w:pPr>
        <w:pStyle w:val="940"/>
        <w:keepNext/>
        <w:spacing w:before="0" w:after="200"/>
        <w:tabs>
          <w:tab w:val="left" w:pos="0" w:leader="none"/>
          <w:tab w:val="clear" w:pos="708" w:leader="none"/>
        </w:tabs>
        <w:rPr>
          <w:bCs/>
          <w:sz w:val="18"/>
          <w:szCs w:val="18"/>
        </w:rPr>
      </w:pPr>
      <w:r>
        <w:rPr>
          <w:bCs/>
          <w:sz w:val="18"/>
          <w:szCs w:val="18"/>
        </w:rPr>
      </w:r>
      <w:r/>
    </w:p>
    <w:p>
      <w:pPr>
        <w:pStyle w:val="940"/>
        <w:numPr>
          <w:ilvl w:val="2"/>
          <w:numId w:val="35"/>
        </w:numPr>
        <w:ind w:left="567" w:firstLine="0"/>
        <w:keepLines/>
        <w:keepNext/>
        <w:spacing w:before="200" w:after="0"/>
        <w:tabs>
          <w:tab w:val="left" w:pos="567" w:leader="none"/>
          <w:tab w:val="clear" w:pos="708" w:leader="none"/>
        </w:tabs>
        <w:rPr>
          <w:rFonts w:eastAsia="SimSun;宋体"/>
          <w:bCs/>
          <w:sz w:val="28"/>
          <w:lang w:val="en-US"/>
        </w:rPr>
      </w:pPr>
      <w:r>
        <w:rPr>
          <w:rFonts w:eastAsia="SimSun;宋体"/>
          <w:bCs/>
          <w:sz w:val="28"/>
          <w:lang w:val="en-US"/>
        </w:rPr>
        <w:t xml:space="preserve">Работа по другим направлениям</w:t>
      </w:r>
      <w:r/>
    </w:p>
    <w:p>
      <w:pPr>
        <w:pStyle w:val="940"/>
        <w:jc w:val="both"/>
        <w:keepLines/>
        <w:keepNext/>
        <w:tabs>
          <w:tab w:val="left" w:pos="567" w:leader="none"/>
          <w:tab w:val="clear" w:pos="708" w:leader="none"/>
        </w:tabs>
        <w:rPr>
          <w:rFonts w:eastAsia="SimSun;宋体"/>
          <w:bCs/>
        </w:rPr>
      </w:pPr>
      <w:r>
        <w:rPr>
          <w:rFonts w:eastAsia="SimSun;宋体"/>
          <w:bCs/>
        </w:rPr>
      </w:r>
      <w:r/>
    </w:p>
    <w:p>
      <w:pPr>
        <w:pStyle w:val="940"/>
        <w:jc w:val="both"/>
        <w:keepLines/>
        <w:keepNext/>
        <w:tabs>
          <w:tab w:val="left" w:pos="567" w:leader="none"/>
          <w:tab w:val="clear" w:pos="708" w:leader="none"/>
        </w:tabs>
      </w:pPr>
      <w:r>
        <w:rPr>
          <w:rFonts w:eastAsia="SimSun;宋体"/>
          <w:bCs/>
        </w:rPr>
        <w:tab/>
      </w: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tabs>
          <w:tab w:val="left" w:pos="0" w:leader="none"/>
          <w:tab w:val="clear" w:pos="708" w:leader="none"/>
        </w:tabs>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tabs>
          <w:tab w:val="left" w:pos="0" w:leader="none"/>
          <w:tab w:val="clear" w:pos="708" w:leader="none"/>
        </w:tabs>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tabs>
          <w:tab w:val="left" w:pos="0" w:leader="none"/>
          <w:tab w:val="clear" w:pos="708" w:leader="none"/>
        </w:tabs>
      </w:pPr>
      <w:r>
        <w:rPr>
          <w:sz w:val="28"/>
          <w:szCs w:val="28"/>
        </w:rPr>
        <w:t xml:space="preserve">по предмету «Биология»</w:t>
      </w:r>
      <w:r/>
    </w:p>
    <w:p>
      <w:pPr>
        <w:pStyle w:val="940"/>
        <w:jc w:val="both"/>
        <w:tabs>
          <w:tab w:val="left" w:pos="0" w:leader="none"/>
          <w:tab w:val="clear" w:pos="708" w:leader="none"/>
        </w:tabs>
        <w:rPr>
          <w:sz w:val="28"/>
          <w:szCs w:val="28"/>
        </w:rPr>
      </w:pPr>
      <w:r>
        <w:rPr>
          <w:sz w:val="28"/>
          <w:szCs w:val="28"/>
          <w:lang w:eastAsia="ru-RU"/>
        </w:rPr>
        <w:tab/>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tabs>
          <w:tab w:val="left" w:pos="0" w:leader="none"/>
          <w:tab w:val="clear" w:pos="708" w:leader="none"/>
        </w:tabs>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851"/>
        <w:gridCol w:w="2977"/>
        <w:gridCol w:w="3118"/>
        <w:gridCol w:w="2713"/>
      </w:tblGrid>
      <w:tr>
        <w:trPr/>
        <w:tc>
          <w:tcPr>
            <w:tcBorders>
              <w:top w:val="single" w:color="000000" w:sz="4" w:space="0"/>
              <w:left w:val="single" w:color="000000" w:sz="4" w:space="0"/>
              <w:bottom w:val="single" w:color="000000" w:sz="4" w:space="0"/>
            </w:tcBorders>
            <w:tcW w:w="851" w:type="dxa"/>
            <w:textDirection w:val="lrTb"/>
            <w:noWrap w:val="false"/>
          </w:tcPr>
          <w:p>
            <w:pPr>
              <w:pStyle w:val="940"/>
              <w:jc w:val="both"/>
              <w:tabs>
                <w:tab w:val="left" w:pos="0" w:leader="none"/>
                <w:tab w:val="clear" w:pos="708" w:leader="none"/>
              </w:tabs>
              <w:rPr>
                <w:i/>
                <w:iCs/>
              </w:rPr>
            </w:pPr>
            <w:r>
              <w:rPr>
                <w:i/>
                <w:iCs/>
              </w:rPr>
            </w:r>
            <w:r/>
          </w:p>
        </w:tc>
        <w:tc>
          <w:tcPr>
            <w:tcBorders>
              <w:top w:val="single" w:color="000000" w:sz="4" w:space="0"/>
              <w:left w:val="single" w:color="000000" w:sz="4" w:space="0"/>
              <w:bottom w:val="single" w:color="000000" w:sz="4" w:space="0"/>
            </w:tcBorders>
            <w:tcW w:w="2977" w:type="dxa"/>
            <w:textDirection w:val="lrTb"/>
            <w:noWrap w:val="false"/>
          </w:tcPr>
          <w:p>
            <w:pPr>
              <w:pStyle w:val="940"/>
              <w:jc w:val="both"/>
              <w:tabs>
                <w:tab w:val="left" w:pos="0" w:leader="none"/>
                <w:tab w:val="clear" w:pos="708" w:leader="none"/>
              </w:tabs>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118" w:type="dxa"/>
            <w:textDirection w:val="lrTb"/>
            <w:noWrap w:val="false"/>
          </w:tcPr>
          <w:p>
            <w:pPr>
              <w:pStyle w:val="940"/>
              <w:jc w:val="both"/>
              <w:tabs>
                <w:tab w:val="left" w:pos="0" w:leader="none"/>
                <w:tab w:val="clear" w:pos="708" w:leader="none"/>
              </w:tabs>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jc w:val="both"/>
              <w:tabs>
                <w:tab w:val="left" w:pos="0" w:leader="none"/>
                <w:tab w:val="clear" w:pos="708" w:leader="none"/>
              </w:tabs>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tabs>
                <w:tab w:val="left" w:pos="0" w:leader="none"/>
                <w:tab w:val="clear" w:pos="708" w:leader="none"/>
              </w:tabs>
              <w:rPr>
                <w:iCs/>
              </w:rPr>
            </w:pPr>
            <w:r>
              <w:rPr>
                <w:iCs/>
              </w:rPr>
              <w:t xml:space="preserve">1.</w:t>
            </w:r>
            <w:r/>
          </w:p>
        </w:tc>
        <w:tc>
          <w:tcPr>
            <w:tcBorders>
              <w:top w:val="single" w:color="000000" w:sz="4" w:space="0"/>
              <w:left w:val="single" w:color="000000" w:sz="4" w:space="0"/>
              <w:bottom w:val="single" w:color="000000" w:sz="4" w:space="0"/>
            </w:tcBorders>
            <w:tcW w:w="2977" w:type="dxa"/>
            <w:textDirection w:val="lrTb"/>
            <w:noWrap w:val="false"/>
          </w:tcPr>
          <w:p>
            <w:pPr>
              <w:pStyle w:val="940"/>
            </w:pPr>
            <w:r>
              <w:t xml:space="preserve">Председатель предметной комиссии</w:t>
            </w:r>
            <w:r/>
          </w:p>
        </w:tc>
        <w:tc>
          <w:tcPr>
            <w:tcBorders>
              <w:top w:val="single" w:color="000000" w:sz="4" w:space="0"/>
              <w:left w:val="single" w:color="000000" w:sz="4" w:space="0"/>
              <w:bottom w:val="single" w:color="000000" w:sz="4" w:space="0"/>
            </w:tcBorders>
            <w:tcW w:w="3118" w:type="dxa"/>
            <w:textDirection w:val="lrTb"/>
            <w:noWrap w:val="false"/>
          </w:tcPr>
          <w:p>
            <w:pPr>
              <w:pStyle w:val="940"/>
              <w:tabs>
                <w:tab w:val="left" w:pos="0" w:leader="none"/>
                <w:tab w:val="clear" w:pos="708" w:leader="none"/>
              </w:tabs>
            </w:pPr>
            <w:r>
              <w:rPr>
                <w:iCs/>
              </w:rPr>
              <w:t xml:space="preserve">Кособокова Светлана Рудольфовна, ГАОУ АО ВО «Астраханский государственный архитектурно-строительный университет», заведующий кафедрой геодезии, доцент, ФГБОУ ВО «Астраханский государственный университет», доцент кафедры ботаники, к.б.н.</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tabs>
                <w:tab w:val="left" w:pos="0" w:leader="none"/>
                <w:tab w:val="clear" w:pos="708" w:leader="none"/>
              </w:tabs>
              <w:rPr>
                <w:iCs/>
              </w:rPr>
            </w:pPr>
            <w:r>
              <w:rPr>
                <w:iCs/>
              </w:rPr>
              <w:t xml:space="preserve">Предметная комиссия по биологии</w:t>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2977" w:type="dxa"/>
            <w:textDirection w:val="lrTb"/>
            <w:noWrap w:val="false"/>
          </w:tcPr>
          <w:p>
            <w:pPr>
              <w:pStyle w:val="940"/>
              <w:jc w:val="both"/>
              <w:rPr>
                <w:i/>
                <w:iCs/>
              </w:rPr>
            </w:pPr>
            <w:r>
              <w:rPr>
                <w:i/>
                <w:iCs/>
              </w:rPr>
              <w:t xml:space="preserve">Специалисты, привлекаемые к анализу результатов ГИА-9  по предмету</w:t>
            </w:r>
            <w:r/>
          </w:p>
        </w:tc>
        <w:tc>
          <w:tcPr>
            <w:tcBorders>
              <w:top w:val="single" w:color="000000" w:sz="4" w:space="0"/>
              <w:left w:val="single" w:color="000000" w:sz="4" w:space="0"/>
              <w:bottom w:val="single" w:color="000000" w:sz="4" w:space="0"/>
            </w:tcBorders>
            <w:tcW w:w="3118"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jc w:val="both"/>
              <w:rPr>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2977"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118"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2977"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18" w:type="dxa"/>
            <w:textDirection w:val="lrTb"/>
            <w:noWrap w:val="false"/>
          </w:tcPr>
          <w:p>
            <w:pPr>
              <w:pStyle w:val="940"/>
              <w:jc w:val="both"/>
              <w:rPr>
                <w:iCs/>
              </w:rPr>
            </w:pPr>
            <w:r>
              <w:rPr>
                <w:iCs/>
              </w:rPr>
              <w:t xml:space="preserve">Рычин Иван </w:t>
            </w:r>
            <w:r/>
          </w:p>
          <w:p>
            <w:pPr>
              <w:pStyle w:val="940"/>
              <w:jc w:val="both"/>
              <w:rPr>
                <w:iCs/>
              </w:rPr>
            </w:pPr>
            <w:r>
              <w:rPr>
                <w:iCs/>
              </w:rPr>
              <w:t xml:space="preserve">Константинович,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заместитель </w:t>
            </w:r>
            <w:r/>
          </w:p>
          <w:p>
            <w:pPr>
              <w:pStyle w:val="940"/>
              <w:jc w:val="both"/>
              <w:rPr>
                <w:iCs/>
              </w:rPr>
            </w:pPr>
            <w:r>
              <w:rPr>
                <w:iCs/>
              </w:rPr>
              <w:t xml:space="preserve">начальника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2977"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118" w:type="dxa"/>
            <w:textDirection w:val="lrTb"/>
            <w:noWrap w:val="false"/>
          </w:tcPr>
          <w:p>
            <w:pPr>
              <w:pStyle w:val="940"/>
              <w:jc w:val="both"/>
              <w:rPr>
                <w:iCs/>
              </w:rPr>
            </w:pPr>
            <w:r>
              <w:rPr>
                <w:iCs/>
              </w:rPr>
              <w:t xml:space="preserve">Мясоедова Елена </w:t>
            </w:r>
            <w:r/>
          </w:p>
          <w:p>
            <w:pPr>
              <w:pStyle w:val="940"/>
              <w:jc w:val="both"/>
              <w:rPr>
                <w:iCs/>
              </w:rPr>
            </w:pPr>
            <w:r>
              <w:rPr>
                <w:iCs/>
              </w:rPr>
              <w:t xml:space="preserve">Анатольевна, ГАОУ АО </w:t>
            </w:r>
            <w:r/>
          </w:p>
          <w:p>
            <w:pPr>
              <w:pStyle w:val="940"/>
              <w:jc w:val="both"/>
              <w:rPr>
                <w:iCs/>
              </w:rPr>
            </w:pPr>
            <w:r>
              <w:rPr>
                <w:iCs/>
              </w:rPr>
              <w:t xml:space="preserve">ДПО «Институт развития </w:t>
            </w:r>
            <w:r/>
          </w:p>
          <w:p>
            <w:pPr>
              <w:pStyle w:val="940"/>
              <w:jc w:val="both"/>
            </w:pPr>
            <w:r>
              <w:rPr>
                <w:iCs/>
              </w:rPr>
              <w:t xml:space="preserve">образования», директор               </w:t>
            </w:r>
            <w:r/>
          </w:p>
          <w:p>
            <w:pPr>
              <w:pStyle w:val="940"/>
              <w:jc w:val="both"/>
              <w:rPr>
                <w:iCs/>
              </w:rPr>
            </w:pPr>
            <w:r>
              <w:rPr>
                <w:iCs/>
              </w:rPr>
              <w:t xml:space="preserve">по реализации публичных </w:t>
            </w:r>
            <w:r/>
          </w:p>
          <w:p>
            <w:pPr>
              <w:pStyle w:val="940"/>
              <w:jc w:val="both"/>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851" w:type="dxa"/>
            <w:textDirection w:val="lrTb"/>
            <w:noWrap w:val="false"/>
          </w:tcPr>
          <w:p>
            <w:pPr>
              <w:pStyle w:val="940"/>
              <w:tabs>
                <w:tab w:val="left" w:pos="0" w:leader="none"/>
                <w:tab w:val="clear" w:pos="708" w:leader="none"/>
              </w:tabs>
              <w:rPr>
                <w:iCs/>
              </w:rPr>
            </w:pPr>
            <w:r>
              <w:rPr>
                <w:iCs/>
              </w:rPr>
              <w:t xml:space="preserve">4.</w:t>
            </w:r>
            <w:r/>
          </w:p>
        </w:tc>
        <w:tc>
          <w:tcPr>
            <w:tcBorders>
              <w:top w:val="single" w:color="000000" w:sz="4" w:space="0"/>
              <w:left w:val="single" w:color="000000" w:sz="4" w:space="0"/>
              <w:bottom w:val="single" w:color="000000" w:sz="4" w:space="0"/>
            </w:tcBorders>
            <w:tcW w:w="2977" w:type="dxa"/>
            <w:textDirection w:val="lrTb"/>
            <w:noWrap w:val="false"/>
          </w:tcPr>
          <w:p>
            <w:pPr>
              <w:pStyle w:val="940"/>
              <w:rPr>
                <w:iCs/>
              </w:rPr>
            </w:pPr>
            <w:r>
              <w:rPr>
                <w:iCs/>
              </w:rPr>
            </w:r>
            <w:r/>
          </w:p>
        </w:tc>
        <w:tc>
          <w:tcPr>
            <w:tcBorders>
              <w:top w:val="single" w:color="000000" w:sz="4" w:space="0"/>
              <w:left w:val="single" w:color="000000" w:sz="4" w:space="0"/>
              <w:bottom w:val="single" w:color="000000" w:sz="4" w:space="0"/>
            </w:tcBorders>
            <w:tcW w:w="3118" w:type="dxa"/>
            <w:textDirection w:val="lrTb"/>
            <w:noWrap w:val="false"/>
          </w:tcPr>
          <w:p>
            <w:pPr>
              <w:pStyle w:val="940"/>
              <w:tabs>
                <w:tab w:val="left" w:pos="0" w:leader="none"/>
                <w:tab w:val="clear" w:pos="708" w:leader="none"/>
              </w:tabs>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2713" w:type="dxa"/>
            <w:textDirection w:val="lrTb"/>
            <w:noWrap w:val="false"/>
          </w:tcPr>
          <w:p>
            <w:pPr>
              <w:pStyle w:val="940"/>
              <w:tabs>
                <w:tab w:val="left" w:pos="0" w:leader="none"/>
                <w:tab w:val="clear" w:pos="708" w:leader="none"/>
              </w:tabs>
              <w:rPr>
                <w:iCs/>
              </w:rPr>
            </w:pPr>
            <w:r>
              <w:rPr>
                <w:iCs/>
              </w:rPr>
            </w:r>
            <w:r/>
          </w:p>
        </w:tc>
      </w:tr>
    </w:tbl>
    <w:p>
      <w:pPr>
        <w:pStyle w:val="940"/>
        <w:rPr>
          <w:lang w:val="en-US"/>
        </w:rPr>
      </w:pPr>
      <w:r>
        <w:rPr>
          <w:lang w:val="en-US"/>
        </w:rPr>
      </w:r>
      <w:r>
        <w:br w:type="page"/>
      </w:r>
      <w:r/>
    </w:p>
    <w:p>
      <w:pPr>
        <w:pStyle w:val="940"/>
        <w:rPr>
          <w:lang w:val="en-US"/>
        </w:rPr>
      </w:pPr>
      <w:r>
        <w:rPr>
          <w:lang w:val="en-US"/>
        </w:rPr>
      </w:r>
      <w:r/>
    </w:p>
    <w:p>
      <w:pPr>
        <w:pStyle w:val="941"/>
      </w:pPr>
      <w:r>
        <w:rPr>
          <w:rFonts w:ascii="Times New Roman" w:hAnsi="Times New Roman" w:cs="Times New Roman"/>
        </w:rPr>
        <w:t xml:space="preserve">Методический анализ результатов ЕГЭ</w:t>
        <w:br/>
      </w:r>
      <w:r>
        <w:rPr>
          <w:rStyle w:val="1378"/>
          <w:rFonts w:ascii="Times New Roman" w:hAnsi="Times New Roman" w:cs="Times New Roman"/>
          <w:b w:val="0"/>
          <w:bCs w:val="0"/>
          <w:sz w:val="32"/>
        </w:rPr>
        <w:t xml:space="preserve">по</w:t>
      </w:r>
      <w:r>
        <w:rPr>
          <w:rStyle w:val="1378"/>
          <w:rFonts w:ascii="Times New Roman" w:hAnsi="Times New Roman" w:cs="Times New Roman"/>
          <w:b w:val="0"/>
          <w:bCs w:val="0"/>
          <w:sz w:val="32"/>
          <w:lang w:val="ru-RU"/>
        </w:rPr>
        <w:t xml:space="preserve"> </w:t>
      </w:r>
      <w:r>
        <w:rPr>
          <w:rStyle w:val="1378"/>
          <w:rFonts w:ascii="Times New Roman" w:hAnsi="Times New Roman" w:cs="Times New Roman"/>
          <w:b w:val="0"/>
          <w:bCs w:val="0"/>
          <w:sz w:val="32"/>
          <w:u w:val="single"/>
          <w:lang w:val="ru-RU"/>
        </w:rPr>
        <w:t xml:space="preserve">Истории</w:t>
      </w:r>
      <w:r>
        <w:rPr>
          <w:rStyle w:val="1378"/>
          <w:rFonts w:ascii="Times New Roman" w:hAnsi="Times New Roman" w:cs="Times New Roman"/>
          <w:b w:val="0"/>
          <w:bCs w:val="0"/>
          <w:sz w:val="32"/>
          <w:u w:val="single"/>
        </w:rPr>
        <w:t xml:space="preserve"> </w:t>
      </w:r>
      <w:r>
        <w:rPr>
          <w:rStyle w:val="1378"/>
          <w:rFonts w:ascii="Times New Roman" w:hAnsi="Times New Roman" w:cs="Times New Roman"/>
          <w:b w:val="0"/>
          <w:bCs w:val="0"/>
          <w:sz w:val="32"/>
        </w:rPr>
        <w:br/>
      </w:r>
      <w:r>
        <w:rPr>
          <w:rStyle w:val="1378"/>
          <w:rFonts w:ascii="Times New Roman" w:hAnsi="Times New Roman" w:cs="Times New Roman"/>
          <w:b w:val="0"/>
          <w:bCs w:val="0"/>
          <w:sz w:val="24"/>
          <w:szCs w:val="22"/>
          <w:lang w:val="ru-RU"/>
        </w:rPr>
        <w:t xml:space="preserve">       </w:t>
      </w:r>
      <w:r>
        <w:rPr>
          <w:rStyle w:val="1378"/>
          <w:rFonts w:ascii="Times New Roman" w:hAnsi="Times New Roman" w:cs="Times New Roman"/>
          <w:b w:val="0"/>
          <w:bCs w:val="0"/>
          <w:sz w:val="24"/>
          <w:szCs w:val="22"/>
        </w:rPr>
        <w:t xml:space="preserve">(учебный предмет)</w:t>
      </w:r>
      <w:r/>
    </w:p>
    <w:p>
      <w:pPr>
        <w:pStyle w:val="940"/>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1. ХАРАКТЕРИСТИКА УЧАСТНИКОВ ЕГЭ</w:t>
        <w:br/>
        <w:t xml:space="preserve"> ПО УЧЕБНОМУ ПРЕДМЕТУ</w:t>
      </w:r>
      <w:r/>
    </w:p>
    <w:p>
      <w:pPr>
        <w:pStyle w:val="940"/>
        <w:jc w:val="both"/>
        <w:rPr>
          <w:b/>
          <w:bCs/>
          <w:sz w:val="28"/>
          <w:szCs w:val="28"/>
        </w:rPr>
      </w:pPr>
      <w:r>
        <w:rPr>
          <w:b/>
          <w:bCs/>
          <w:sz w:val="28"/>
          <w:szCs w:val="28"/>
        </w:rPr>
      </w:r>
      <w:r/>
    </w:p>
    <w:p>
      <w:pPr>
        <w:pStyle w:val="943"/>
        <w:tabs>
          <w:tab w:val="left" w:pos="142" w:leader="none"/>
          <w:tab w:val="clear" w:pos="708" w:leader="none"/>
        </w:tabs>
      </w:pPr>
      <w:r>
        <w:rPr>
          <w:rFonts w:ascii="Times New Roman" w:hAnsi="Times New Roman" w:cs="Times New Roman"/>
          <w:lang w:val="ru-RU"/>
        </w:rPr>
        <w:t xml:space="preserve">1.1. </w:t>
      </w:r>
      <w:r>
        <w:rPr>
          <w:rFonts w:ascii="Times New Roman" w:hAnsi="Times New Roman" w:cs="Times New Roman"/>
        </w:rPr>
        <w:t xml:space="preserve">Количество участников ЕГЭ по учебному предмету (за 3 года)</w:t>
      </w:r>
      <w:r/>
    </w:p>
    <w:p>
      <w:pPr>
        <w:pStyle w:val="1409"/>
        <w:keepNext/>
        <w:rPr>
          <w:b/>
          <w:lang w:val="en-US" w:eastAsia="en-US"/>
        </w:rPr>
      </w:pPr>
      <w:r>
        <w:t xml:space="preserve">Таблица 2</w:t>
        <w:noBreakHyphen/>
        <w:t xml:space="preserve">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17"/>
        <w:gridCol w:w="1841"/>
        <w:gridCol w:w="1558"/>
        <w:gridCol w:w="1841"/>
        <w:gridCol w:w="1415"/>
        <w:gridCol w:w="1587"/>
      </w:tblGrid>
      <w:tr>
        <w:trPr/>
        <w:tc>
          <w:tcPr>
            <w:gridSpan w:val="2"/>
            <w:tcBorders>
              <w:top w:val="single" w:color="000000" w:sz="4" w:space="0"/>
              <w:left w:val="single" w:color="000000" w:sz="4" w:space="0"/>
              <w:bottom w:val="single" w:color="000000" w:sz="4" w:space="0"/>
            </w:tcBorders>
            <w:tcW w:w="325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399"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002"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41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5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84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41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58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417" w:type="dxa"/>
            <w:textDirection w:val="lrTb"/>
            <w:noWrap w:val="false"/>
          </w:tcPr>
          <w:p>
            <w:pPr>
              <w:pStyle w:val="940"/>
              <w:ind w:right="-1" w:firstLine="0"/>
              <w:jc w:val="center"/>
              <w:spacing w:before="0" w:after="160" w:line="254" w:lineRule="auto"/>
              <w:rPr>
                <w:lang w:eastAsia="en-US"/>
              </w:rPr>
            </w:pPr>
            <w:r>
              <w:rPr>
                <w:lang w:eastAsia="en-US"/>
              </w:rPr>
              <w:t xml:space="preserve">729</w:t>
            </w:r>
            <w:r/>
          </w:p>
        </w:tc>
        <w:tc>
          <w:tcPr>
            <w:tcBorders>
              <w:top w:val="single" w:color="000000" w:sz="4" w:space="0"/>
              <w:left w:val="single" w:color="000000" w:sz="4" w:space="0"/>
              <w:bottom w:val="single" w:color="000000" w:sz="4" w:space="0"/>
            </w:tcBorders>
            <w:tcW w:w="1841" w:type="dxa"/>
            <w:textDirection w:val="lrTb"/>
            <w:noWrap w:val="false"/>
          </w:tcPr>
          <w:p>
            <w:pPr>
              <w:pStyle w:val="940"/>
              <w:ind w:right="-1" w:firstLine="0"/>
              <w:jc w:val="center"/>
              <w:spacing w:before="0" w:after="160" w:line="254" w:lineRule="auto"/>
              <w:rPr>
                <w:lang w:eastAsia="en-US"/>
              </w:rPr>
            </w:pPr>
            <w:r>
              <w:rPr>
                <w:lang w:eastAsia="en-US"/>
              </w:rPr>
              <w:t xml:space="preserve">16,9</w:t>
            </w:r>
            <w:r/>
          </w:p>
        </w:tc>
        <w:tc>
          <w:tcPr>
            <w:tcBorders>
              <w:top w:val="single" w:color="000000" w:sz="4" w:space="0"/>
              <w:left w:val="single" w:color="000000" w:sz="4" w:space="0"/>
              <w:bottom w:val="single" w:color="000000" w:sz="4" w:space="0"/>
            </w:tcBorders>
            <w:tcW w:w="1558" w:type="dxa"/>
            <w:vAlign w:val="bottom"/>
            <w:textDirection w:val="lrTb"/>
            <w:noWrap w:val="false"/>
          </w:tcPr>
          <w:p>
            <w:pPr>
              <w:pStyle w:val="940"/>
              <w:ind w:right="-1" w:firstLine="0"/>
              <w:jc w:val="center"/>
              <w:spacing w:before="0" w:after="160" w:line="254" w:lineRule="auto"/>
              <w:rPr>
                <w:lang w:eastAsia="en-US"/>
              </w:rPr>
            </w:pPr>
            <w:r>
              <w:rPr>
                <w:lang w:eastAsia="en-US"/>
              </w:rPr>
              <w:t xml:space="preserve">718</w:t>
            </w:r>
            <w:r/>
          </w:p>
        </w:tc>
        <w:tc>
          <w:tcPr>
            <w:tcBorders>
              <w:top w:val="single" w:color="000000" w:sz="4" w:space="0"/>
              <w:left w:val="single" w:color="000000" w:sz="4" w:space="0"/>
              <w:bottom w:val="single" w:color="000000" w:sz="4" w:space="0"/>
            </w:tcBorders>
            <w:tcW w:w="1841"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17,7</w:t>
            </w:r>
            <w:r/>
          </w:p>
        </w:tc>
        <w:tc>
          <w:tcPr>
            <w:tcBorders>
              <w:top w:val="single" w:color="000000" w:sz="4" w:space="0"/>
              <w:left w:val="single" w:color="000000" w:sz="4" w:space="0"/>
              <w:bottom w:val="single" w:color="000000" w:sz="4" w:space="0"/>
            </w:tcBorders>
            <w:tcW w:w="1415" w:type="dxa"/>
            <w:vAlign w:val="bottom"/>
            <w:textDirection w:val="lrTb"/>
            <w:noWrap w:val="false"/>
          </w:tcPr>
          <w:p>
            <w:pPr>
              <w:pStyle w:val="940"/>
              <w:jc w:val="center"/>
            </w:pPr>
            <w:r>
              <w:t xml:space="preserve">658</w:t>
            </w:r>
            <w:r/>
          </w:p>
        </w:tc>
        <w:tc>
          <w:tcPr>
            <w:tcBorders>
              <w:top w:val="single" w:color="000000" w:sz="4" w:space="0"/>
              <w:left w:val="single" w:color="000000" w:sz="4" w:space="0"/>
              <w:bottom w:val="single" w:color="000000" w:sz="4" w:space="0"/>
              <w:right w:val="single" w:color="000000" w:sz="4" w:space="0"/>
            </w:tcBorders>
            <w:tcW w:w="1587" w:type="dxa"/>
            <w:vAlign w:val="bottom"/>
            <w:textDirection w:val="lrTb"/>
            <w:noWrap w:val="false"/>
          </w:tcPr>
          <w:p>
            <w:pPr>
              <w:pStyle w:val="940"/>
              <w:jc w:val="center"/>
            </w:pPr>
            <w:r>
              <w:t xml:space="preserve">16,1</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lang w:val="ru-RU"/>
        </w:rPr>
        <w:t xml:space="preserve">1.2. </w:t>
      </w:r>
      <w:r>
        <w:rPr>
          <w:rFonts w:ascii="Times New Roman" w:hAnsi="Times New Roman" w:cs="Times New Roman"/>
        </w:rPr>
        <w:t xml:space="preserve">Процентное соотношение юношей и девушек, участвующих в ЕГЭ</w:t>
      </w:r>
      <w:r/>
    </w:p>
    <w:p>
      <w:pPr>
        <w:pStyle w:val="1409"/>
        <w:keepNext/>
        <w:rPr>
          <w:b/>
          <w:lang w:val="en-US" w:eastAsia="en-US"/>
        </w:rPr>
      </w:pPr>
      <w:r>
        <w:t xml:space="preserve">Таблица 2</w:t>
        <w:noBreakHyphen/>
        <w:t xml:space="preserve">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559"/>
        <w:gridCol w:w="1134"/>
        <w:gridCol w:w="1698"/>
        <w:gridCol w:w="1134"/>
        <w:gridCol w:w="1698"/>
        <w:gridCol w:w="706"/>
        <w:gridCol w:w="1730"/>
      </w:tblGrid>
      <w:tr>
        <w:trPr/>
        <w:tc>
          <w:tcPr>
            <w:tcBorders>
              <w:top w:val="single" w:color="000000" w:sz="4" w:space="0"/>
              <w:left w:val="single" w:color="000000" w:sz="4" w:space="0"/>
              <w:bottom w:val="single" w:color="000000" w:sz="4" w:space="0"/>
            </w:tcBorders>
            <w:tcW w:w="1559"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832"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832"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43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559"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13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70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73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559"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1134" w:type="dxa"/>
            <w:textDirection w:val="lrTb"/>
            <w:noWrap w:val="false"/>
          </w:tcPr>
          <w:p>
            <w:pPr>
              <w:pStyle w:val="940"/>
              <w:jc w:val="center"/>
              <w:spacing w:before="0" w:after="160" w:line="254" w:lineRule="auto"/>
              <w:rPr>
                <w:lang w:eastAsia="en-US"/>
              </w:rPr>
            </w:pPr>
            <w:r>
              <w:rPr>
                <w:lang w:eastAsia="en-US"/>
              </w:rPr>
              <w:t xml:space="preserve">427</w:t>
            </w:r>
            <w:r/>
          </w:p>
        </w:tc>
        <w:tc>
          <w:tcPr>
            <w:tcBorders>
              <w:top w:val="single" w:color="000000" w:sz="4" w:space="0"/>
              <w:left w:val="single" w:color="000000" w:sz="4" w:space="0"/>
              <w:bottom w:val="single" w:color="000000" w:sz="4" w:space="0"/>
            </w:tcBorders>
            <w:tcW w:w="1698" w:type="dxa"/>
            <w:textDirection w:val="lrTb"/>
            <w:noWrap w:val="false"/>
          </w:tcPr>
          <w:p>
            <w:pPr>
              <w:pStyle w:val="940"/>
              <w:jc w:val="center"/>
              <w:spacing w:before="0" w:after="160" w:line="254" w:lineRule="auto"/>
              <w:rPr>
                <w:lang w:eastAsia="en-US"/>
              </w:rPr>
            </w:pPr>
            <w:r>
              <w:rPr>
                <w:lang w:eastAsia="en-US"/>
              </w:rPr>
              <w:t xml:space="preserve">58,6</w:t>
            </w:r>
            <w:r/>
          </w:p>
        </w:tc>
        <w:tc>
          <w:tcPr>
            <w:tcBorders>
              <w:top w:val="single" w:color="000000" w:sz="4" w:space="0"/>
              <w:left w:val="single" w:color="000000" w:sz="4" w:space="0"/>
              <w:bottom w:val="single" w:color="000000" w:sz="4" w:space="0"/>
            </w:tcBorders>
            <w:tcW w:w="1134" w:type="dxa"/>
            <w:vAlign w:val="bottom"/>
            <w:textDirection w:val="lrTb"/>
            <w:noWrap w:val="false"/>
          </w:tcPr>
          <w:p>
            <w:pPr>
              <w:pStyle w:val="940"/>
              <w:jc w:val="center"/>
            </w:pPr>
            <w:r>
              <w:t xml:space="preserve">434</w:t>
            </w:r>
            <w:r/>
          </w:p>
        </w:tc>
        <w:tc>
          <w:tcPr>
            <w:tcBorders>
              <w:top w:val="single" w:color="000000" w:sz="4" w:space="0"/>
              <w:left w:val="single" w:color="000000" w:sz="4" w:space="0"/>
              <w:bottom w:val="single" w:color="000000" w:sz="4" w:space="0"/>
            </w:tcBorders>
            <w:tcW w:w="1698" w:type="dxa"/>
            <w:vAlign w:val="bottom"/>
            <w:textDirection w:val="lrTb"/>
            <w:noWrap w:val="false"/>
          </w:tcPr>
          <w:p>
            <w:pPr>
              <w:pStyle w:val="940"/>
              <w:jc w:val="center"/>
            </w:pPr>
            <w:r>
              <w:t xml:space="preserve">60,4</w:t>
            </w:r>
            <w:r/>
          </w:p>
        </w:tc>
        <w:tc>
          <w:tcPr>
            <w:tcBorders>
              <w:top w:val="single" w:color="000000" w:sz="4" w:space="0"/>
              <w:left w:val="single" w:color="000000" w:sz="4" w:space="0"/>
              <w:bottom w:val="single" w:color="000000" w:sz="4" w:space="0"/>
            </w:tcBorders>
            <w:tcW w:w="706" w:type="dxa"/>
            <w:vAlign w:val="bottom"/>
            <w:textDirection w:val="lrTb"/>
            <w:noWrap w:val="false"/>
          </w:tcPr>
          <w:p>
            <w:pPr>
              <w:pStyle w:val="940"/>
              <w:jc w:val="right"/>
            </w:pPr>
            <w:r>
              <w:t xml:space="preserve">401</w:t>
            </w:r>
            <w:r/>
          </w:p>
        </w:tc>
        <w:tc>
          <w:tcPr>
            <w:tcBorders>
              <w:top w:val="single" w:color="000000" w:sz="4" w:space="0"/>
              <w:left w:val="single" w:color="000000" w:sz="4" w:space="0"/>
              <w:bottom w:val="single" w:color="000000" w:sz="4" w:space="0"/>
              <w:right w:val="single" w:color="000000" w:sz="4" w:space="0"/>
            </w:tcBorders>
            <w:tcW w:w="1730" w:type="dxa"/>
            <w:vAlign w:val="bottom"/>
            <w:textDirection w:val="lrTb"/>
            <w:noWrap w:val="false"/>
          </w:tcPr>
          <w:p>
            <w:pPr>
              <w:pStyle w:val="940"/>
              <w:jc w:val="center"/>
            </w:pPr>
            <w:r>
              <w:t xml:space="preserve">60,9</w:t>
            </w:r>
            <w:r/>
          </w:p>
        </w:tc>
      </w:tr>
      <w:tr>
        <w:trPr/>
        <w:tc>
          <w:tcPr>
            <w:tcBorders>
              <w:top w:val="single" w:color="000000" w:sz="4" w:space="0"/>
              <w:left w:val="single" w:color="000000" w:sz="4" w:space="0"/>
              <w:bottom w:val="single" w:color="000000" w:sz="4" w:space="0"/>
            </w:tcBorders>
            <w:tcW w:w="1559"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1134" w:type="dxa"/>
            <w:textDirection w:val="lrTb"/>
            <w:noWrap w:val="false"/>
          </w:tcPr>
          <w:p>
            <w:pPr>
              <w:pStyle w:val="940"/>
              <w:jc w:val="center"/>
              <w:spacing w:before="0" w:after="160" w:line="254" w:lineRule="auto"/>
              <w:rPr>
                <w:lang w:eastAsia="en-US"/>
              </w:rPr>
            </w:pPr>
            <w:r>
              <w:rPr>
                <w:lang w:eastAsia="en-US"/>
              </w:rPr>
              <w:t xml:space="preserve">302</w:t>
            </w:r>
            <w:r/>
          </w:p>
        </w:tc>
        <w:tc>
          <w:tcPr>
            <w:tcBorders>
              <w:top w:val="single" w:color="000000" w:sz="4" w:space="0"/>
              <w:left w:val="single" w:color="000000" w:sz="4" w:space="0"/>
              <w:bottom w:val="single" w:color="000000" w:sz="4" w:space="0"/>
            </w:tcBorders>
            <w:tcW w:w="1698" w:type="dxa"/>
            <w:textDirection w:val="lrTb"/>
            <w:noWrap w:val="false"/>
          </w:tcPr>
          <w:p>
            <w:pPr>
              <w:pStyle w:val="940"/>
              <w:jc w:val="center"/>
              <w:spacing w:before="0" w:after="160" w:line="254" w:lineRule="auto"/>
              <w:rPr>
                <w:lang w:eastAsia="en-US"/>
              </w:rPr>
            </w:pPr>
            <w:r>
              <w:rPr>
                <w:lang w:eastAsia="en-US"/>
              </w:rPr>
              <w:t xml:space="preserve">41,4</w:t>
            </w:r>
            <w:r/>
          </w:p>
        </w:tc>
        <w:tc>
          <w:tcPr>
            <w:tcBorders>
              <w:top w:val="single" w:color="000000" w:sz="4" w:space="0"/>
              <w:left w:val="single" w:color="000000" w:sz="4" w:space="0"/>
              <w:bottom w:val="single" w:color="000000" w:sz="4" w:space="0"/>
            </w:tcBorders>
            <w:tcW w:w="1134" w:type="dxa"/>
            <w:vAlign w:val="bottom"/>
            <w:textDirection w:val="lrTb"/>
            <w:noWrap w:val="false"/>
          </w:tcPr>
          <w:p>
            <w:pPr>
              <w:pStyle w:val="940"/>
              <w:jc w:val="center"/>
            </w:pPr>
            <w:r>
              <w:t xml:space="preserve">284</w:t>
            </w:r>
            <w:r/>
          </w:p>
        </w:tc>
        <w:tc>
          <w:tcPr>
            <w:tcBorders>
              <w:top w:val="single" w:color="000000" w:sz="4" w:space="0"/>
              <w:left w:val="single" w:color="000000" w:sz="4" w:space="0"/>
              <w:bottom w:val="single" w:color="000000" w:sz="4" w:space="0"/>
            </w:tcBorders>
            <w:tcW w:w="1698" w:type="dxa"/>
            <w:vAlign w:val="bottom"/>
            <w:textDirection w:val="lrTb"/>
            <w:noWrap w:val="false"/>
          </w:tcPr>
          <w:p>
            <w:pPr>
              <w:pStyle w:val="940"/>
              <w:jc w:val="center"/>
            </w:pPr>
            <w:r>
              <w:t xml:space="preserve">39,6</w:t>
            </w:r>
            <w:r/>
          </w:p>
        </w:tc>
        <w:tc>
          <w:tcPr>
            <w:tcBorders>
              <w:top w:val="single" w:color="000000" w:sz="4" w:space="0"/>
              <w:left w:val="single" w:color="000000" w:sz="4" w:space="0"/>
              <w:bottom w:val="single" w:color="000000" w:sz="4" w:space="0"/>
            </w:tcBorders>
            <w:tcW w:w="706" w:type="dxa"/>
            <w:vAlign w:val="bottom"/>
            <w:textDirection w:val="lrTb"/>
            <w:noWrap w:val="false"/>
          </w:tcPr>
          <w:p>
            <w:pPr>
              <w:pStyle w:val="940"/>
              <w:jc w:val="right"/>
            </w:pPr>
            <w:r>
              <w:t xml:space="preserve">257</w:t>
            </w:r>
            <w:r/>
          </w:p>
        </w:tc>
        <w:tc>
          <w:tcPr>
            <w:tcBorders>
              <w:top w:val="single" w:color="000000" w:sz="4" w:space="0"/>
              <w:left w:val="single" w:color="000000" w:sz="4" w:space="0"/>
              <w:bottom w:val="single" w:color="000000" w:sz="4" w:space="0"/>
              <w:right w:val="single" w:color="000000" w:sz="4" w:space="0"/>
            </w:tcBorders>
            <w:tcW w:w="1730" w:type="dxa"/>
            <w:vAlign w:val="bottom"/>
            <w:textDirection w:val="lrTb"/>
            <w:noWrap w:val="false"/>
          </w:tcPr>
          <w:p>
            <w:pPr>
              <w:pStyle w:val="940"/>
              <w:jc w:val="center"/>
            </w:pPr>
            <w:r>
              <w:t xml:space="preserve">39,1</w:t>
            </w:r>
            <w:r/>
          </w:p>
        </w:tc>
      </w:tr>
    </w:tbl>
    <w:p>
      <w:pPr>
        <w:pStyle w:val="940"/>
      </w:pPr>
      <w:r/>
      <w:r/>
    </w:p>
    <w:p>
      <w:pPr>
        <w:pStyle w:val="943"/>
        <w:tabs>
          <w:tab w:val="left" w:pos="142" w:leader="none"/>
          <w:tab w:val="clear" w:pos="708" w:leader="none"/>
        </w:tabs>
      </w:pPr>
      <w:r>
        <w:rPr>
          <w:rFonts w:ascii="Times New Roman" w:hAnsi="Times New Roman" w:cs="Times New Roman" w:eastAsia="Times New Roman"/>
          <w:lang w:val="ru-RU"/>
        </w:rPr>
        <w:t xml:space="preserve">1.3. </w:t>
      </w:r>
      <w:r>
        <w:rPr>
          <w:rFonts w:ascii="Times New Roman" w:hAnsi="Times New Roman" w:cs="Times New Roman"/>
        </w:rPr>
        <w:t xml:space="preserve">Количество участников ЕГЭ в регионе по категориям </w:t>
      </w:r>
      <w:r/>
    </w:p>
    <w:p>
      <w:pPr>
        <w:pStyle w:val="1409"/>
        <w:keepNext/>
        <w:rPr>
          <w:b/>
        </w:rPr>
      </w:pPr>
      <w:r>
        <w:t xml:space="preserve">Таблица 2</w:t>
        <w:noBreakHyphen/>
        <w:t xml:space="preserve">3</w:t>
      </w:r>
      <w:r/>
    </w:p>
    <w:tbl>
      <w:tblPr>
        <w:tblW w:w="9643" w:type="dxa"/>
        <w:tblInd w:w="-5" w:type="dxa"/>
        <w:tblLayout w:type="fixed"/>
        <w:tblCellMar>
          <w:left w:w="108" w:type="dxa"/>
          <w:top w:w="0" w:type="dxa"/>
          <w:right w:w="108" w:type="dxa"/>
          <w:bottom w:w="0" w:type="dxa"/>
        </w:tblCellMar>
        <w:tblLook w:val="04A0" w:firstRow="1" w:lastRow="0" w:firstColumn="1" w:lastColumn="0" w:noHBand="0" w:noVBand="1"/>
      </w:tblPr>
      <w:tblGrid>
        <w:gridCol w:w="7231"/>
        <w:gridCol w:w="2412"/>
      </w:tblGrid>
      <w:tr>
        <w:trPr>
          <w:trHeight w:val="263"/>
        </w:trPr>
        <w:tc>
          <w:tcPr>
            <w:tcBorders>
              <w:top w:val="single" w:color="000000" w:sz="4" w:space="0"/>
              <w:left w:val="single" w:color="000000" w:sz="4" w:space="0"/>
              <w:bottom w:val="single" w:color="000000" w:sz="4" w:space="0"/>
            </w:tcBorders>
            <w:tcW w:w="7231"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658</w:t>
            </w:r>
            <w:r/>
          </w:p>
        </w:tc>
      </w:tr>
      <w:tr>
        <w:trPr>
          <w:trHeight w:val="519"/>
        </w:trPr>
        <w:tc>
          <w:tcPr>
            <w:tcBorders>
              <w:top w:val="single" w:color="000000" w:sz="4" w:space="0"/>
              <w:left w:val="single" w:color="000000" w:sz="4" w:space="0"/>
              <w:bottom w:val="single" w:color="000000" w:sz="4" w:space="0"/>
            </w:tcBorders>
            <w:tcW w:w="7231"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8"/>
              <w:t xml:space="preserve">*</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592</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52</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4</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3</w:t>
            </w:r>
            <w:r/>
          </w:p>
        </w:tc>
      </w:tr>
      <w:tr>
        <w:trPr>
          <w:trHeight w:val="263"/>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11</w:t>
            </w:r>
            <w:r/>
          </w:p>
        </w:tc>
      </w:tr>
      <w:tr>
        <w:trPr>
          <w:trHeight w:val="277"/>
        </w:trPr>
        <w:tc>
          <w:tcPr>
            <w:tcBorders>
              <w:top w:val="single" w:color="000000" w:sz="4" w:space="0"/>
              <w:left w:val="single" w:color="000000" w:sz="4" w:space="0"/>
              <w:bottom w:val="single" w:color="000000" w:sz="4" w:space="0"/>
            </w:tcBorders>
            <w:tcW w:w="723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412" w:type="dxa"/>
            <w:textDirection w:val="lrTb"/>
            <w:noWrap w:val="false"/>
          </w:tcPr>
          <w:p>
            <w:pPr>
              <w:pStyle w:val="940"/>
              <w:contextualSpacing/>
              <w:jc w:val="both"/>
              <w:spacing w:before="0" w:after="0"/>
            </w:pPr>
            <w:r>
              <w:t xml:space="preserve">-</w:t>
            </w:r>
            <w:r/>
          </w:p>
        </w:tc>
      </w:tr>
    </w:tbl>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3"/>
        <w:tabs>
          <w:tab w:val="left" w:pos="142" w:leader="none"/>
          <w:tab w:val="clear" w:pos="708" w:leader="none"/>
        </w:tabs>
      </w:pPr>
      <w:r>
        <w:rPr>
          <w:rFonts w:ascii="Times New Roman" w:hAnsi="Times New Roman" w:cs="Times New Roman" w:eastAsia="Times New Roman"/>
          <w:lang w:val="ru-RU"/>
        </w:rPr>
        <w:t xml:space="preserve">1.4. </w:t>
      </w:r>
      <w:r>
        <w:rPr>
          <w:rFonts w:ascii="Times New Roman" w:hAnsi="Times New Roman" w:cs="Times New Roman"/>
        </w:rPr>
        <w:t xml:space="preserve">Количество участников ЕГЭ по типам ОО </w:t>
      </w:r>
      <w:r/>
    </w:p>
    <w:p>
      <w:pPr>
        <w:pStyle w:val="1409"/>
        <w:keepNext/>
        <w:rPr>
          <w:b/>
        </w:rPr>
      </w:pPr>
      <w:r>
        <w:t xml:space="preserve">Таблица 2</w:t>
        <w:noBreakHyphen/>
        <w:t xml:space="preserve">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230"/>
        <w:gridCol w:w="2429"/>
      </w:tblGrid>
      <w:tr>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592</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107</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464</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2</w:t>
            </w:r>
            <w:r/>
          </w:p>
        </w:tc>
      </w:tr>
      <w:tr>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19</w:t>
            </w:r>
            <w:r/>
          </w:p>
        </w:tc>
      </w:tr>
    </w:tbl>
    <w:p>
      <w:pPr>
        <w:pStyle w:val="940"/>
      </w:pPr>
      <w:r/>
      <w:r/>
    </w:p>
    <w:p>
      <w:pPr>
        <w:pStyle w:val="943"/>
        <w:tabs>
          <w:tab w:val="left" w:pos="142" w:leader="none"/>
          <w:tab w:val="clear" w:pos="708" w:leader="none"/>
        </w:tabs>
      </w:pPr>
      <w:r>
        <w:rPr>
          <w:rFonts w:ascii="Times New Roman" w:hAnsi="Times New Roman" w:cs="Times New Roman"/>
          <w:lang w:val="ru-RU"/>
        </w:rPr>
        <w:t xml:space="preserve">1.5. </w:t>
      </w:r>
      <w:r>
        <w:rPr>
          <w:rFonts w:ascii="Times New Roman" w:hAnsi="Times New Roman" w:cs="Times New Roman"/>
        </w:rPr>
        <w:t xml:space="preserve">Количество участников ЕГЭ по предмету по АТЕ региона</w:t>
      </w:r>
      <w:r/>
    </w:p>
    <w:p>
      <w:pPr>
        <w:pStyle w:val="1409"/>
        <w:keepNext/>
        <w:rPr>
          <w:rFonts w:eastAsia="Times New Roman"/>
          <w:color w:val="000000"/>
        </w:rPr>
      </w:pPr>
      <w:r>
        <w:t xml:space="preserve">Таблица 2</w:t>
        <w:noBreakHyphen/>
        <w:t xml:space="preserve">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977"/>
        <w:gridCol w:w="3402"/>
        <w:gridCol w:w="3280"/>
      </w:tblGrid>
      <w:tr>
        <w:trPr>
          <w:trHeight w:val="630"/>
        </w:trPr>
        <w:tc>
          <w:tcPr>
            <w:shd w:val="clear" w:color="auto" w:fill="ffffff"/>
            <w:tcBorders>
              <w:top w:val="single" w:color="000000" w:sz="4" w:space="0"/>
              <w:left w:val="single" w:color="000000" w:sz="4" w:space="0"/>
              <w:bottom w:val="single" w:color="000000" w:sz="4" w:space="0"/>
            </w:tcBorders>
            <w:tcW w:w="2977"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истории</w:t>
            </w:r>
            <w:r/>
          </w:p>
        </w:tc>
        <w:tc>
          <w:tcPr>
            <w:shd w:val="clear" w:color="auto" w:fill="ffffff"/>
            <w:tcBorders>
              <w:top w:val="single" w:color="000000" w:sz="4" w:space="0"/>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327</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49,7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5,5</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4,7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4,7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20</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3,0</w:t>
            </w:r>
            <w:r/>
          </w:p>
        </w:tc>
      </w:tr>
      <w:tr>
        <w:trPr>
          <w:trHeight w:val="299"/>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19</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2,9</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3,5</w:t>
            </w:r>
            <w:r/>
          </w:p>
        </w:tc>
      </w:tr>
      <w:tr>
        <w:trPr>
          <w:trHeight w:val="366"/>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33</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5,0</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9</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1,4</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52</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7,9</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0,5</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11</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630"/>
        </w:trPr>
        <w:tc>
          <w:tcPr>
            <w:shd w:val="clear" w:color="auto" w:fill="ffffff"/>
            <w:tcBorders>
              <w:left w:val="single" w:color="000000" w:sz="4" w:space="0"/>
              <w:bottom w:val="single" w:color="000000" w:sz="4" w:space="0"/>
            </w:tcBorders>
            <w:tcW w:w="2977"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3280"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3"/>
        <w:jc w:val="both"/>
        <w:tabs>
          <w:tab w:val="left" w:pos="142" w:leader="none"/>
          <w:tab w:val="clear" w:pos="708" w:leader="none"/>
        </w:tabs>
      </w:pPr>
      <w:r>
        <w:rPr>
          <w:rFonts w:ascii="Times New Roman" w:hAnsi="Times New Roman" w:cs="Times New Roman"/>
          <w:lang w:val="ru-RU"/>
        </w:rPr>
        <w:t xml:space="preserve">1.6. </w:t>
      </w:r>
      <w:r>
        <w:rPr>
          <w:rFonts w:ascii="Times New Roman" w:hAnsi="Times New Roman" w:cs="Times New Roman"/>
        </w:rPr>
        <w:t xml:space="preserve">Основные УМК по предмету из федерального перечня Минпросвещения России, которые использовались в ОО в 2020-2021 учебном году. </w:t>
      </w:r>
      <w:r/>
    </w:p>
    <w:p>
      <w:pPr>
        <w:pStyle w:val="1409"/>
        <w:keepNext/>
        <w:rPr>
          <w:sz w:val="24"/>
          <w:szCs w:val="24"/>
        </w:rPr>
      </w:pPr>
      <w:r>
        <w:rPr>
          <w:sz w:val="24"/>
          <w:szCs w:val="24"/>
        </w:rPr>
        <w:t xml:space="preserve">Таблица 2</w:t>
        <w:noBreakHyphen/>
        <w:t xml:space="preserve">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851"/>
        <w:gridCol w:w="5592"/>
        <w:gridCol w:w="3216"/>
      </w:tblGrid>
      <w:tr>
        <w:trPr>
          <w:cantSplit/>
          <w:tblHeader/>
        </w:trPr>
        <w:tc>
          <w:tcPr>
            <w:tcBorders>
              <w:top w:val="single" w:color="000000" w:sz="4" w:space="0"/>
              <w:left w:val="single" w:color="000000" w:sz="4" w:space="0"/>
              <w:bottom w:val="single" w:color="000000" w:sz="4" w:space="0"/>
            </w:tcBorders>
            <w:tcW w:w="851" w:type="dxa"/>
            <w:vAlign w:val="center"/>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w:t>
            </w:r>
            <w:r>
              <w:rPr>
                <w:rFonts w:ascii="Times New Roman" w:hAnsi="Times New Roman" w:cs="Times New Roman" w:eastAsia="Times New Roman"/>
                <w:sz w:val="24"/>
                <w:szCs w:val="24"/>
              </w:rPr>
              <w:t xml:space="preserve"> </w:t>
            </w:r>
            <w:r>
              <w:rPr>
                <w:rFonts w:ascii="Times New Roman" w:hAnsi="Times New Roman" w:cs="Times New Roman"/>
                <w:sz w:val="24"/>
                <w:szCs w:val="24"/>
              </w:rPr>
              <w:t xml:space="preserve">п/п</w:t>
            </w:r>
            <w:r/>
          </w:p>
        </w:tc>
        <w:tc>
          <w:tcPr>
            <w:tcBorders>
              <w:top w:val="single" w:color="000000" w:sz="4" w:space="0"/>
              <w:left w:val="single" w:color="000000" w:sz="4" w:space="0"/>
              <w:bottom w:val="single" w:color="000000" w:sz="4" w:space="0"/>
            </w:tcBorders>
            <w:tcW w:w="559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УМК Всеобщая история О.С. Сороко-Цюпа (10-11), 2020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УМК История России под редакцией Торкунова              А.В./Горинов (10-11), 2017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22</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Всеобщая история: 11 класс: учебник для учащихся общеобразовательных учреждений / О.Ю. Пленков,  Т.П. Андреевская, С.В. Шевченко; под общ. ред. В.С. Мясникова. – М.: Вентана-Граф, 2014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14</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История России и мира ХХ-ХХI в. 11класс                    Л.Н. Алексашкина, А.А. Данилов, Л.Н. Косулина, изд. «Просвещение» 2013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11</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Волобуев О.В., Абрамов А.В., Карпачев С.П. и др. Россия в мире. С древнейших времен до начала XX века. 11 класс (базовый уровень). 2019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w:t>
            </w:r>
            <w:r/>
          </w:p>
        </w:tc>
      </w:tr>
      <w:tr>
        <w:trPr>
          <w:cantSplit/>
        </w:trPr>
        <w:tc>
          <w:tcPr>
            <w:tcBorders>
              <w:top w:val="single" w:color="000000" w:sz="4" w:space="0"/>
              <w:left w:val="single" w:color="000000" w:sz="4" w:space="0"/>
              <w:bottom w:val="single" w:color="000000" w:sz="4" w:space="0"/>
            </w:tcBorders>
            <w:tcW w:w="851" w:type="dxa"/>
            <w:textDirection w:val="lrTb"/>
            <w:noWrap w:val="false"/>
          </w:tcPr>
          <w:p>
            <w:pPr>
              <w:pStyle w:val="1400"/>
              <w:contextualSpacing/>
              <w:ind w:left="0" w:right="0" w:firstLine="0"/>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w:t>
            </w:r>
            <w:r/>
          </w:p>
        </w:tc>
        <w:tc>
          <w:tcPr>
            <w:tcBorders>
              <w:top w:val="single" w:color="000000" w:sz="4" w:space="0"/>
              <w:left w:val="single" w:color="000000" w:sz="4" w:space="0"/>
              <w:bottom w:val="single" w:color="000000" w:sz="4" w:space="0"/>
            </w:tcBorders>
            <w:tcW w:w="5592" w:type="dxa"/>
            <w:textDirection w:val="lrTb"/>
            <w:noWrap w:val="false"/>
          </w:tcPr>
          <w:p>
            <w:pPr>
              <w:pStyle w:val="940"/>
            </w:pPr>
            <w:r>
              <w:t xml:space="preserve">Улунян А. А., Сергеев Е. Ю./Под ред. Чубарьяна А.О. История. Всеобщая история. 11 класс. Базовый уровень. 2018 г.</w:t>
            </w:r>
            <w:r/>
          </w:p>
        </w:tc>
        <w:tc>
          <w:tcPr>
            <w:tcBorders>
              <w:top w:val="single" w:color="000000" w:sz="4" w:space="0"/>
              <w:left w:val="single" w:color="000000" w:sz="4" w:space="0"/>
              <w:bottom w:val="single" w:color="000000" w:sz="4" w:space="0"/>
              <w:right w:val="single" w:color="000000" w:sz="4" w:space="0"/>
            </w:tcBorders>
            <w:tcW w:w="321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27</w:t>
            </w:r>
            <w:r/>
          </w:p>
        </w:tc>
      </w:tr>
    </w:tbl>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940"/>
        <w:ind w:firstLine="708"/>
        <w:jc w:val="both"/>
      </w:pPr>
      <w:r>
        <w:t xml:space="preserve">Запланировано перейти:</w:t>
      </w:r>
      <w:r/>
    </w:p>
    <w:p>
      <w:pPr>
        <w:pStyle w:val="940"/>
        <w:ind w:firstLine="708"/>
        <w:jc w:val="both"/>
      </w:pPr>
      <w:r>
        <w:t xml:space="preserve">1. История. Всеобщая история. Новейшая история. 1914 —1945 гг. 10 кл. АО "Издательство "Просвещение". Сороко-Цюпа О.С., Сороко-Цюпа А.О., под редакцией Чубарьяна А.О.</w:t>
      </w:r>
      <w:r/>
    </w:p>
    <w:p>
      <w:pPr>
        <w:pStyle w:val="943"/>
        <w:jc w:val="both"/>
      </w:pPr>
      <w:r>
        <w:rPr>
          <w:rFonts w:ascii="Times New Roman" w:hAnsi="Times New Roman" w:cs="Times New Roman"/>
          <w:lang w:val="ru-RU"/>
        </w:rPr>
        <w:t xml:space="preserve">1.7. </w:t>
      </w:r>
      <w:r>
        <w:rPr>
          <w:rFonts w:ascii="Times New Roman" w:hAnsi="Times New Roman" w:cs="Times New Roman"/>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Доля участников ЕГЭ по истории по сравнению с 2020 годом уменьшилась на 1,</w:t>
      </w:r>
      <w:r>
        <w:t xml:space="preserve">6%. При этом наблюдается рост доли девушек как по отношению к юношам, так и по отношению к показателям 2020 и 2019гг. Если в 2019 году соотношение девушек и юношей составляло 58,6 % на 41,4%, то в 2021 году доля девушек составляет 60,9%, а юношей – 39,1%. </w:t>
      </w:r>
      <w:r/>
    </w:p>
    <w:p>
      <w:pPr>
        <w:pStyle w:val="940"/>
        <w:ind w:firstLine="708"/>
        <w:jc w:val="both"/>
      </w:pPr>
      <w:r>
        <w:t xml:space="preserve">90% сдавав</w:t>
      </w:r>
      <w:r>
        <w:t xml:space="preserve">ших ЕГЭ по истории составляют выпускники текущего года. Отмечается рост количества выпускников прошлых лет, а также экстернов. Количество обучающихся по программам СПО, а также лиц с ограниченными возможностями здоровья остается без значительных изменений.</w:t>
      </w:r>
      <w:r/>
    </w:p>
    <w:p>
      <w:pPr>
        <w:pStyle w:val="940"/>
        <w:ind w:firstLine="708"/>
        <w:jc w:val="both"/>
      </w:pPr>
      <w:r>
        <w:t xml:space="preserve">Среди сдававших ЕГЭ по истории большинство составляют выпускники СОШ, поскольку это преобладающий тип образовательных организаций в регионе. </w:t>
      </w:r>
      <w:r/>
    </w:p>
    <w:p>
      <w:pPr>
        <w:pStyle w:val="940"/>
        <w:ind w:firstLine="708"/>
        <w:jc w:val="both"/>
      </w:pPr>
      <w:r>
        <w:t xml:space="preserve">Как и в прошлые годы, историю выбирают больше выпускников из сельских районов. Заметное уменьшение количества участников, выбравших историю, наблюдается среди выпускников Харабалинского района: с 8,6% в 2020 году на 5,0% в 2021 году.</w:t>
      </w:r>
      <w:r/>
    </w:p>
    <w:p>
      <w:pPr>
        <w:pStyle w:val="940"/>
        <w:jc w:val="both"/>
      </w:pPr>
      <w:r/>
      <w:r/>
    </w:p>
    <w:p>
      <w:pPr>
        <w:pStyle w:val="940"/>
        <w:jc w:val="both"/>
      </w:pPr>
      <w:r/>
      <w:r/>
    </w:p>
    <w:p>
      <w:pPr>
        <w:pStyle w:val="940"/>
        <w:jc w:val="both"/>
      </w:pPr>
      <w:r/>
      <w:r/>
    </w:p>
    <w:p>
      <w:pPr>
        <w:pStyle w:val="940"/>
        <w:jc w:val="both"/>
        <w:spacing w:line="360" w:lineRule="auto"/>
      </w:pPr>
      <w:r/>
      <w:r/>
    </w:p>
    <w:p>
      <w:pPr>
        <w:pStyle w:val="942"/>
        <w:jc w:val="center"/>
      </w:p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2.  ОСНОВНЫЕ РЕЗУЛЬТАТЫ ЕГЭ ПО ПРЕДМЕТУ</w:t>
      </w:r>
      <w:r/>
    </w:p>
    <w:p>
      <w:pPr>
        <w:pStyle w:val="940"/>
        <w:jc w:val="center"/>
        <w:rPr>
          <w:b/>
          <w:sz w:val="28"/>
        </w:rPr>
      </w:pPr>
      <w:r>
        <w:rPr>
          <w:b/>
          <w:sz w:val="28"/>
        </w:rPr>
        <w:t xml:space="preserve">«История»</w:t>
      </w:r>
      <w:r/>
    </w:p>
    <w:p>
      <w:pPr>
        <w:pStyle w:val="1400"/>
        <w:numPr>
          <w:ilvl w:val="0"/>
          <w:numId w:val="39"/>
        </w:numPr>
        <w:contextualSpacing/>
        <w:ind w:left="0" w:right="0" w:firstLine="0"/>
        <w:keepLines/>
        <w:keepNext/>
        <w:spacing w:before="200" w:after="0" w:line="240" w:lineRule="auto"/>
        <w:rPr>
          <w:rFonts w:ascii="Times New Roman" w:hAnsi="Times New Roman" w:cs="Times New Roman" w:eastAsia="SimSun;宋体"/>
          <w:b/>
          <w:vanish/>
          <w:sz w:val="28"/>
          <w:szCs w:val="24"/>
          <w:lang w:eastAsia="ru-RU"/>
        </w:rPr>
      </w:pPr>
      <w:r>
        <w:rPr>
          <w:rFonts w:ascii="Times New Roman" w:hAnsi="Times New Roman" w:cs="Times New Roman" w:eastAsia="SimSun;宋体"/>
          <w:b/>
          <w:vanish/>
          <w:sz w:val="28"/>
          <w:szCs w:val="24"/>
          <w:lang w:eastAsia="ru-RU"/>
        </w:rPr>
      </w:r>
      <w:r/>
    </w:p>
    <w:p>
      <w:pPr>
        <w:pStyle w:val="943"/>
        <w:jc w:val="both"/>
        <w:tabs>
          <w:tab w:val="left" w:pos="142" w:leader="none"/>
          <w:tab w:val="clear" w:pos="708" w:leader="none"/>
        </w:tabs>
      </w:pPr>
      <w:r>
        <w:rPr>
          <w:rFonts w:ascii="Times New Roman" w:hAnsi="Times New Roman" w:cs="Times New Roman"/>
          <w:lang w:val="ru-RU"/>
        </w:rPr>
        <w:t xml:space="preserve">2.1. </w:t>
      </w:r>
      <w:r>
        <w:rPr>
          <w:rFonts w:ascii="Times New Roman" w:hAnsi="Times New Roman" w:cs="Times New Roman"/>
        </w:rPr>
        <w:t xml:space="preserve">Диаграмма распределения тестовых баллов </w:t>
      </w:r>
      <w:r>
        <w:rPr>
          <w:rFonts w:ascii="Times New Roman" w:hAnsi="Times New Roman" w:cs="Times New Roman"/>
          <w:lang w:val="ru-RU"/>
        </w:rPr>
        <w:t xml:space="preserve">участников ЕГЭ </w:t>
      </w:r>
      <w:r>
        <w:rPr>
          <w:rFonts w:ascii="Times New Roman" w:hAnsi="Times New Roman" w:cs="Times New Roman"/>
        </w:rPr>
        <w:t xml:space="preserve">по предмету</w:t>
      </w:r>
      <w:r>
        <w:rPr>
          <w:rFonts w:ascii="Times New Roman" w:hAnsi="Times New Roman" w:cs="Times New Roman"/>
          <w:lang w:val="ru-RU"/>
        </w:rPr>
        <w:t xml:space="preserve"> </w:t>
      </w:r>
      <w:r>
        <w:rPr>
          <w:rFonts w:ascii="Times New Roman" w:hAnsi="Times New Roman" w:cs="Times New Roman"/>
        </w:rPr>
        <w:t xml:space="preserve">в</w:t>
      </w:r>
      <w:r>
        <w:rPr>
          <w:rFonts w:ascii="Times New Roman" w:hAnsi="Times New Roman" w:cs="Times New Roman"/>
          <w:lang w:val="ru-RU"/>
        </w:rPr>
        <w:t xml:space="preserve"> </w:t>
      </w:r>
      <w:r>
        <w:rPr>
          <w:rFonts w:ascii="Times New Roman" w:hAnsi="Times New Roman" w:cs="Times New Roman"/>
        </w:rPr>
        <w:t xml:space="preserve">2021</w:t>
      </w:r>
      <w:r>
        <w:rPr>
          <w:rFonts w:ascii="Times New Roman" w:hAnsi="Times New Roman" w:cs="Times New Roman"/>
          <w:lang w:val="ru-RU"/>
        </w:rPr>
        <w:t xml:space="preserve"> </w:t>
      </w:r>
      <w:r>
        <w:rPr>
          <w:rFonts w:ascii="Times New Roman" w:hAnsi="Times New Roman" w:cs="Times New Roman"/>
        </w:rPr>
        <w:t xml:space="preserve">г.</w:t>
      </w:r>
      <w:r/>
    </w:p>
    <w:p>
      <w:pPr>
        <w:pStyle w:val="943"/>
        <w:jc w:val="both"/>
        <w:tabs>
          <w:tab w:val="left" w:pos="142" w:leader="none"/>
          <w:tab w:val="clear" w:pos="708" w:leader="none"/>
        </w:tabs>
        <w:rPr>
          <w:rFonts w:ascii="Times New Roman" w:hAnsi="Times New Roman" w:cs="Times New Roman"/>
          <w:b w:val="0"/>
          <w:i/>
          <w:sz w:val="24"/>
        </w:rPr>
      </w:pPr>
      <w:r>
        <w:rPr>
          <w:rFonts w:ascii="Times New Roman" w:hAnsi="Times New Roman" w:cs="Times New Roman"/>
          <w:b w:val="0"/>
          <w:i/>
          <w:sz w:val="24"/>
        </w:rPr>
        <w:t xml:space="preserve">(количество участников, получивших тот или иной тестовый балл)</w:t>
      </w:r>
      <w:r/>
    </w:p>
    <w:p>
      <w:pPr>
        <w:pStyle w:val="940"/>
        <w:rPr>
          <w:b/>
          <w:i/>
        </w:rPr>
      </w:pPr>
      <w:r>
        <w:rPr>
          <w:b/>
          <w:i/>
        </w:rPr>
      </w:r>
      <w:r/>
    </w:p>
    <w:p>
      <w:pPr>
        <w:pStyle w:val="940"/>
        <w:jc w:val="center"/>
        <w:rPr>
          <w:rFonts w:eastAsia="Times New Roman"/>
        </w:rPr>
      </w:pPr>
      <w:r>
        <w:rPr>
          <w:lang w:val="en-US" w:eastAsia="en-US"/>
        </w:rPr>
        <mc:AlternateContent>
          <mc:Choice Requires="wpg">
            <w:drawing>
              <wp:inline xmlns:wp="http://schemas.openxmlformats.org/drawingml/2006/wordprocessingDrawing" distT="0" distB="0" distL="0" distR="0">
                <wp:extent cx="6014085" cy="2127250"/>
                <wp:effectExtent l="0" t="0" r="0" b="0"/>
                <wp:docPr id="14" name="Image9"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hidden="0"/>
                        <pic:cNvPicPr>
                          <a:picLocks noChangeAspect="1"/>
                        </pic:cNvPicPr>
                        <pic:nvPr isPhoto="0" userDrawn="0"/>
                      </pic:nvPicPr>
                      <pic:blipFill>
                        <a:blip r:embed="rId31"/>
                        <a:srcRect l="0" t="8477" r="0" b="0"/>
                        <a:stretch/>
                      </pic:blipFill>
                      <pic:spPr bwMode="auto">
                        <a:xfrm>
                          <a:off x="0" y="0"/>
                          <a:ext cx="6014085" cy="212725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73.5pt;height:167.5pt;" strokecolor="#000000" strokeweight="0.75pt">
                <v:path textboxrect="0,0,0,0"/>
                <v:imagedata r:id="rId31" o:title=""/>
              </v:shape>
            </w:pict>
          </mc:Fallback>
        </mc:AlternateContent>
      </w:r>
      <w:r/>
    </w:p>
    <w:p>
      <w:pPr>
        <w:pStyle w:val="943"/>
        <w:tabs>
          <w:tab w:val="left" w:pos="142" w:leader="none"/>
          <w:tab w:val="clear" w:pos="708" w:leader="none"/>
        </w:tabs>
      </w:pPr>
      <w:r>
        <w:rPr>
          <w:rFonts w:ascii="Times New Roman" w:hAnsi="Times New Roman" w:cs="Times New Roman" w:eastAsia="Times New Roman"/>
          <w:lang w:val="ru-RU"/>
        </w:rPr>
        <w:t xml:space="preserve"> </w:t>
      </w:r>
      <w:r>
        <w:rPr>
          <w:rFonts w:ascii="Times New Roman" w:hAnsi="Times New Roman" w:cs="Times New Roman" w:eastAsia="Times New Roman"/>
          <w:lang w:val="ru-RU"/>
        </w:rPr>
        <w:t xml:space="preserve">2.2. </w:t>
      </w:r>
      <w:r>
        <w:rPr>
          <w:rFonts w:ascii="Times New Roman" w:hAnsi="Times New Roman" w:cs="Times New Roman"/>
        </w:rPr>
        <w:t xml:space="preserve">Динамика результатов ЕГЭ по предмету за последние 3 года</w:t>
      </w:r>
      <w:r/>
    </w:p>
    <w:p>
      <w:pPr>
        <w:pStyle w:val="1409"/>
        <w:keepNext/>
        <w:rPr>
          <w:rFonts w:eastAsia="MS Mincho;ＭＳ 明朝"/>
        </w:rPr>
      </w:pPr>
      <w:r>
        <w:t xml:space="preserve">Таблица 2</w:t>
        <w:noBreakHyphen/>
        <w:t xml:space="preserve">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687"/>
        <w:gridCol w:w="1650"/>
        <w:gridCol w:w="1799"/>
        <w:gridCol w:w="1523"/>
      </w:tblGrid>
      <w:tr>
        <w:trPr>
          <w:cantSplit/>
          <w:trHeight w:val="322"/>
          <w:tblHeader/>
        </w:trPr>
        <w:tc>
          <w:tcPr>
            <w:tcBorders>
              <w:top w:val="single" w:color="000000" w:sz="4" w:space="0"/>
              <w:left w:val="single" w:color="000000" w:sz="4" w:space="0"/>
              <w:bottom w:val="single" w:color="000000" w:sz="4" w:space="0"/>
            </w:tcBorders>
            <w:tcW w:w="4687"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972"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48"/>
          <w:tblHeader/>
        </w:trPr>
        <w:tc>
          <w:tcPr>
            <w:tcBorders>
              <w:top w:val="single" w:color="000000" w:sz="4" w:space="0"/>
              <w:left w:val="single" w:color="000000" w:sz="4" w:space="0"/>
              <w:bottom w:val="single" w:color="000000" w:sz="4" w:space="0"/>
            </w:tcBorders>
            <w:tcW w:w="4687"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650"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799"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523"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33"/>
        </w:trPr>
        <w:tc>
          <w:tcPr>
            <w:tcBorders>
              <w:top w:val="single" w:color="000000" w:sz="4" w:space="0"/>
              <w:left w:val="single" w:color="000000" w:sz="4" w:space="0"/>
              <w:bottom w:val="single" w:color="000000" w:sz="4" w:space="0"/>
            </w:tcBorders>
            <w:tcW w:w="4687"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650" w:type="dxa"/>
            <w:vAlign w:val="center"/>
            <w:textDirection w:val="lrTb"/>
            <w:noWrap w:val="false"/>
          </w:tcPr>
          <w:p>
            <w:pPr>
              <w:pStyle w:val="940"/>
              <w:jc w:val="center"/>
              <w:rPr>
                <w:color w:val="000000"/>
              </w:rPr>
            </w:pPr>
            <w:r>
              <w:rPr>
                <w:color w:val="000000"/>
              </w:rPr>
              <w:t xml:space="preserve">6,0</w:t>
            </w:r>
            <w:r/>
          </w:p>
        </w:tc>
        <w:tc>
          <w:tcPr>
            <w:tcBorders>
              <w:top w:val="single" w:color="000000" w:sz="4" w:space="0"/>
              <w:left w:val="single" w:color="000000" w:sz="4" w:space="0"/>
              <w:bottom w:val="single" w:color="000000" w:sz="4" w:space="0"/>
            </w:tcBorders>
            <w:tcW w:w="1799" w:type="dxa"/>
            <w:vAlign w:val="center"/>
            <w:textDirection w:val="lrTb"/>
            <w:noWrap w:val="false"/>
          </w:tcPr>
          <w:p>
            <w:pPr>
              <w:pStyle w:val="940"/>
              <w:jc w:val="center"/>
              <w:rPr>
                <w:color w:val="000000"/>
              </w:rPr>
            </w:pPr>
            <w:r>
              <w:rPr>
                <w:color w:val="000000"/>
              </w:rPr>
              <w:t xml:space="preserve">9,7</w:t>
            </w:r>
            <w:r/>
          </w:p>
        </w:tc>
        <w:tc>
          <w:tcPr>
            <w:tcBorders>
              <w:top w:val="single" w:color="000000" w:sz="4" w:space="0"/>
              <w:left w:val="single" w:color="000000" w:sz="4" w:space="0"/>
              <w:bottom w:val="single" w:color="000000" w:sz="4" w:space="0"/>
              <w:right w:val="single" w:color="000000" w:sz="4" w:space="0"/>
            </w:tcBorders>
            <w:tcW w:w="1523" w:type="dxa"/>
            <w:textDirection w:val="lrTb"/>
            <w:noWrap w:val="false"/>
          </w:tcPr>
          <w:p>
            <w:pPr>
              <w:pStyle w:val="940"/>
              <w:jc w:val="center"/>
            </w:pPr>
            <w:r>
              <w:t xml:space="preserve">7,6</w:t>
            </w:r>
            <w:r/>
          </w:p>
        </w:tc>
      </w:tr>
      <w:tr>
        <w:trPr>
          <w:cantSplit/>
          <w:trHeight w:val="338"/>
        </w:trPr>
        <w:tc>
          <w:tcPr>
            <w:tcBorders>
              <w:top w:val="single" w:color="000000" w:sz="4" w:space="0"/>
              <w:left w:val="single" w:color="000000" w:sz="4" w:space="0"/>
              <w:bottom w:val="single" w:color="000000" w:sz="4" w:space="0"/>
            </w:tcBorders>
            <w:tcW w:w="4687"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650" w:type="dxa"/>
            <w:vAlign w:val="center"/>
            <w:textDirection w:val="lrTb"/>
            <w:noWrap w:val="false"/>
          </w:tcPr>
          <w:p>
            <w:pPr>
              <w:pStyle w:val="940"/>
              <w:jc w:val="center"/>
              <w:rPr>
                <w:color w:val="000000"/>
              </w:rPr>
            </w:pPr>
            <w:r>
              <w:rPr>
                <w:color w:val="000000"/>
              </w:rPr>
              <w:t xml:space="preserve">53,8</w:t>
            </w:r>
            <w:r/>
          </w:p>
        </w:tc>
        <w:tc>
          <w:tcPr>
            <w:tcBorders>
              <w:left w:val="single" w:color="000000" w:sz="4" w:space="0"/>
              <w:bottom w:val="single" w:color="000000" w:sz="4" w:space="0"/>
            </w:tcBorders>
            <w:tcW w:w="1799" w:type="dxa"/>
            <w:vAlign w:val="center"/>
            <w:textDirection w:val="lrTb"/>
            <w:noWrap w:val="false"/>
          </w:tcPr>
          <w:p>
            <w:pPr>
              <w:pStyle w:val="940"/>
              <w:jc w:val="center"/>
              <w:rPr>
                <w:color w:val="000000"/>
              </w:rPr>
            </w:pPr>
            <w:r>
              <w:rPr>
                <w:color w:val="000000"/>
              </w:rPr>
              <w:t xml:space="preserve">53,2</w:t>
            </w:r>
            <w:r/>
          </w:p>
        </w:tc>
        <w:tc>
          <w:tcPr>
            <w:tcBorders>
              <w:top w:val="single" w:color="000000" w:sz="4" w:space="0"/>
              <w:left w:val="single" w:color="000000" w:sz="4" w:space="0"/>
              <w:bottom w:val="single" w:color="000000" w:sz="4" w:space="0"/>
              <w:right w:val="single" w:color="000000" w:sz="4" w:space="0"/>
            </w:tcBorders>
            <w:tcW w:w="1523" w:type="dxa"/>
            <w:textDirection w:val="lrTb"/>
            <w:noWrap w:val="false"/>
          </w:tcPr>
          <w:p>
            <w:pPr>
              <w:pStyle w:val="940"/>
              <w:jc w:val="center"/>
            </w:pPr>
            <w:r>
              <w:t xml:space="preserve">52,5</w:t>
            </w:r>
            <w:r/>
          </w:p>
        </w:tc>
      </w:tr>
      <w:tr>
        <w:trPr>
          <w:cantSplit/>
          <w:trHeight w:val="322"/>
        </w:trPr>
        <w:tc>
          <w:tcPr>
            <w:tcBorders>
              <w:top w:val="single" w:color="000000" w:sz="4" w:space="0"/>
              <w:left w:val="single" w:color="000000" w:sz="4" w:space="0"/>
              <w:bottom w:val="single" w:color="000000" w:sz="4" w:space="0"/>
            </w:tcBorders>
            <w:tcW w:w="4687"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650" w:type="dxa"/>
            <w:vAlign w:val="center"/>
            <w:textDirection w:val="lrTb"/>
            <w:noWrap w:val="false"/>
          </w:tcPr>
          <w:p>
            <w:pPr>
              <w:pStyle w:val="940"/>
              <w:jc w:val="center"/>
              <w:rPr>
                <w:color w:val="000000"/>
              </w:rPr>
            </w:pPr>
            <w:r>
              <w:rPr>
                <w:color w:val="000000"/>
              </w:rPr>
              <w:t xml:space="preserve">6,6</w:t>
            </w:r>
            <w:r/>
          </w:p>
        </w:tc>
        <w:tc>
          <w:tcPr>
            <w:tcBorders>
              <w:left w:val="single" w:color="000000" w:sz="4" w:space="0"/>
              <w:bottom w:val="single" w:color="000000" w:sz="4" w:space="0"/>
            </w:tcBorders>
            <w:tcW w:w="1799" w:type="dxa"/>
            <w:vAlign w:val="center"/>
            <w:textDirection w:val="lrTb"/>
            <w:noWrap w:val="false"/>
          </w:tcPr>
          <w:p>
            <w:pPr>
              <w:pStyle w:val="940"/>
              <w:jc w:val="center"/>
              <w:rPr>
                <w:color w:val="000000"/>
              </w:rPr>
            </w:pPr>
            <w:r>
              <w:rPr>
                <w:color w:val="000000"/>
              </w:rPr>
              <w:t xml:space="preserve">10,4</w:t>
            </w:r>
            <w:r/>
          </w:p>
        </w:tc>
        <w:tc>
          <w:tcPr>
            <w:tcBorders>
              <w:top w:val="single" w:color="000000" w:sz="4" w:space="0"/>
              <w:left w:val="single" w:color="000000" w:sz="4" w:space="0"/>
              <w:bottom w:val="single" w:color="000000" w:sz="4" w:space="0"/>
              <w:right w:val="single" w:color="000000" w:sz="4" w:space="0"/>
            </w:tcBorders>
            <w:tcW w:w="1523" w:type="dxa"/>
            <w:textDirection w:val="lrTb"/>
            <w:noWrap w:val="false"/>
          </w:tcPr>
          <w:p>
            <w:pPr>
              <w:pStyle w:val="940"/>
              <w:jc w:val="center"/>
            </w:pPr>
            <w:r>
              <w:t xml:space="preserve">9,1</w:t>
            </w:r>
            <w:r/>
          </w:p>
        </w:tc>
      </w:tr>
      <w:tr>
        <w:trPr>
          <w:cantSplit/>
          <w:trHeight w:val="322"/>
        </w:trPr>
        <w:tc>
          <w:tcPr>
            <w:tcBorders>
              <w:top w:val="single" w:color="000000" w:sz="4" w:space="0"/>
              <w:left w:val="single" w:color="000000" w:sz="4" w:space="0"/>
              <w:bottom w:val="single" w:color="000000" w:sz="4" w:space="0"/>
            </w:tcBorders>
            <w:tcW w:w="4687"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650" w:type="dxa"/>
            <w:vAlign w:val="center"/>
            <w:textDirection w:val="lrTb"/>
            <w:noWrap w:val="false"/>
          </w:tcPr>
          <w:p>
            <w:pPr>
              <w:pStyle w:val="940"/>
              <w:jc w:val="center"/>
              <w:rPr>
                <w:color w:val="000000"/>
              </w:rPr>
            </w:pPr>
            <w:r>
              <w:rPr>
                <w:color w:val="000000"/>
              </w:rPr>
              <w:t xml:space="preserve">1</w:t>
            </w:r>
            <w:r/>
          </w:p>
        </w:tc>
        <w:tc>
          <w:tcPr>
            <w:tcBorders>
              <w:left w:val="single" w:color="000000" w:sz="4" w:space="0"/>
              <w:bottom w:val="single" w:color="000000" w:sz="4" w:space="0"/>
            </w:tcBorders>
            <w:tcW w:w="1799" w:type="dxa"/>
            <w:vAlign w:val="center"/>
            <w:textDirection w:val="lrTb"/>
            <w:noWrap w:val="false"/>
          </w:tcPr>
          <w:p>
            <w:pPr>
              <w:pStyle w:val="940"/>
              <w:jc w:val="center"/>
              <w:rPr>
                <w:color w:val="000000"/>
              </w:rPr>
            </w:pPr>
            <w:r>
              <w:rPr>
                <w:color w:val="000000"/>
              </w:rPr>
              <w:t xml:space="preserve">1</w:t>
            </w:r>
            <w:r/>
          </w:p>
        </w:tc>
        <w:tc>
          <w:tcPr>
            <w:tcBorders>
              <w:top w:val="single" w:color="000000" w:sz="4" w:space="0"/>
              <w:left w:val="single" w:color="000000" w:sz="4" w:space="0"/>
              <w:bottom w:val="single" w:color="000000" w:sz="4" w:space="0"/>
              <w:right w:val="single" w:color="000000" w:sz="4" w:space="0"/>
            </w:tcBorders>
            <w:tcW w:w="1523" w:type="dxa"/>
            <w:textDirection w:val="lrTb"/>
            <w:noWrap w:val="false"/>
          </w:tcPr>
          <w:p>
            <w:pPr>
              <w:pStyle w:val="940"/>
              <w:jc w:val="center"/>
            </w:pPr>
            <w:r>
              <w:t xml:space="preserve">1</w:t>
            </w:r>
            <w:r/>
          </w:p>
        </w:tc>
      </w:tr>
    </w:tbl>
    <w:p>
      <w:pPr>
        <w:pStyle w:val="940"/>
        <w:jc w:val="both"/>
        <w:tabs>
          <w:tab w:val="clear" w:pos="708" w:leader="none"/>
          <w:tab w:val="left" w:pos="709" w:leader="none"/>
        </w:tabs>
      </w:pPr>
      <w:r/>
      <w:r/>
    </w:p>
    <w:p>
      <w:pPr>
        <w:pStyle w:val="943"/>
        <w:tabs>
          <w:tab w:val="left" w:pos="142" w:leader="none"/>
          <w:tab w:val="clear" w:pos="708" w:leader="none"/>
        </w:tabs>
      </w:pPr>
      <w:r>
        <w:rPr>
          <w:rFonts w:ascii="Times New Roman" w:hAnsi="Times New Roman" w:cs="Times New Roman"/>
          <w:lang w:val="ru-RU"/>
        </w:rPr>
        <w:t xml:space="preserve">2.3. </w:t>
      </w:r>
      <w:r>
        <w:rPr>
          <w:rFonts w:ascii="Times New Roman" w:hAnsi="Times New Roman" w:cs="Times New Roman"/>
        </w:rPr>
        <w:t xml:space="preserve">Результаты по группам участников экзамена с различным уровнем подготовки:</w:t>
      </w:r>
      <w:r/>
    </w:p>
    <w:p>
      <w:pPr>
        <w:pStyle w:val="943"/>
        <w:ind w:left="567" w:firstLine="0"/>
      </w:pPr>
      <w:r>
        <w:rPr>
          <w:rFonts w:ascii="Times New Roman" w:hAnsi="Times New Roman" w:cs="Times New Roman"/>
          <w:bCs w:val="0"/>
          <w:lang w:val="ru-RU"/>
        </w:rPr>
        <w:t xml:space="preserve">2.3.1.</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категорий</w:t>
      </w:r>
      <w:r>
        <w:rPr>
          <w:rFonts w:ascii="Times New Roman" w:hAnsi="Times New Roman" w:cs="Times New Roman"/>
          <w:b w:val="0"/>
          <w:bCs w:val="0"/>
          <w:lang w:val="ru-RU"/>
        </w:rPr>
        <w:t xml:space="preserve"> </w:t>
      </w:r>
      <w:r>
        <w:rPr>
          <w:rFonts w:ascii="Times New Roman" w:hAnsi="Times New Roman" w:cs="Times New Roman"/>
          <w:b w:val="0"/>
          <w:bCs w:val="0"/>
        </w:rPr>
        <w:t xml:space="preserve">участников ЕГЭ </w:t>
      </w:r>
      <w:r/>
    </w:p>
    <w:p>
      <w:pPr>
        <w:pStyle w:val="1409"/>
        <w:keepNext/>
        <w:rPr>
          <w:sz w:val="24"/>
          <w:szCs w:val="24"/>
        </w:rPr>
      </w:pPr>
      <w:r>
        <w:rPr>
          <w:sz w:val="24"/>
          <w:szCs w:val="24"/>
        </w:rPr>
        <w:t xml:space="preserve">Таблица 2</w:t>
        <w:noBreakHyphen/>
        <w:t xml:space="preserve">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398"/>
        <w:gridCol w:w="1257"/>
        <w:gridCol w:w="1118"/>
        <w:gridCol w:w="1256"/>
        <w:gridCol w:w="1257"/>
        <w:gridCol w:w="1257"/>
        <w:gridCol w:w="1096"/>
        <w:gridCol w:w="1020"/>
      </w:tblGrid>
      <w:tr>
        <w:trPr>
          <w:cantSplit/>
          <w:trHeight w:val="1052"/>
          <w:tblHeader/>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256"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5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rPr>
              <w:t xml:space="preserve">6,4</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pPr>
            <w:r>
              <w:rPr>
                <w:rFonts w:ascii="Times New Roman" w:hAnsi="Times New Roman" w:cs="Times New Roman"/>
                <w:sz w:val="24"/>
                <w:szCs w:val="24"/>
                <w:lang w:val="en-US"/>
              </w:rPr>
              <w:t xml:space="preserve">0</w:t>
            </w: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19,2</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18,2</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1096"/>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63,2</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66,7</w:t>
            </w:r>
            <w:r/>
          </w:p>
        </w:tc>
        <w:tc>
          <w:tcPr>
            <w:tcBorders>
              <w:top w:val="single" w:color="000000" w:sz="4" w:space="0"/>
              <w:left w:val="single" w:color="000000" w:sz="4" w:space="0"/>
              <w:bottom w:val="single" w:color="000000" w:sz="4" w:space="0"/>
            </w:tcBorders>
            <w:tcW w:w="12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57,7</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75,0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81,8</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811"/>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20,8</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2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15,4</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824"/>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9,5</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2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7,7</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0,0</w:t>
            </w:r>
            <w:r/>
          </w:p>
        </w:tc>
      </w:tr>
      <w:tr>
        <w:trPr>
          <w:cantSplit/>
          <w:trHeight w:val="541"/>
        </w:trPr>
        <w:tc>
          <w:tcPr>
            <w:tcBorders>
              <w:top w:val="single" w:color="000000" w:sz="4" w:space="0"/>
              <w:left w:val="single" w:color="000000" w:sz="4" w:space="0"/>
              <w:bottom w:val="single" w:color="000000" w:sz="4" w:space="0"/>
            </w:tcBorders>
            <w:tcW w:w="1398"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w:t>
            </w:r>
            <w:r/>
          </w:p>
        </w:tc>
        <w:tc>
          <w:tcPr>
            <w:tcBorders>
              <w:top w:val="single" w:color="000000" w:sz="4" w:space="0"/>
              <w:left w:val="single" w:color="000000" w:sz="4" w:space="0"/>
              <w:bottom w:val="single" w:color="000000" w:sz="4" w:space="0"/>
            </w:tcBorders>
            <w:tcW w:w="111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2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25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09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right w:val="single" w:color="000000" w:sz="4" w:space="0"/>
            </w:tcBorders>
            <w:tcW w:w="102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r>
    </w:tbl>
    <w:p>
      <w:pPr>
        <w:pStyle w:val="940"/>
      </w:pPr>
      <w:r/>
      <w:r/>
    </w:p>
    <w:p>
      <w:pPr>
        <w:pStyle w:val="943"/>
        <w:ind w:left="567" w:firstLine="0"/>
      </w:pPr>
      <w:r>
        <w:rPr>
          <w:rFonts w:ascii="Times New Roman" w:hAnsi="Times New Roman" w:cs="Times New Roman"/>
          <w:bCs w:val="0"/>
          <w:lang w:val="ru-RU"/>
        </w:rPr>
        <w:t xml:space="preserve">2.3.2.</w:t>
      </w:r>
      <w:r>
        <w:rPr>
          <w:rFonts w:ascii="Times New Roman" w:hAnsi="Times New Roman" w:cs="Times New Roman"/>
          <w:b w:val="0"/>
          <w:bCs w:val="0"/>
          <w:lang w:val="ru-RU"/>
        </w:rPr>
        <w:t xml:space="preserve"> </w:t>
      </w:r>
      <w:r>
        <w:rPr>
          <w:rFonts w:ascii="Times New Roman" w:hAnsi="Times New Roman" w:cs="Times New Roman"/>
          <w:b w:val="0"/>
          <w:bCs w:val="0"/>
        </w:rPr>
        <w:t xml:space="preserve">в разрезе типа ОО</w:t>
      </w:r>
      <w:r/>
    </w:p>
    <w:p>
      <w:pPr>
        <w:pStyle w:val="1409"/>
        <w:keepNext/>
      </w:pPr>
      <w:r/>
      <w:r/>
    </w:p>
    <w:p>
      <w:pPr>
        <w:pStyle w:val="1409"/>
        <w:keepNext/>
        <w:rPr>
          <w:rFonts w:eastAsia="Times New Roman"/>
        </w:rPr>
      </w:pPr>
      <w:r>
        <w:t xml:space="preserve">Таблица 2</w:t>
        <w:noBreakHyphen/>
        <w:t xml:space="preserve">9</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949"/>
        <w:gridCol w:w="1654"/>
        <w:gridCol w:w="1654"/>
        <w:gridCol w:w="1453"/>
        <w:gridCol w:w="1453"/>
        <w:gridCol w:w="1598"/>
      </w:tblGrid>
      <w:tr>
        <w:trPr>
          <w:trHeight w:val="326"/>
        </w:trPr>
        <w:tc>
          <w:tcPr>
            <w:tcBorders>
              <w:top w:val="single" w:color="000000" w:sz="4" w:space="0"/>
              <w:left w:val="single" w:color="000000" w:sz="4" w:space="0"/>
              <w:bottom w:val="single" w:color="000000" w:sz="4" w:space="0"/>
            </w:tcBorders>
            <w:tcW w:w="1949"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1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98"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26"/>
        </w:trPr>
        <w:tc>
          <w:tcPr>
            <w:tcBorders>
              <w:top w:val="single" w:color="000000" w:sz="4" w:space="0"/>
              <w:left w:val="single" w:color="000000" w:sz="4" w:space="0"/>
              <w:bottom w:val="single" w:color="000000" w:sz="4" w:space="0"/>
            </w:tcBorders>
            <w:tcW w:w="1949"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5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5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98" w:type="dxa"/>
            <w:vAlign w:val="bottom"/>
            <w:vMerge w:val="continue"/>
            <w:textDirection w:val="lrTb"/>
            <w:noWrap w:val="false"/>
          </w:tcPr>
          <w:p>
            <w:pPr>
              <w:pStyle w:val="940"/>
              <w:rPr>
                <w:rFonts w:eastAsia="Times New Roman"/>
              </w:rPr>
            </w:pPr>
            <w:r>
              <w:rPr>
                <w:rFonts w:eastAsia="Times New Roman"/>
              </w:rPr>
            </w:r>
            <w:r/>
          </w:p>
        </w:tc>
      </w:tr>
      <w:tr>
        <w:trPr>
          <w:trHeight w:val="305"/>
        </w:trPr>
        <w:tc>
          <w:tcPr>
            <w:tcBorders>
              <w:left w:val="single" w:color="000000" w:sz="4" w:space="0"/>
              <w:bottom w:val="single" w:color="000000" w:sz="4" w:space="0"/>
            </w:tcBorders>
            <w:tcW w:w="1949" w:type="dxa"/>
            <w:vAlign w:val="bottom"/>
            <w:textDirection w:val="lrTb"/>
            <w:noWrap w:val="false"/>
          </w:tcPr>
          <w:p>
            <w:pPr>
              <w:pStyle w:val="940"/>
              <w:rPr>
                <w:rFonts w:eastAsia="Times New Roman"/>
              </w:rPr>
            </w:pPr>
            <w:r>
              <w:rPr>
                <w:rFonts w:eastAsia="Times New Roman"/>
              </w:rPr>
              <w:t xml:space="preserve">СОШ</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7,8</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66,2</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18,8</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7,3</w:t>
            </w:r>
            <w:r/>
          </w:p>
        </w:tc>
        <w:tc>
          <w:tcPr>
            <w:tcBorders>
              <w:top w:val="single" w:color="000000" w:sz="4" w:space="0"/>
              <w:left w:val="single" w:color="000000" w:sz="4" w:space="0"/>
              <w:bottom w:val="single" w:color="000000" w:sz="4" w:space="0"/>
              <w:right w:val="single" w:color="000000" w:sz="4" w:space="0"/>
            </w:tcBorders>
            <w:tcW w:w="1598" w:type="dxa"/>
            <w:vAlign w:val="bottom"/>
            <w:textDirection w:val="lrTb"/>
            <w:noWrap w:val="false"/>
          </w:tcPr>
          <w:p>
            <w:pPr>
              <w:pStyle w:val="940"/>
              <w:jc w:val="center"/>
              <w:rPr>
                <w:color w:val="000000"/>
              </w:rPr>
            </w:pPr>
            <w:r>
              <w:rPr>
                <w:color w:val="000000"/>
              </w:rPr>
              <w:t xml:space="preserve">0</w:t>
            </w:r>
            <w:r/>
          </w:p>
        </w:tc>
      </w:tr>
      <w:tr>
        <w:trPr>
          <w:trHeight w:val="326"/>
        </w:trPr>
        <w:tc>
          <w:tcPr>
            <w:tcBorders>
              <w:left w:val="single" w:color="000000" w:sz="4" w:space="0"/>
              <w:bottom w:val="single" w:color="000000" w:sz="4" w:space="0"/>
            </w:tcBorders>
            <w:tcW w:w="1949" w:type="dxa"/>
            <w:vAlign w:val="bottom"/>
            <w:textDirection w:val="lrTb"/>
            <w:noWrap w:val="false"/>
          </w:tcPr>
          <w:p>
            <w:pPr>
              <w:pStyle w:val="940"/>
              <w:rPr>
                <w:rFonts w:eastAsia="Times New Roman"/>
              </w:rPr>
            </w:pPr>
            <w:r>
              <w:rPr>
                <w:rFonts w:eastAsia="Times New Roman"/>
              </w:rPr>
              <w:t xml:space="preserve">Лицеи, гимназии</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0,9</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50,5</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30,8</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16,8</w:t>
            </w:r>
            <w:r/>
          </w:p>
        </w:tc>
        <w:tc>
          <w:tcPr>
            <w:tcBorders>
              <w:top w:val="single" w:color="000000" w:sz="4" w:space="0"/>
              <w:left w:val="single" w:color="000000" w:sz="4" w:space="0"/>
              <w:bottom w:val="single" w:color="000000" w:sz="4" w:space="0"/>
              <w:right w:val="single" w:color="000000" w:sz="4" w:space="0"/>
            </w:tcBorders>
            <w:tcW w:w="1598" w:type="dxa"/>
            <w:vAlign w:val="bottom"/>
            <w:textDirection w:val="lrTb"/>
            <w:noWrap w:val="false"/>
          </w:tcPr>
          <w:p>
            <w:pPr>
              <w:pStyle w:val="940"/>
              <w:jc w:val="center"/>
              <w:rPr>
                <w:color w:val="000000"/>
              </w:rPr>
            </w:pPr>
            <w:r>
              <w:rPr>
                <w:color w:val="000000"/>
              </w:rPr>
              <w:t xml:space="preserve">1</w:t>
            </w:r>
            <w:r/>
          </w:p>
        </w:tc>
      </w:tr>
      <w:tr>
        <w:trPr>
          <w:trHeight w:val="326"/>
        </w:trPr>
        <w:tc>
          <w:tcPr>
            <w:tcBorders>
              <w:left w:val="single" w:color="000000" w:sz="4" w:space="0"/>
              <w:bottom w:val="single" w:color="000000" w:sz="4" w:space="0"/>
            </w:tcBorders>
            <w:tcW w:w="1949" w:type="dxa"/>
            <w:vAlign w:val="bottom"/>
            <w:textDirection w:val="lrTb"/>
            <w:noWrap w:val="false"/>
          </w:tcPr>
          <w:p>
            <w:pPr>
              <w:pStyle w:val="940"/>
              <w:rPr>
                <w:rFonts w:eastAsia="Times New Roman"/>
              </w:rPr>
            </w:pPr>
            <w:r>
              <w:rPr>
                <w:rFonts w:eastAsia="Times New Roman"/>
              </w:rPr>
              <w:t xml:space="preserve">О(c)ОШ</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50,0</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right w:val="single" w:color="000000" w:sz="4" w:space="0"/>
            </w:tcBorders>
            <w:tcW w:w="1598" w:type="dxa"/>
            <w:vAlign w:val="bottom"/>
            <w:textDirection w:val="lrTb"/>
            <w:noWrap w:val="false"/>
          </w:tcPr>
          <w:p>
            <w:pPr>
              <w:pStyle w:val="940"/>
              <w:jc w:val="center"/>
              <w:rPr>
                <w:color w:val="000000"/>
              </w:rPr>
            </w:pPr>
            <w:r>
              <w:rPr>
                <w:color w:val="000000"/>
              </w:rPr>
              <w:t xml:space="preserve">0</w:t>
            </w:r>
            <w:r/>
          </w:p>
        </w:tc>
      </w:tr>
      <w:tr>
        <w:trPr>
          <w:trHeight w:val="326"/>
        </w:trPr>
        <w:tc>
          <w:tcPr>
            <w:tcBorders>
              <w:left w:val="single" w:color="000000" w:sz="4" w:space="0"/>
              <w:bottom w:val="single" w:color="000000" w:sz="4" w:space="0"/>
            </w:tcBorders>
            <w:tcW w:w="1949"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63,2</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15,8</w:t>
            </w:r>
            <w:r/>
          </w:p>
        </w:tc>
        <w:tc>
          <w:tcPr>
            <w:tcBorders>
              <w:top w:val="single" w:color="000000" w:sz="4" w:space="0"/>
              <w:left w:val="single" w:color="000000" w:sz="4" w:space="0"/>
              <w:bottom w:val="single" w:color="000000" w:sz="4" w:space="0"/>
            </w:tcBorders>
            <w:tcW w:w="1453" w:type="dxa"/>
            <w:vAlign w:val="bottom"/>
            <w:textDirection w:val="lrTb"/>
            <w:noWrap w:val="false"/>
          </w:tcPr>
          <w:p>
            <w:pPr>
              <w:pStyle w:val="940"/>
              <w:jc w:val="center"/>
              <w:rPr>
                <w:color w:val="000000"/>
              </w:rPr>
            </w:pPr>
            <w:r>
              <w:rPr>
                <w:color w:val="000000"/>
              </w:rPr>
              <w:t xml:space="preserve">21,1</w:t>
            </w:r>
            <w:r/>
          </w:p>
        </w:tc>
        <w:tc>
          <w:tcPr>
            <w:tcBorders>
              <w:top w:val="single" w:color="000000" w:sz="4" w:space="0"/>
              <w:left w:val="single" w:color="000000" w:sz="4" w:space="0"/>
              <w:bottom w:val="single" w:color="000000" w:sz="4" w:space="0"/>
              <w:right w:val="single" w:color="000000" w:sz="4" w:space="0"/>
            </w:tcBorders>
            <w:tcW w:w="1598" w:type="dxa"/>
            <w:vAlign w:val="bottom"/>
            <w:textDirection w:val="lrTb"/>
            <w:noWrap w:val="false"/>
          </w:tcPr>
          <w:p>
            <w:pPr>
              <w:pStyle w:val="940"/>
              <w:jc w:val="center"/>
              <w:rPr>
                <w:color w:val="000000"/>
              </w:rPr>
            </w:pPr>
            <w:r>
              <w:rPr>
                <w:color w:val="000000"/>
              </w:rPr>
              <w:t xml:space="preserve">0</w:t>
            </w:r>
            <w:r/>
          </w:p>
        </w:tc>
      </w:tr>
    </w:tbl>
    <w:p>
      <w:pPr>
        <w:pStyle w:val="940"/>
      </w:pPr>
      <w:r/>
      <w:r/>
    </w:p>
    <w:p>
      <w:pPr>
        <w:pStyle w:val="943"/>
        <w:ind w:left="567" w:firstLine="0"/>
      </w:pPr>
      <w:r>
        <w:rPr>
          <w:rFonts w:ascii="Times New Roman" w:hAnsi="Times New Roman" w:cs="Times New Roman"/>
          <w:bCs w:val="0"/>
          <w:lang w:val="ru-RU"/>
        </w:rPr>
        <w:t xml:space="preserve">2.3.3.</w:t>
      </w:r>
      <w:r>
        <w:rPr>
          <w:rFonts w:ascii="Times New Roman" w:hAnsi="Times New Roman" w:cs="Times New Roman"/>
          <w:b w:val="0"/>
          <w:bCs w:val="0"/>
          <w:lang w:val="ru-RU"/>
        </w:rPr>
        <w:t xml:space="preserve"> </w:t>
      </w:r>
      <w:r>
        <w:rPr>
          <w:rFonts w:ascii="Times New Roman" w:hAnsi="Times New Roman" w:cs="Times New Roman"/>
          <w:b w:val="0"/>
          <w:bCs w:val="0"/>
        </w:rPr>
        <w:t xml:space="preserve">основные результаты ЕГЭ по предмету в сравнении по АТЕ</w:t>
      </w:r>
      <w:r/>
    </w:p>
    <w:p>
      <w:pPr>
        <w:pStyle w:val="1409"/>
        <w:keepNext/>
        <w:rPr>
          <w:rFonts w:eastAsia="Times New Roman"/>
        </w:rPr>
      </w:pPr>
      <w:r>
        <w:t xml:space="preserve">Таблица 2</w:t>
        <w:noBreakHyphen/>
        <w:t xml:space="preserve">10</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893"/>
        <w:gridCol w:w="1609"/>
        <w:gridCol w:w="1609"/>
        <w:gridCol w:w="1583"/>
        <w:gridCol w:w="1415"/>
        <w:gridCol w:w="1657"/>
      </w:tblGrid>
      <w:tr>
        <w:trPr>
          <w:trHeight w:val="237"/>
        </w:trPr>
        <w:tc>
          <w:tcPr>
            <w:tcBorders>
              <w:top w:val="single" w:color="000000" w:sz="4" w:space="0"/>
              <w:left w:val="single" w:color="000000" w:sz="4" w:space="0"/>
              <w:bottom w:val="single" w:color="000000" w:sz="4" w:space="0"/>
            </w:tcBorders>
            <w:tcW w:w="1893"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16" w:type="dxa"/>
            <w:vAlign w:val="bottom"/>
            <w:textDirection w:val="lrTb"/>
            <w:noWrap w:val="false"/>
          </w:tcPr>
          <w:p>
            <w:pPr>
              <w:pStyle w:val="940"/>
              <w:jc w:val="center"/>
              <w:tabs>
                <w:tab w:val="clear" w:pos="708" w:leader="none"/>
                <w:tab w:val="left" w:pos="6129" w:leader="none"/>
              </w:tabs>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57"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37"/>
        </w:trPr>
        <w:tc>
          <w:tcPr>
            <w:tcBorders>
              <w:top w:val="single" w:color="000000" w:sz="4" w:space="0"/>
              <w:left w:val="single" w:color="000000" w:sz="4" w:space="0"/>
              <w:bottom w:val="single" w:color="000000" w:sz="4" w:space="0"/>
            </w:tcBorders>
            <w:tcW w:w="1893"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57" w:type="dxa"/>
            <w:vAlign w:val="bottom"/>
            <w:vMerge w:val="continue"/>
            <w:textDirection w:val="lrTb"/>
            <w:noWrap w:val="false"/>
          </w:tcPr>
          <w:p>
            <w:pPr>
              <w:pStyle w:val="940"/>
              <w:rPr>
                <w:rFonts w:eastAsia="Times New Roman"/>
              </w:rPr>
            </w:pPr>
            <w:r>
              <w:rPr>
                <w:rFonts w:eastAsia="Times New Roman"/>
              </w:rPr>
            </w:r>
            <w:r/>
          </w:p>
        </w:tc>
      </w:tr>
      <w:tr>
        <w:trPr>
          <w:trHeight w:val="222"/>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5,2</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63,9</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21,1</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9,5</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1</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19,4</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61,1</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8,3</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6,3</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56,3</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18,8</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18,8</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16,1</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54,8</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22,6</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6,5</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63,6</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18,2</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18,2</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5,6</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61,1</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67,7</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25,8</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6,5</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5,6</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70,0</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10,0</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10,0</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5,3</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63,2</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15,8</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15,8</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4,3</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56,5</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26,1</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13,0</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63,6</w:t>
            </w:r>
            <w:r/>
          </w:p>
        </w:tc>
        <w:tc>
          <w:tcPr>
            <w:tcBorders>
              <w:left w:val="single" w:color="000000" w:sz="4" w:space="0"/>
              <w:bottom w:val="single" w:color="000000" w:sz="4" w:space="0"/>
            </w:tcBorders>
            <w:tcW w:w="1583" w:type="dxa"/>
            <w:vAlign w:val="bottom"/>
            <w:textDirection w:val="lrTb"/>
            <w:noWrap w:val="false"/>
          </w:tcPr>
          <w:p>
            <w:pPr>
              <w:pStyle w:val="940"/>
              <w:jc w:val="center"/>
            </w:pPr>
            <w:r>
              <w:rPr>
                <w:rFonts w:eastAsia="Times New Roman"/>
              </w:rPr>
              <w:t xml:space="preserve">30,3</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6,1</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22,2</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19,2</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57,7</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15,4</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7,7</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93"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18,2</w:t>
            </w:r>
            <w:r/>
          </w:p>
        </w:tc>
        <w:tc>
          <w:tcPr>
            <w:tcBorders>
              <w:left w:val="single" w:color="000000" w:sz="4" w:space="0"/>
              <w:bottom w:val="single" w:color="000000" w:sz="4" w:space="0"/>
            </w:tcBorders>
            <w:tcW w:w="1609" w:type="dxa"/>
            <w:vAlign w:val="bottom"/>
            <w:textDirection w:val="lrTb"/>
            <w:noWrap w:val="false"/>
          </w:tcPr>
          <w:p>
            <w:pPr>
              <w:pStyle w:val="940"/>
              <w:jc w:val="center"/>
              <w:rPr>
                <w:rFonts w:eastAsia="Times New Roman"/>
              </w:rPr>
            </w:pPr>
            <w:r>
              <w:rPr>
                <w:rFonts w:eastAsia="Times New Roman"/>
              </w:rPr>
              <w:t xml:space="preserve">81,8</w:t>
            </w:r>
            <w:r/>
          </w:p>
        </w:tc>
        <w:tc>
          <w:tcPr>
            <w:tcBorders>
              <w:left w:val="single" w:color="000000" w:sz="4" w:space="0"/>
              <w:bottom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15"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57"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pPr>
      <w:r/>
      <w:r/>
    </w:p>
    <w:p>
      <w:pPr>
        <w:pStyle w:val="943"/>
        <w:jc w:val="both"/>
        <w:tabs>
          <w:tab w:val="left" w:pos="142" w:leader="none"/>
          <w:tab w:val="clear" w:pos="708" w:leader="none"/>
        </w:tabs>
      </w:pPr>
      <w:r>
        <w:rPr>
          <w:rFonts w:ascii="Times New Roman" w:hAnsi="Times New Roman" w:cs="Times New Roman"/>
          <w:lang w:val="ru-RU"/>
        </w:rPr>
        <w:t xml:space="preserve">2.4. </w:t>
      </w:r>
      <w:r>
        <w:rPr>
          <w:rFonts w:ascii="Times New Roman" w:hAnsi="Times New Roman" w:cs="Times New Roman"/>
        </w:rPr>
        <w:t xml:space="preserve">Выделение перечня ОО, продемонстрировавших наиболее высокие и низкие результаты ЕГЭ по предмету</w:t>
      </w:r>
      <w:r/>
    </w:p>
    <w:p>
      <w:pPr>
        <w:pStyle w:val="943"/>
        <w:ind w:left="567" w:firstLine="0"/>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1409"/>
        <w:keepNext/>
      </w:pPr>
      <w:r>
        <w:t xml:space="preserve">Таблица 2</w:t>
        <w:noBreakHyphen/>
        <w:t xml:space="preserve">11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0"/>
        <w:gridCol w:w="3768"/>
        <w:gridCol w:w="1557"/>
        <w:gridCol w:w="1627"/>
        <w:gridCol w:w="1977"/>
      </w:tblGrid>
      <w:tr>
        <w:trPr>
          <w:trHeight w:val="1410"/>
        </w:trPr>
        <w:tc>
          <w:tcPr>
            <w:tcBorders>
              <w:top w:val="single" w:color="000000" w:sz="4" w:space="0"/>
              <w:left w:val="single" w:color="000000" w:sz="4" w:space="0"/>
              <w:bottom w:val="single" w:color="000000" w:sz="4" w:space="0"/>
            </w:tcBorders>
            <w:tcW w:w="730" w:type="dxa"/>
            <w:textDirection w:val="lrTb"/>
            <w:noWrap w:val="false"/>
          </w:tcPr>
          <w:p>
            <w:pPr>
              <w:pStyle w:val="940"/>
              <w:rPr>
                <w:bCs/>
              </w:rPr>
            </w:pPr>
            <w:r>
              <w:rPr>
                <w:bCs/>
              </w:rPr>
              <w:t xml:space="preserve">№</w:t>
            </w:r>
            <w:r/>
          </w:p>
        </w:tc>
        <w:tc>
          <w:tcPr>
            <w:tcBorders>
              <w:top w:val="single" w:color="000000" w:sz="4" w:space="0"/>
              <w:left w:val="single" w:color="000000" w:sz="4" w:space="0"/>
              <w:bottom w:val="single" w:color="000000" w:sz="4" w:space="0"/>
            </w:tcBorders>
            <w:tcW w:w="3768" w:type="dxa"/>
            <w:textDirection w:val="lrTb"/>
            <w:noWrap w:val="false"/>
          </w:tcPr>
          <w:p>
            <w:pPr>
              <w:pStyle w:val="940"/>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557" w:type="dxa"/>
            <w:textDirection w:val="lrTb"/>
            <w:noWrap w:val="false"/>
          </w:tcPr>
          <w:p>
            <w:pPr>
              <w:pStyle w:val="940"/>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627" w:type="dxa"/>
            <w:textDirection w:val="lrTb"/>
            <w:noWrap w:val="false"/>
          </w:tcPr>
          <w:p>
            <w:pPr>
              <w:pStyle w:val="940"/>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977" w:type="dxa"/>
            <w:textDirection w:val="lrTb"/>
            <w:noWrap w:val="false"/>
          </w:tcPr>
          <w:p>
            <w:pPr>
              <w:pStyle w:val="940"/>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730" w:type="dxa"/>
            <w:textDirection w:val="lrTb"/>
            <w:noWrap w:val="false"/>
          </w:tcPr>
          <w:p>
            <w:pPr>
              <w:pStyle w:val="940"/>
              <w:jc w:val="both"/>
            </w:pPr>
            <w:r>
              <w:t xml:space="preserve">1</w:t>
            </w:r>
            <w:r/>
          </w:p>
        </w:tc>
        <w:tc>
          <w:tcPr>
            <w:tcBorders>
              <w:top w:val="single" w:color="000000" w:sz="4" w:space="0"/>
              <w:left w:val="single" w:color="000000" w:sz="4" w:space="0"/>
              <w:bottom w:val="single" w:color="000000" w:sz="4" w:space="0"/>
            </w:tcBorders>
            <w:tcW w:w="3768" w:type="dxa"/>
            <w:textDirection w:val="lrTb"/>
            <w:noWrap w:val="false"/>
          </w:tcPr>
          <w:p>
            <w:pPr>
              <w:pStyle w:val="940"/>
            </w:pPr>
            <w:r>
              <w:t xml:space="preserve">МБОУ г. Астрахани "Гимназия №3"</w:t>
            </w:r>
            <w:r/>
          </w:p>
        </w:tc>
        <w:tc>
          <w:tcPr>
            <w:tcBorders>
              <w:top w:val="single" w:color="000000" w:sz="4" w:space="0"/>
              <w:left w:val="single" w:color="000000" w:sz="4" w:space="0"/>
              <w:bottom w:val="single" w:color="000000" w:sz="4" w:space="0"/>
            </w:tcBorders>
            <w:tcW w:w="1557" w:type="dxa"/>
            <w:textDirection w:val="lrTb"/>
            <w:noWrap w:val="false"/>
          </w:tcPr>
          <w:p>
            <w:pPr>
              <w:pStyle w:val="940"/>
            </w:pPr>
            <w:r>
              <w:t xml:space="preserve">18,2</w:t>
            </w:r>
            <w:r/>
          </w:p>
        </w:tc>
        <w:tc>
          <w:tcPr>
            <w:tcBorders>
              <w:top w:val="single" w:color="000000" w:sz="4" w:space="0"/>
              <w:left w:val="single" w:color="000000" w:sz="4" w:space="0"/>
              <w:bottom w:val="single" w:color="000000" w:sz="4" w:space="0"/>
            </w:tcBorders>
            <w:tcW w:w="1627" w:type="dxa"/>
            <w:textDirection w:val="lrTb"/>
            <w:noWrap w:val="false"/>
          </w:tcPr>
          <w:p>
            <w:pPr>
              <w:pStyle w:val="940"/>
            </w:pPr>
            <w:r>
              <w:t xml:space="preserve">36,4</w:t>
            </w:r>
            <w:r/>
          </w:p>
        </w:tc>
        <w:tc>
          <w:tcPr>
            <w:tcBorders>
              <w:top w:val="single" w:color="000000" w:sz="4" w:space="0"/>
              <w:left w:val="single" w:color="000000" w:sz="4" w:space="0"/>
              <w:bottom w:val="single" w:color="000000" w:sz="4" w:space="0"/>
              <w:right w:val="single" w:color="000000" w:sz="4" w:space="0"/>
            </w:tcBorders>
            <w:tcW w:w="1977" w:type="dxa"/>
            <w:textDirection w:val="lrTb"/>
            <w:noWrap w:val="false"/>
          </w:tcPr>
          <w:p>
            <w:pPr>
              <w:pStyle w:val="940"/>
            </w:pPr>
            <w:r>
              <w:t xml:space="preserve">0,0</w:t>
            </w:r>
            <w:r/>
          </w:p>
        </w:tc>
      </w:tr>
      <w:tr>
        <w:trPr>
          <w:trHeight w:val="300"/>
        </w:trPr>
        <w:tc>
          <w:tcPr>
            <w:tcBorders>
              <w:top w:val="single" w:color="000000" w:sz="4" w:space="0"/>
              <w:left w:val="single" w:color="000000" w:sz="4" w:space="0"/>
              <w:bottom w:val="single" w:color="000000" w:sz="4" w:space="0"/>
            </w:tcBorders>
            <w:tcW w:w="730" w:type="dxa"/>
            <w:textDirection w:val="lrTb"/>
            <w:noWrap w:val="false"/>
          </w:tcPr>
          <w:p>
            <w:pPr>
              <w:pStyle w:val="940"/>
              <w:jc w:val="both"/>
            </w:pPr>
            <w:r>
              <w:t xml:space="preserve">2</w:t>
            </w:r>
            <w:r/>
          </w:p>
        </w:tc>
        <w:tc>
          <w:tcPr>
            <w:tcBorders>
              <w:top w:val="single" w:color="000000" w:sz="4" w:space="0"/>
              <w:left w:val="single" w:color="000000" w:sz="4" w:space="0"/>
              <w:bottom w:val="single" w:color="000000" w:sz="4" w:space="0"/>
            </w:tcBorders>
            <w:tcW w:w="3768" w:type="dxa"/>
            <w:textDirection w:val="lrTb"/>
            <w:noWrap w:val="false"/>
          </w:tcPr>
          <w:p>
            <w:pPr>
              <w:pStyle w:val="940"/>
            </w:pPr>
            <w:r>
              <w:t xml:space="preserve">МБОУ г. Астрахани "Гимназия № 4"</w:t>
            </w:r>
            <w:r/>
          </w:p>
        </w:tc>
        <w:tc>
          <w:tcPr>
            <w:tcBorders>
              <w:top w:val="single" w:color="000000" w:sz="4" w:space="0"/>
              <w:left w:val="single" w:color="000000" w:sz="4" w:space="0"/>
              <w:bottom w:val="single" w:color="000000" w:sz="4" w:space="0"/>
            </w:tcBorders>
            <w:tcW w:w="1557" w:type="dxa"/>
            <w:textDirection w:val="lrTb"/>
            <w:noWrap w:val="false"/>
          </w:tcPr>
          <w:p>
            <w:pPr>
              <w:pStyle w:val="940"/>
            </w:pPr>
            <w:r>
              <w:t xml:space="preserve">6,7</w:t>
            </w:r>
            <w:r/>
          </w:p>
        </w:tc>
        <w:tc>
          <w:tcPr>
            <w:tcBorders>
              <w:top w:val="single" w:color="000000" w:sz="4" w:space="0"/>
              <w:left w:val="single" w:color="000000" w:sz="4" w:space="0"/>
              <w:bottom w:val="single" w:color="000000" w:sz="4" w:space="0"/>
            </w:tcBorders>
            <w:tcW w:w="1627" w:type="dxa"/>
            <w:textDirection w:val="lrTb"/>
            <w:noWrap w:val="false"/>
          </w:tcPr>
          <w:p>
            <w:pPr>
              <w:pStyle w:val="940"/>
            </w:pPr>
            <w:r>
              <w:t xml:space="preserve">66,7</w:t>
            </w:r>
            <w:r/>
          </w:p>
        </w:tc>
        <w:tc>
          <w:tcPr>
            <w:tcBorders>
              <w:top w:val="single" w:color="000000" w:sz="4" w:space="0"/>
              <w:left w:val="single" w:color="000000" w:sz="4" w:space="0"/>
              <w:bottom w:val="single" w:color="000000" w:sz="4" w:space="0"/>
              <w:right w:val="single" w:color="000000" w:sz="4" w:space="0"/>
            </w:tcBorders>
            <w:tcW w:w="1977" w:type="dxa"/>
            <w:textDirection w:val="lrTb"/>
            <w:noWrap w:val="false"/>
          </w:tcPr>
          <w:p>
            <w:pPr>
              <w:pStyle w:val="940"/>
            </w:pPr>
            <w:r>
              <w:t xml:space="preserve">0,0</w:t>
            </w:r>
            <w:r/>
          </w:p>
        </w:tc>
      </w:tr>
    </w:tbl>
    <w:p>
      <w:pPr>
        <w:pStyle w:val="940"/>
      </w:pPr>
      <w:r/>
      <w:r/>
    </w:p>
    <w:p>
      <w:pPr>
        <w:pStyle w:val="943"/>
        <w:ind w:left="567" w:firstLine="0"/>
        <w:jc w:val="both"/>
      </w:pPr>
      <w:r>
        <w:rPr>
          <w:rFonts w:ascii="Times New Roman" w:hAnsi="Times New Roman" w:cs="Times New Roman" w:eastAsia="Times New Roman"/>
          <w:b w:val="0"/>
          <w:bCs w:val="0"/>
        </w:rPr>
        <w:t xml:space="preserve"> </w:t>
      </w:r>
      <w:r>
        <w:rPr>
          <w:rFonts w:ascii="Times New Roman" w:hAnsi="Times New Roman" w:cs="Times New Roman" w:eastAsia="Times New Roman"/>
          <w:bCs w:val="0"/>
          <w:lang w:val="ru-RU"/>
        </w:rPr>
        <w:t xml:space="preserve">2.4.2.</w:t>
      </w:r>
      <w:r>
        <w:rPr>
          <w:rFonts w:ascii="Times New Roman" w:hAnsi="Times New Roman" w:cs="Times New Roman" w:eastAsia="Times New Roman"/>
          <w:b w:val="0"/>
          <w:bCs w:val="0"/>
          <w:lang w:val="ru-RU"/>
        </w:rPr>
        <w:t xml:space="preserve"> </w:t>
      </w:r>
      <w:r>
        <w:rPr>
          <w:rFonts w:ascii="Times New Roman" w:hAnsi="Times New Roman" w:cs="Times New Roman"/>
          <w:b w:val="0"/>
          <w:bCs w:val="0"/>
          <w:lang w:val="ru-RU"/>
        </w:rPr>
        <w:t xml:space="preserve">П</w:t>
      </w:r>
      <w:r>
        <w:rPr>
          <w:rFonts w:ascii="Times New Roman" w:hAnsi="Times New Roman" w:cs="Times New Roman"/>
          <w:b w:val="0"/>
          <w:bCs w:val="0"/>
        </w:rPr>
        <w:t xml:space="preserve">еречень ОО, продемонстрировавших низкие результаты ЕГЭ по предмету</w:t>
      </w:r>
      <w:r/>
    </w:p>
    <w:p>
      <w:pPr>
        <w:pStyle w:val="1409"/>
        <w:keepNext/>
        <w:rPr>
          <w:rFonts w:eastAsia="Times New Roman"/>
          <w:color w:val="000000"/>
        </w:rPr>
      </w:pPr>
      <w:r>
        <w:rPr>
          <w:rFonts w:eastAsia="Times New Roman"/>
          <w:color w:val="000000"/>
        </w:rPr>
        <w:t xml:space="preserve">Таблица 2</w:t>
        <w:noBreakHyphen/>
        <w:t xml:space="preserve">12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16"/>
        <w:gridCol w:w="3737"/>
        <w:gridCol w:w="1979"/>
        <w:gridCol w:w="1640"/>
        <w:gridCol w:w="1587"/>
      </w:tblGrid>
      <w:tr>
        <w:trPr>
          <w:trHeight w:val="1438"/>
        </w:trPr>
        <w:tc>
          <w:tcPr>
            <w:tcBorders>
              <w:top w:val="single" w:color="000000" w:sz="4" w:space="0"/>
              <w:left w:val="single" w:color="000000" w:sz="4" w:space="0"/>
              <w:bottom w:val="single" w:color="000000" w:sz="4" w:space="0"/>
            </w:tcBorders>
            <w:tcW w:w="716"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3737"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979"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640"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587"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5"/>
        </w:trPr>
        <w:tc>
          <w:tcPr>
            <w:tcBorders>
              <w:left w:val="single" w:color="000000" w:sz="4" w:space="0"/>
              <w:bottom w:val="single" w:color="000000" w:sz="4" w:space="0"/>
            </w:tcBorders>
            <w:tcW w:w="716" w:type="dxa"/>
            <w:vAlign w:val="bottom"/>
            <w:textDirection w:val="lrTb"/>
            <w:noWrap w:val="false"/>
          </w:tcPr>
          <w:p>
            <w:pPr>
              <w:pStyle w:val="940"/>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3737" w:type="dxa"/>
            <w:vAlign w:val="bottom"/>
            <w:textDirection w:val="lrTb"/>
            <w:noWrap w:val="false"/>
          </w:tcPr>
          <w:p>
            <w:pPr>
              <w:pStyle w:val="940"/>
              <w:rPr>
                <w:rFonts w:eastAsia="Times New Roman"/>
                <w:color w:val="000000"/>
              </w:rPr>
            </w:pPr>
            <w:r>
              <w:rPr>
                <w:rFonts w:eastAsia="Times New Roman"/>
                <w:color w:val="000000"/>
              </w:rPr>
              <w:t xml:space="preserve">МБОУ "Красноярская СОШ № 2"</w:t>
            </w:r>
            <w:r/>
          </w:p>
        </w:tc>
        <w:tc>
          <w:tcPr>
            <w:tcBorders>
              <w:left w:val="single" w:color="000000" w:sz="4" w:space="0"/>
              <w:bottom w:val="single" w:color="000000" w:sz="4" w:space="0"/>
            </w:tcBorders>
            <w:tcW w:w="1979" w:type="dxa"/>
            <w:vAlign w:val="bottom"/>
            <w:textDirection w:val="lrTb"/>
            <w:noWrap w:val="false"/>
          </w:tcPr>
          <w:p>
            <w:pPr>
              <w:pStyle w:val="940"/>
              <w:jc w:val="center"/>
              <w:rPr>
                <w:rFonts w:eastAsia="Times New Roman"/>
                <w:color w:val="000000"/>
              </w:rPr>
            </w:pPr>
            <w:r>
              <w:rPr>
                <w:rFonts w:eastAsia="Times New Roman"/>
                <w:color w:val="000000"/>
              </w:rPr>
              <w:t xml:space="preserve">30,0</w:t>
            </w:r>
            <w:r/>
          </w:p>
        </w:tc>
        <w:tc>
          <w:tcPr>
            <w:tcBorders>
              <w:left w:val="single" w:color="000000" w:sz="4" w:space="0"/>
              <w:bottom w:val="single" w:color="000000" w:sz="4" w:space="0"/>
            </w:tcBorders>
            <w:tcW w:w="164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587"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716" w:type="dxa"/>
            <w:vAlign w:val="bottom"/>
            <w:textDirection w:val="lrTb"/>
            <w:noWrap w:val="false"/>
          </w:tcPr>
          <w:p>
            <w:pPr>
              <w:pStyle w:val="940"/>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3737"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56"</w:t>
            </w:r>
            <w:r/>
          </w:p>
        </w:tc>
        <w:tc>
          <w:tcPr>
            <w:tcBorders>
              <w:left w:val="single" w:color="000000" w:sz="4" w:space="0"/>
              <w:bottom w:val="single" w:color="000000" w:sz="4" w:space="0"/>
            </w:tcBorders>
            <w:tcW w:w="1979" w:type="dxa"/>
            <w:vAlign w:val="bottom"/>
            <w:textDirection w:val="lrTb"/>
            <w:noWrap w:val="false"/>
          </w:tcPr>
          <w:p>
            <w:pPr>
              <w:pStyle w:val="940"/>
              <w:jc w:val="center"/>
              <w:rPr>
                <w:rFonts w:eastAsia="Times New Roman"/>
                <w:color w:val="000000"/>
              </w:rPr>
            </w:pPr>
            <w:r>
              <w:rPr>
                <w:rFonts w:eastAsia="Times New Roman"/>
                <w:color w:val="000000"/>
              </w:rPr>
              <w:t xml:space="preserve">15,4</w:t>
            </w:r>
            <w:r/>
          </w:p>
        </w:tc>
        <w:tc>
          <w:tcPr>
            <w:tcBorders>
              <w:left w:val="single" w:color="000000" w:sz="4" w:space="0"/>
              <w:bottom w:val="single" w:color="000000" w:sz="4" w:space="0"/>
            </w:tcBorders>
            <w:tcW w:w="164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587"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5"/>
        </w:trPr>
        <w:tc>
          <w:tcPr>
            <w:tcBorders>
              <w:left w:val="single" w:color="000000" w:sz="4" w:space="0"/>
              <w:bottom w:val="single" w:color="000000" w:sz="4" w:space="0"/>
            </w:tcBorders>
            <w:tcW w:w="716" w:type="dxa"/>
            <w:vAlign w:val="bottom"/>
            <w:textDirection w:val="lrTb"/>
            <w:noWrap w:val="false"/>
          </w:tcPr>
          <w:p>
            <w:pPr>
              <w:pStyle w:val="940"/>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3737"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28"</w:t>
            </w:r>
            <w:r/>
          </w:p>
        </w:tc>
        <w:tc>
          <w:tcPr>
            <w:tcBorders>
              <w:left w:val="single" w:color="000000" w:sz="4" w:space="0"/>
              <w:bottom w:val="single" w:color="000000" w:sz="4" w:space="0"/>
            </w:tcBorders>
            <w:tcW w:w="1979" w:type="dxa"/>
            <w:vAlign w:val="bottom"/>
            <w:textDirection w:val="lrTb"/>
            <w:noWrap w:val="false"/>
          </w:tcPr>
          <w:p>
            <w:pPr>
              <w:pStyle w:val="940"/>
              <w:jc w:val="center"/>
              <w:rPr>
                <w:rFonts w:eastAsia="Times New Roman"/>
                <w:color w:val="000000"/>
              </w:rPr>
            </w:pPr>
            <w:r>
              <w:rPr>
                <w:rFonts w:eastAsia="Times New Roman"/>
                <w:color w:val="000000"/>
              </w:rPr>
              <w:t xml:space="preserve">14,3</w:t>
            </w:r>
            <w:r/>
          </w:p>
        </w:tc>
        <w:tc>
          <w:tcPr>
            <w:tcBorders>
              <w:left w:val="single" w:color="000000" w:sz="4" w:space="0"/>
              <w:bottom w:val="single" w:color="000000" w:sz="4" w:space="0"/>
            </w:tcBorders>
            <w:tcW w:w="1640"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587" w:type="dxa"/>
            <w:vAlign w:val="bottom"/>
            <w:textDirection w:val="lrTb"/>
            <w:noWrap w:val="false"/>
          </w:tcPr>
          <w:p>
            <w:pPr>
              <w:pStyle w:val="940"/>
              <w:jc w:val="center"/>
              <w:rPr>
                <w:rFonts w:eastAsia="Times New Roman"/>
                <w:color w:val="000000"/>
              </w:rPr>
            </w:pPr>
            <w:r>
              <w:rPr>
                <w:rFonts w:eastAsia="Times New Roman"/>
                <w:color w:val="000000"/>
              </w:rPr>
              <w:t xml:space="preserve">7,1</w:t>
            </w:r>
            <w:r/>
          </w:p>
        </w:tc>
      </w:tr>
    </w:tbl>
    <w:p>
      <w:pPr>
        <w:pStyle w:val="943"/>
      </w:pPr>
      <w:r>
        <w:rPr>
          <w:rFonts w:ascii="Times New Roman" w:hAnsi="Times New Roman" w:cs="Times New Roman"/>
          <w:lang w:val="ru-RU"/>
        </w:rPr>
        <w:t xml:space="preserve">2.5. </w:t>
      </w:r>
      <w:r>
        <w:rPr>
          <w:rFonts w:ascii="Times New Roman" w:hAnsi="Times New Roman" w:cs="Times New Roman"/>
        </w:rPr>
        <w:t xml:space="preserve">ВЫВОДЫ о характере изменения результатов ЕГЭ по предмету</w:t>
      </w:r>
      <w:r/>
    </w:p>
    <w:p>
      <w:pPr>
        <w:pStyle w:val="940"/>
        <w:jc w:val="both"/>
        <w:rPr>
          <w:rFonts w:eastAsia="Times New Roman"/>
        </w:rPr>
      </w:pPr>
      <w:r>
        <w:rPr>
          <w:rFonts w:eastAsia="Times New Roman"/>
        </w:rPr>
      </w:r>
      <w:r/>
    </w:p>
    <w:p>
      <w:pPr>
        <w:pStyle w:val="940"/>
        <w:ind w:firstLine="708"/>
        <w:jc w:val="both"/>
        <w:rPr>
          <w:rFonts w:eastAsia="Times New Roman"/>
        </w:rPr>
      </w:pPr>
      <w:r>
        <w:rPr>
          <w:rFonts w:eastAsia="Times New Roman"/>
        </w:rPr>
        <w:t xml:space="preserve">Динамика результатов за три года: </w:t>
      </w:r>
      <w:r/>
    </w:p>
    <w:p>
      <w:pPr>
        <w:pStyle w:val="940"/>
        <w:ind w:firstLine="708"/>
        <w:jc w:val="both"/>
        <w:rPr>
          <w:rFonts w:eastAsia="Times New Roman"/>
        </w:rPr>
      </w:pPr>
      <w:r>
        <w:rPr>
          <w:rFonts w:eastAsia="Times New Roman"/>
        </w:rPr>
        <w:t xml:space="preserve">1) можно отметить сохранение среднего тестового балла примерно на одном уровне.</w:t>
      </w:r>
      <w:r/>
    </w:p>
    <w:p>
      <w:pPr>
        <w:pStyle w:val="940"/>
        <w:ind w:firstLine="708"/>
        <w:jc w:val="both"/>
        <w:rPr>
          <w:rFonts w:eastAsia="Times New Roman"/>
        </w:rPr>
      </w:pPr>
      <w:r>
        <w:rPr>
          <w:rFonts w:eastAsia="Times New Roman"/>
        </w:rPr>
        <w:t xml:space="preserve">2) одинаковое количество участников получило 100 баллов в 2019-2021 гг.</w:t>
      </w:r>
      <w:r/>
    </w:p>
    <w:p>
      <w:pPr>
        <w:pStyle w:val="940"/>
        <w:ind w:firstLine="708"/>
        <w:jc w:val="both"/>
        <w:rPr>
          <w:rFonts w:eastAsia="Times New Roman"/>
        </w:rPr>
      </w:pPr>
      <w:r>
        <w:rPr>
          <w:rFonts w:eastAsia="Times New Roman"/>
        </w:rPr>
        <w:t xml:space="preserve">3) по ряду показателей выявляются существенные колебания</w:t>
      </w:r>
      <w:r>
        <w:rPr>
          <w:rFonts w:eastAsia="Times New Roman"/>
        </w:rPr>
        <w:t xml:space="preserve">, в 2021 г. резко упало количество участников, получивших свыше 80 баллов, всего 0,1 %, также в 2021 г. произошло снижение процента участников, не набравших минимальным балл по сравнению с 2020 г., однако эта цифра превышает аналогичные показатели 2019 г. </w:t>
      </w:r>
      <w:r/>
    </w:p>
    <w:p>
      <w:pPr>
        <w:pStyle w:val="940"/>
        <w:ind w:firstLine="708"/>
        <w:jc w:val="both"/>
        <w:rPr>
          <w:rFonts w:eastAsia="Times New Roman"/>
        </w:rPr>
      </w:pPr>
      <w:r>
        <w:rPr>
          <w:rFonts w:eastAsia="Times New Roman"/>
        </w:rPr>
        <w:t xml:space="preserve">1) значительную часть среди у</w:t>
      </w:r>
      <w:r>
        <w:rPr>
          <w:rFonts w:eastAsia="Times New Roman"/>
        </w:rPr>
        <w:t xml:space="preserve">частников, не набравших минимальный балл, составляют выпускники прошлых лет и экстерны, что конечно связано с их недостаточной подготовкой к экзамену. В то же время в группе участников, набравших свыше 80 баллов данную закономерность проследить не удается.</w:t>
      </w:r>
      <w:r/>
    </w:p>
    <w:p>
      <w:pPr>
        <w:pStyle w:val="940"/>
        <w:ind w:firstLine="708"/>
        <w:jc w:val="both"/>
        <w:rPr>
          <w:rFonts w:eastAsia="Times New Roman"/>
        </w:rPr>
      </w:pPr>
      <w:r>
        <w:rPr>
          <w:rFonts w:eastAsia="Times New Roman"/>
        </w:rPr>
        <w:t xml:space="preserve">2) показатели участников экзамена, обучающихся в лицеях и гимназиях, значительно превышают аналогичные показатели выпускник</w:t>
      </w:r>
      <w:r>
        <w:rPr>
          <w:rFonts w:eastAsia="Times New Roman"/>
        </w:rPr>
        <w:t xml:space="preserve">ов обычных СОШ. Это особенно касается такого показателя как доля участников, набравших балл ниже минимального и доля участников, получивших от 81 до 99 баллов, то есть результаты четко коррелируются с качеством подготовки в общеобразовательных учреждениях.</w:t>
      </w:r>
      <w:r/>
    </w:p>
    <w:p>
      <w:pPr>
        <w:pStyle w:val="940"/>
        <w:ind w:firstLine="708"/>
        <w:jc w:val="both"/>
        <w:rPr>
          <w:rFonts w:eastAsia="Times New Roman"/>
        </w:rPr>
      </w:pPr>
      <w:r>
        <w:rPr>
          <w:rFonts w:eastAsia="Times New Roman"/>
        </w:rPr>
        <w:t xml:space="preserve">3) результаты экзамена сильно зависят от географического расположения образовательных учреждений Астраханской области. Значительно различаются показатели областного центра (г. Астрахань) и районов астраханско</w:t>
      </w:r>
      <w:r>
        <w:rPr>
          <w:rFonts w:eastAsia="Times New Roman"/>
        </w:rPr>
        <w:t xml:space="preserve">й области. Это опять особенно касается такого показателя как доля участников, набравших балл ниже минимального и доля участников, получивших от 81 до 99 баллов. В целом, можно говорить, что уровень подготовки в городских школах выше, чем в сельских школах.</w:t>
      </w:r>
      <w:r/>
    </w:p>
    <w:p>
      <w:pPr>
        <w:pStyle w:val="940"/>
        <w:ind w:firstLine="708"/>
        <w:jc w:val="both"/>
        <w:rPr>
          <w:rFonts w:eastAsia="Times New Roman"/>
        </w:rPr>
      </w:pPr>
      <w:r>
        <w:rPr>
          <w:rFonts w:eastAsia="Times New Roman"/>
        </w:rPr>
        <w:t xml:space="preserve">4) в то же время для такого показателя как доля участников, получивших тестовый балл от минимального балла до 60 баллов с</w:t>
      </w:r>
      <w:r>
        <w:rPr>
          <w:rFonts w:eastAsia="Times New Roman"/>
        </w:rPr>
        <w:t xml:space="preserve">ущественной разницы между г. Астраханью и районами АО не выявляется, что свидетельствует о том, что минимальный средний уровень подготовки везде примерно одинаков. Однако, в сельских школах недостаточное внимание уделяется слабо подготовленным выпускникам.</w:t>
      </w:r>
      <w:r/>
    </w:p>
    <w:p>
      <w:pPr>
        <w:pStyle w:val="940"/>
        <w:rPr>
          <w:rFonts w:eastAsia="Times New Roman"/>
        </w:rPr>
      </w:pPr>
      <w:r>
        <w:rPr>
          <w:rFonts w:eastAsia="Times New Roman"/>
        </w:rPr>
      </w:r>
      <w:r/>
    </w:p>
    <w:p>
      <w:pPr>
        <w:pStyle w:val="940"/>
        <w:rPr>
          <w:rFonts w:eastAsia="Times New Roman"/>
        </w:rPr>
      </w:pPr>
      <w:r>
        <w:rPr>
          <w:rFonts w:eastAsia="Times New Roman"/>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jc w:val="center"/>
        <w:keepLines/>
        <w:keepNext/>
        <w:spacing w:before="40" w:after="0"/>
        <w:tabs>
          <w:tab w:val="left" w:pos="0" w:leader="none"/>
          <w:tab w:val="clear" w:pos="708" w:leader="none"/>
        </w:tabs>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tabs>
          <w:tab w:val="left" w:pos="0" w:leader="none"/>
          <w:tab w:val="clear" w:pos="708" w:leader="none"/>
        </w:tabs>
        <w:rPr>
          <w:rFonts w:eastAsia="SimSun;宋体"/>
          <w:b/>
          <w:bCs/>
          <w:sz w:val="28"/>
          <w:szCs w:val="28"/>
          <w:lang w:val="en-US"/>
        </w:rPr>
      </w:pPr>
      <w:r>
        <w:rPr>
          <w:rFonts w:eastAsia="SimSun;宋体"/>
          <w:b/>
          <w:bCs/>
          <w:sz w:val="28"/>
          <w:szCs w:val="28"/>
          <w:lang w:val="en-US"/>
        </w:rPr>
      </w:r>
      <w:r/>
    </w:p>
    <w:p>
      <w:pPr>
        <w:pStyle w:val="940"/>
        <w:numPr>
          <w:ilvl w:val="1"/>
          <w:numId w:val="65"/>
        </w:numPr>
        <w:keepLines/>
        <w:keepNext/>
        <w:spacing w:before="200" w:after="0"/>
      </w:pPr>
      <w:r>
        <w:rPr>
          <w:rFonts w:eastAsia="Times New Roman"/>
          <w:b/>
          <w:bCs/>
          <w:sz w:val="28"/>
        </w:rPr>
        <w:t xml:space="preserve"> </w:t>
      </w:r>
      <w:r>
        <w:rPr>
          <w:rFonts w:eastAsia="SimSun;宋体"/>
          <w:b/>
          <w:bCs/>
          <w:sz w:val="28"/>
          <w:lang w:val="en-US"/>
        </w:rPr>
        <w:t xml:space="preserve">Краткая характеристика КИМ по учебному предмету</w:t>
      </w:r>
      <w:r/>
    </w:p>
    <w:p>
      <w:pPr>
        <w:pStyle w:val="940"/>
        <w:rPr>
          <w:rFonts w:eastAsia="SimSun;宋体"/>
          <w:b/>
          <w:bCs/>
          <w:sz w:val="28"/>
          <w:lang w:val="en-US"/>
        </w:rPr>
      </w:pPr>
      <w:r>
        <w:rPr>
          <w:rFonts w:eastAsia="SimSun;宋体"/>
          <w:b/>
          <w:bCs/>
          <w:sz w:val="28"/>
          <w:lang w:val="en-US"/>
        </w:rPr>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 структуре КИМ по истории 2021 г. произошли значительные изменения, коснувшиеся исторического сочинения, по сравнению с 2020 г. Было увеличено количество б</w:t>
      </w:r>
      <w:r>
        <w:rPr>
          <w:rFonts w:ascii="Times New Roman" w:hAnsi="Times New Roman" w:cs="Times New Roman"/>
          <w:bCs/>
          <w:sz w:val="24"/>
          <w:szCs w:val="24"/>
        </w:rPr>
        <w:t xml:space="preserve">аллов в 24 задании (5 баллов). В историческом сочинении (25 задание), было сокращено количество критериев оценивания до 6. Исторические сочинения предлагалось написать по историческим процессам или историческим личностям, а не по периодам, как было раньше.</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Каждый вариант экзаменационной работы состоит из двух частей и включает в себя 25 заданий, различающихся формой и уровнем сложности.</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Часть 1 содержит 19 заданий с кратким ответом.</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 экзаменационной работе предложены следующие разновидности заданий с кратким ответом:</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 xml:space="preserve">задания на выбор и запись правильных ответов из предложенного перечня ответов;</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 xml:space="preserve">задания на определение последовательности расположения данных элементов;</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 xml:space="preserve">задания на установление соответствия элементов, данных в нескольких информационных рядах;</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 xml:space="preserve">задания на определение по указанным признакам и запись в виде слова (словосочетания) термина, названия, имени, века, года и т.п.</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Ответ на задания части 1 даётся соответствующей записью в виде: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Часть 2 содержит 6 заданий с развёрнутым ответом, выявляющих и оценивающих освоение выпускниками различных комплексных умений.</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Задания 20–22 представляют собой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Задания 23–25 связаны с применением приёмов причинно-следственного, структурно-функционального, временнόго и простр</w:t>
      </w:r>
      <w:r>
        <w:rPr>
          <w:rFonts w:ascii="Times New Roman" w:hAnsi="Times New Roman" w:cs="Times New Roman"/>
          <w:bCs/>
          <w:sz w:val="24"/>
          <w:szCs w:val="24"/>
        </w:rPr>
        <w:t xml:space="preserve">анственного анализа для изучения исторических процессов и явлений. Задание 23 связано с анализом какой-либо исторической проблемы, ситуации. Задание 24 – анализ исторических версий и оценок, аргументация различных точек зрения с привлечением знаний курса. </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Задание 25 предполагает написание исто</w:t>
      </w:r>
      <w:r>
        <w:rPr>
          <w:rFonts w:ascii="Times New Roman" w:hAnsi="Times New Roman" w:cs="Times New Roman"/>
          <w:bCs/>
          <w:sz w:val="24"/>
          <w:szCs w:val="24"/>
        </w:rPr>
        <w:t xml:space="preserve">рического сочинения. Задание 25 альтернативное: выпускник имеет возможность выбрать один из трёх периодов истории России и продемонстрировать свои знания и умения на наиболее знакомом ему историческом материале. Задание 25 оценивается по системе критериев.</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Общее время на выполнение работы – 3 часа 55 минут (235 мин.)</w:t>
      </w:r>
      <w:r/>
    </w:p>
    <w:p>
      <w:pPr>
        <w:pStyle w:val="1419"/>
        <w:contextualSpacing/>
        <w:ind w:left="0" w:right="0" w:firstLine="708"/>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Тип заданий: 1) с кратким ответом, часть 1, 19 заданий (1-19) 2) с развернутым ответом, часть 2, 6 заданий (20-25).</w:t>
      </w:r>
      <w:r/>
    </w:p>
    <w:p>
      <w:pPr>
        <w:pStyle w:val="1419"/>
        <w:contextualSpacing/>
        <w:ind w:left="0" w:right="0" w:firstLine="708"/>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Максимальный первичный балл по части 1 – 31 балл, максимальный первичный балл по части 2 – 25 баллов.</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Распределение заданий по уровню сложности: 1) базовый уровень сложности (Б) – задания 2-6, 8-10, 13-15, 17,19,21, 25 (К1, К5), максимальный первичный балл – 25;</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повышенный уровень сложности (П) – задания 1,7,11-12,16,18,20,25 (К2), максимальный первичный балл – 15;</w:t>
      </w:r>
      <w:r/>
    </w:p>
    <w:p>
      <w:pPr>
        <w:pStyle w:val="1419"/>
        <w:contextualSpacing/>
        <w:ind w:left="0" w:right="0" w:firstLine="708"/>
        <w:jc w:val="both"/>
        <w:spacing w:before="0"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 высокий уровень сложности (В) – задания 22,23,24,25 (К3, К4, К6, К7), максимальный первичный балл – 16.</w:t>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numPr>
          <w:ilvl w:val="2"/>
          <w:numId w:val="22"/>
        </w:numPr>
        <w:ind w:left="567" w:firstLine="0"/>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1409"/>
        <w:keepNext/>
        <w:rPr>
          <w:rFonts w:eastAsia="Times New Roman"/>
        </w:rPr>
      </w:pPr>
      <w:r>
        <w:rPr>
          <w:rFonts w:eastAsia="Times New Roman"/>
        </w:rPr>
        <w:t xml:space="preserve">Таблица </w:t>
      </w:r>
      <w:r>
        <w:rPr>
          <w:rFonts w:eastAsia="Times New Roman"/>
          <w:lang w:val="en-US"/>
        </w:rPr>
        <w:t xml:space="preserve">2</w:t>
      </w:r>
      <w:r>
        <w:rPr>
          <w:rFonts w:eastAsia="Times New Roman"/>
        </w:rPr>
        <w:noBreakHyphen/>
        <w:t xml:space="preserve">13</w:t>
      </w:r>
      <w:r/>
    </w:p>
    <w:tbl>
      <w:tblPr>
        <w:tblW w:w="9679" w:type="dxa"/>
        <w:tblInd w:w="-25" w:type="dxa"/>
        <w:tblLayout w:type="fixed"/>
        <w:tblCellMar>
          <w:left w:w="108" w:type="dxa"/>
          <w:top w:w="0" w:type="dxa"/>
          <w:right w:w="108" w:type="dxa"/>
          <w:bottom w:w="0" w:type="dxa"/>
        </w:tblCellMar>
        <w:tblLook w:val="04A0" w:firstRow="1" w:lastRow="0" w:firstColumn="1" w:lastColumn="0" w:noHBand="0" w:noVBand="1"/>
      </w:tblPr>
      <w:tblGrid>
        <w:gridCol w:w="1130"/>
        <w:gridCol w:w="2126"/>
        <w:gridCol w:w="1134"/>
        <w:gridCol w:w="858"/>
        <w:gridCol w:w="1276"/>
        <w:gridCol w:w="1135"/>
        <w:gridCol w:w="987"/>
        <w:gridCol w:w="1013"/>
      </w:tblGrid>
      <w:tr>
        <w:trPr>
          <w:cantSplit/>
          <w:trHeight w:val="313"/>
          <w:tblHeader/>
        </w:trPr>
        <w:tc>
          <w:tcPr>
            <w:tcBorders>
              <w:top w:val="single" w:color="000000" w:sz="8" w:space="0"/>
              <w:left w:val="single" w:color="000000" w:sz="8" w:space="0"/>
            </w:tcBorders>
            <w:tcW w:w="1130" w:type="dxa"/>
            <w:vAlign w:val="center"/>
            <w:vMerge w:val="restart"/>
            <w:textDirection w:val="lrTb"/>
            <w:noWrap w:val="false"/>
          </w:tcPr>
          <w:p>
            <w:pPr>
              <w:pStyle w:val="940"/>
              <w:jc w:val="center"/>
              <w:rPr>
                <w:rFonts w:eastAsia="Times New Roman"/>
                <w:bCs/>
              </w:rPr>
            </w:pPr>
            <w:r>
              <w:rPr>
                <w:rFonts w:eastAsia="Times New Roman"/>
                <w:bCs/>
              </w:rPr>
              <w:t xml:space="preserve">Номер задания в КИМ</w:t>
            </w:r>
            <w:r/>
          </w:p>
        </w:tc>
        <w:tc>
          <w:tcPr>
            <w:tcBorders>
              <w:top w:val="single" w:color="000000" w:sz="8" w:space="0"/>
              <w:left w:val="single" w:color="000000" w:sz="8" w:space="0"/>
            </w:tcBorders>
            <w:tcW w:w="2126" w:type="dxa"/>
            <w:vAlign w:val="center"/>
            <w:vMerge w:val="restart"/>
            <w:textDirection w:val="lrTb"/>
            <w:noWrap w:val="false"/>
          </w:tcPr>
          <w:p>
            <w:pPr>
              <w:pStyle w:val="940"/>
              <w:jc w:val="center"/>
              <w:rPr>
                <w:rFonts w:eastAsia="Times New Roman"/>
                <w:bCs/>
              </w:rPr>
            </w:pPr>
            <w:r>
              <w:rPr>
                <w:rFonts w:eastAsia="Times New Roman"/>
                <w:bCs/>
              </w:rPr>
              <w:t xml:space="preserve">Проверяемые элементы содержания / умения</w:t>
            </w:r>
            <w:r/>
          </w:p>
        </w:tc>
        <w:tc>
          <w:tcPr>
            <w:tcBorders>
              <w:top w:val="single" w:color="000000" w:sz="8" w:space="0"/>
              <w:left w:val="single" w:color="000000" w:sz="8" w:space="0"/>
            </w:tcBorders>
            <w:tcW w:w="1134" w:type="dxa"/>
            <w:vAlign w:val="center"/>
            <w:vMerge w:val="restart"/>
            <w:textDirection w:val="lrTb"/>
            <w:noWrap w:val="false"/>
          </w:tcPr>
          <w:p>
            <w:pPr>
              <w:pStyle w:val="940"/>
              <w:jc w:val="center"/>
              <w:rPr>
                <w:rFonts w:eastAsia="Times New Roman"/>
                <w:bCs/>
              </w:rPr>
            </w:pPr>
            <w:r>
              <w:rPr>
                <w:rFonts w:eastAsia="Times New Roman"/>
                <w:bCs/>
              </w:rPr>
              <w:t xml:space="preserve">Уровень сложности задания</w:t>
            </w:r>
            <w:r/>
          </w:p>
          <w:p>
            <w:pPr>
              <w:pStyle w:val="940"/>
              <w:jc w:val="center"/>
              <w:rPr>
                <w:rFonts w:eastAsia="Times New Roman"/>
              </w:rPr>
            </w:pPr>
            <w:r>
              <w:rPr>
                <w:rFonts w:eastAsia="Times New Roman"/>
              </w:rPr>
            </w:r>
            <w:r/>
          </w:p>
        </w:tc>
        <w:tc>
          <w:tcPr>
            <w:gridSpan w:val="5"/>
            <w:tcBorders>
              <w:top w:val="single" w:color="000000" w:sz="8" w:space="0"/>
              <w:left w:val="single" w:color="000000" w:sz="8" w:space="0"/>
              <w:bottom w:val="single" w:color="000000" w:sz="8" w:space="0"/>
              <w:right w:val="single" w:color="000000" w:sz="8" w:space="0"/>
            </w:tcBorders>
            <w:tcW w:w="5289" w:type="dxa"/>
            <w:vAlign w:val="center"/>
            <w:textDirection w:val="lrTb"/>
            <w:noWrap w:val="false"/>
          </w:tcPr>
          <w:p>
            <w:pPr>
              <w:pStyle w:val="940"/>
              <w:jc w:val="center"/>
            </w:pPr>
            <w:r>
              <w:rPr>
                <w:rFonts w:eastAsia="Times New Roman"/>
              </w:rPr>
              <w:t xml:space="preserve">Процент выполнения задания в субъекте Российской Федерации</w:t>
            </w:r>
            <w:r/>
          </w:p>
        </w:tc>
      </w:tr>
      <w:tr>
        <w:trPr>
          <w:cantSplit/>
          <w:trHeight w:val="635"/>
          <w:tblHeader/>
        </w:trPr>
        <w:tc>
          <w:tcPr>
            <w:tcBorders>
              <w:top w:val="single" w:color="000000" w:sz="8" w:space="0"/>
              <w:left w:val="single" w:color="000000" w:sz="8" w:space="0"/>
            </w:tcBorders>
            <w:tcW w:w="1130" w:type="dxa"/>
            <w:vAlign w:val="center"/>
            <w:vMerge w:val="continue"/>
            <w:textDirection w:val="lrTb"/>
            <w:noWrap w:val="false"/>
          </w:tcPr>
          <w:p>
            <w:pPr>
              <w:pStyle w:val="940"/>
              <w:jc w:val="center"/>
              <w:rPr>
                <w:rFonts w:eastAsia="Times New Roman"/>
                <w:bCs/>
              </w:rPr>
            </w:pPr>
            <w:r>
              <w:rPr>
                <w:rFonts w:eastAsia="Times New Roman"/>
                <w:bCs/>
              </w:rPr>
            </w:r>
            <w:r/>
          </w:p>
        </w:tc>
        <w:tc>
          <w:tcPr>
            <w:tcBorders>
              <w:top w:val="single" w:color="000000" w:sz="8" w:space="0"/>
              <w:left w:val="single" w:color="000000" w:sz="8" w:space="0"/>
            </w:tcBorders>
            <w:tcW w:w="2126" w:type="dxa"/>
            <w:vAlign w:val="center"/>
            <w:vMerge w:val="continue"/>
            <w:textDirection w:val="lrTb"/>
            <w:noWrap w:val="false"/>
          </w:tcPr>
          <w:p>
            <w:pPr>
              <w:pStyle w:val="940"/>
              <w:jc w:val="center"/>
              <w:rPr>
                <w:rFonts w:eastAsia="Times New Roman"/>
                <w:bCs/>
              </w:rPr>
            </w:pPr>
            <w:r>
              <w:rPr>
                <w:rFonts w:eastAsia="Times New Roman"/>
                <w:bCs/>
              </w:rPr>
            </w:r>
            <w:r/>
          </w:p>
        </w:tc>
        <w:tc>
          <w:tcPr>
            <w:tcBorders>
              <w:top w:val="single" w:color="000000" w:sz="8" w:space="0"/>
              <w:left w:val="single" w:color="000000" w:sz="8" w:space="0"/>
            </w:tcBorders>
            <w:tcW w:w="1134" w:type="dxa"/>
            <w:vAlign w:val="center"/>
            <w:vMerge w:val="continue"/>
            <w:textDirection w:val="lrTb"/>
            <w:noWrap w:val="false"/>
          </w:tcPr>
          <w:p>
            <w:pPr>
              <w:pStyle w:val="940"/>
              <w:jc w:val="center"/>
              <w:rPr>
                <w:rFonts w:eastAsia="Times New Roman"/>
                <w:bCs/>
              </w:rPr>
            </w:pPr>
            <w:r>
              <w:rPr>
                <w:rFonts w:eastAsia="Times New Roman"/>
                <w:bCs/>
              </w:rPr>
            </w:r>
            <w:r/>
          </w:p>
        </w:tc>
        <w:tc>
          <w:tcPr>
            <w:tcBorders>
              <w:top w:val="single" w:color="000000" w:sz="8" w:space="0"/>
              <w:left w:val="single" w:color="000000" w:sz="8" w:space="0"/>
              <w:bottom w:val="single" w:color="000000" w:sz="8" w:space="0"/>
            </w:tcBorders>
            <w:tcW w:w="858" w:type="dxa"/>
            <w:vAlign w:val="center"/>
            <w:textDirection w:val="lrTb"/>
            <w:noWrap w:val="false"/>
          </w:tcPr>
          <w:p>
            <w:pPr>
              <w:pStyle w:val="940"/>
              <w:jc w:val="center"/>
              <w:rPr>
                <w:rFonts w:eastAsia="Times New Roman"/>
              </w:rPr>
            </w:pPr>
            <w:r>
              <w:rPr>
                <w:rFonts w:eastAsia="Times New Roman"/>
              </w:rPr>
              <w:t xml:space="preserve">сред-ний</w:t>
            </w:r>
            <w:r/>
          </w:p>
        </w:tc>
        <w:tc>
          <w:tcPr>
            <w:tcBorders>
              <w:top w:val="single" w:color="000000" w:sz="8" w:space="0"/>
              <w:left w:val="single" w:color="000000" w:sz="8" w:space="0"/>
              <w:bottom w:val="single" w:color="000000" w:sz="8" w:space="0"/>
            </w:tcBorders>
            <w:tcW w:w="1276" w:type="dxa"/>
            <w:textDirection w:val="lrTb"/>
            <w:noWrap w:val="false"/>
          </w:tcPr>
          <w:p>
            <w:pPr>
              <w:pStyle w:val="940"/>
              <w:jc w:val="center"/>
              <w:rPr>
                <w:rFonts w:eastAsia="Times New Roman"/>
                <w:bCs/>
              </w:rPr>
            </w:pPr>
            <w:r>
              <w:rPr>
                <w:rFonts w:eastAsia="Times New Roman"/>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135" w:type="dxa"/>
            <w:vAlign w:val="center"/>
            <w:textDirection w:val="lrTb"/>
            <w:noWrap w:val="false"/>
          </w:tcPr>
          <w:p>
            <w:pPr>
              <w:pStyle w:val="940"/>
              <w:jc w:val="center"/>
              <w:rPr>
                <w:rFonts w:eastAsia="Times New Roman"/>
                <w:bCs/>
              </w:rPr>
            </w:pPr>
            <w:r>
              <w:rPr>
                <w:rFonts w:eastAsia="Times New Roman"/>
                <w:bCs/>
              </w:rPr>
              <w:t xml:space="preserve">в группе от мини-мального до 60 т.б.</w:t>
            </w:r>
            <w:r/>
          </w:p>
        </w:tc>
        <w:tc>
          <w:tcPr>
            <w:tcBorders>
              <w:top w:val="single" w:color="000000" w:sz="8" w:space="0"/>
              <w:left w:val="single" w:color="000000" w:sz="8" w:space="0"/>
              <w:bottom w:val="single" w:color="000000" w:sz="8" w:space="0"/>
            </w:tcBorders>
            <w:tcW w:w="987" w:type="dxa"/>
            <w:vAlign w:val="center"/>
            <w:textDirection w:val="lrTb"/>
            <w:noWrap w:val="false"/>
          </w:tcPr>
          <w:p>
            <w:pPr>
              <w:pStyle w:val="940"/>
              <w:jc w:val="center"/>
              <w:rPr>
                <w:rFonts w:eastAsia="Times New Roman"/>
                <w:bCs/>
              </w:rPr>
            </w:pPr>
            <w:r>
              <w:rPr>
                <w:rFonts w:eastAsia="Times New Roman"/>
                <w:bCs/>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033" w:type="dxa"/>
            <w:vAlign w:val="center"/>
            <w:textDirection w:val="lrTb"/>
            <w:noWrap w:val="false"/>
          </w:tcPr>
          <w:p>
            <w:pPr>
              <w:pStyle w:val="940"/>
              <w:jc w:val="center"/>
              <w:rPr>
                <w:rFonts w:eastAsia="Times New Roman"/>
                <w:bCs/>
              </w:rPr>
            </w:pPr>
            <w:r>
              <w:rPr>
                <w:rFonts w:eastAsia="Times New Roman"/>
                <w:bCs/>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rPr>
                <w:rFonts w:eastAsia="Times New Roman"/>
                <w:bCs/>
              </w:rPr>
            </w:pPr>
            <w:r>
              <w:rPr>
                <w:rFonts w:eastAsia="Times New Roman"/>
                <w:bCs/>
              </w:rPr>
              <w:t xml:space="preserve">VIII – начало XXI в.</w:t>
            </w:r>
            <w:r/>
          </w:p>
          <w:p>
            <w:pPr>
              <w:pStyle w:val="940"/>
              <w:jc w:val="center"/>
              <w:rPr>
                <w:rFonts w:eastAsia="Times New Roman"/>
                <w:bCs/>
              </w:rPr>
            </w:pPr>
            <w:r>
              <w:rPr>
                <w:rFonts w:eastAsia="Times New Roman"/>
                <w:bCs/>
              </w:rPr>
              <w:t xml:space="preserve">(история России,</w:t>
            </w:r>
            <w:r/>
          </w:p>
          <w:p>
            <w:pPr>
              <w:pStyle w:val="940"/>
              <w:jc w:val="center"/>
              <w:rPr>
                <w:rFonts w:eastAsia="Times New Roman"/>
                <w:bCs/>
              </w:rPr>
            </w:pPr>
            <w:r>
              <w:rPr>
                <w:rFonts w:eastAsia="Times New Roman"/>
                <w:bCs/>
              </w:rPr>
              <w:t xml:space="preserve">история зарубежных</w:t>
            </w:r>
            <w:r/>
          </w:p>
          <w:p>
            <w:pPr>
              <w:pStyle w:val="940"/>
              <w:jc w:val="center"/>
              <w:rPr>
                <w:rFonts w:eastAsia="Times New Roman"/>
                <w:bCs/>
              </w:rPr>
            </w:pPr>
            <w:r>
              <w:rPr>
                <w:rFonts w:eastAsia="Times New Roman"/>
                <w:bCs/>
              </w:rPr>
              <w:t xml:space="preserve">стран) / умение определять</w:t>
            </w:r>
            <w:r/>
          </w:p>
          <w:p>
            <w:pPr>
              <w:pStyle w:val="940"/>
              <w:jc w:val="center"/>
              <w:rPr>
                <w:rFonts w:eastAsia="Times New Roman"/>
                <w:bCs/>
              </w:rPr>
            </w:pPr>
            <w:r>
              <w:rPr>
                <w:rFonts w:eastAsia="Times New Roman"/>
                <w:bCs/>
              </w:rPr>
              <w:t xml:space="preserve">последовательность</w:t>
            </w:r>
            <w:r/>
          </w:p>
          <w:p>
            <w:pPr>
              <w:pStyle w:val="940"/>
              <w:jc w:val="center"/>
              <w:rPr>
                <w:rFonts w:eastAsia="Times New Roman"/>
                <w:bCs/>
              </w:rPr>
            </w:pPr>
            <w:r>
              <w:rPr>
                <w:rFonts w:eastAsia="Times New Roman"/>
                <w:bCs/>
              </w:rPr>
              <w:t xml:space="preserve">событий</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60,14</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21</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49.73</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85.4</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100</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bCs/>
                <w:color w:val="000000"/>
              </w:rPr>
              <w:t xml:space="preserve">установление</w:t>
            </w:r>
            <w:r/>
          </w:p>
          <w:p>
            <w:pPr>
              <w:pStyle w:val="940"/>
              <w:jc w:val="center"/>
              <w:rPr>
                <w:rFonts w:eastAsia="Times New Roman"/>
                <w:bCs/>
                <w:color w:val="000000"/>
              </w:rPr>
            </w:pPr>
            <w:r>
              <w:rPr>
                <w:rFonts w:eastAsia="Times New Roman"/>
                <w:bCs/>
                <w:color w:val="000000"/>
              </w:rPr>
              <w:t xml:space="preserve">соответствия</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69</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11</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61</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94</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100</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3</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bCs/>
                <w:color w:val="000000"/>
              </w:rPr>
              <w:t xml:space="preserve">множе-</w:t>
            </w:r>
            <w:r/>
          </w:p>
          <w:p>
            <w:pPr>
              <w:pStyle w:val="940"/>
              <w:jc w:val="center"/>
              <w:rPr>
                <w:rFonts w:eastAsia="Times New Roman"/>
                <w:bCs/>
                <w:color w:val="000000"/>
              </w:rPr>
            </w:pPr>
            <w:r>
              <w:rPr>
                <w:rFonts w:eastAsia="Times New Roman"/>
                <w:bCs/>
                <w:color w:val="000000"/>
              </w:rPr>
              <w:t xml:space="preserve">ственный выбор</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72</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38</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66</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87</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96</w:t>
            </w:r>
            <w:r/>
          </w:p>
        </w:tc>
      </w:tr>
      <w:tr>
        <w:trPr>
          <w:cantSplit/>
          <w:trHeight w:val="309"/>
        </w:trPr>
        <w:tc>
          <w:tcPr>
            <w:tcBorders>
              <w:top w:val="single" w:color="000000" w:sz="8" w:space="0"/>
              <w:left w:val="single" w:color="000000" w:sz="8" w:space="0"/>
              <w:bottom w:val="single" w:color="000000" w:sz="4" w:space="0"/>
            </w:tcBorders>
            <w:tcW w:w="1130" w:type="dxa"/>
            <w:textDirection w:val="lrTb"/>
            <w:noWrap w:val="false"/>
          </w:tcPr>
          <w:p>
            <w:pPr>
              <w:pStyle w:val="940"/>
              <w:jc w:val="center"/>
              <w:rPr>
                <w:rFonts w:eastAsia="Times New Roman"/>
                <w:color w:val="000000"/>
              </w:rPr>
            </w:pPr>
            <w:r>
              <w:rPr>
                <w:rFonts w:eastAsia="Times New Roman"/>
                <w:color w:val="000000"/>
              </w:rPr>
              <w:t xml:space="preserve">4</w:t>
            </w:r>
            <w:r/>
          </w:p>
        </w:tc>
        <w:tc>
          <w:tcPr>
            <w:tcBorders>
              <w:top w:val="single" w:color="000000" w:sz="8" w:space="0"/>
              <w:left w:val="single" w:color="000000" w:sz="8" w:space="0"/>
              <w:bottom w:val="single" w:color="000000" w:sz="4" w:space="0"/>
            </w:tcBorders>
            <w:tcW w:w="2126" w:type="dxa"/>
            <w:vAlign w:val="center"/>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bCs/>
                <w:color w:val="000000"/>
              </w:rPr>
              <w:t xml:space="preserve">определение</w:t>
            </w:r>
            <w:r/>
          </w:p>
          <w:p>
            <w:pPr>
              <w:pStyle w:val="940"/>
              <w:jc w:val="center"/>
              <w:rPr>
                <w:rFonts w:eastAsia="Times New Roman"/>
                <w:bCs/>
                <w:color w:val="000000"/>
              </w:rPr>
            </w:pPr>
            <w:r>
              <w:rPr>
                <w:rFonts w:eastAsia="Times New Roman"/>
                <w:bCs/>
                <w:color w:val="000000"/>
              </w:rPr>
              <w:t xml:space="preserve">термина по</w:t>
            </w:r>
            <w:r/>
          </w:p>
          <w:p>
            <w:pPr>
              <w:pStyle w:val="940"/>
              <w:jc w:val="center"/>
              <w:rPr>
                <w:rFonts w:eastAsia="Times New Roman"/>
                <w:bCs/>
                <w:color w:val="000000"/>
              </w:rPr>
            </w:pPr>
            <w:r>
              <w:rPr>
                <w:rFonts w:eastAsia="Times New Roman"/>
                <w:bCs/>
                <w:color w:val="000000"/>
              </w:rPr>
              <w:t xml:space="preserve">нескольким призна-</w:t>
            </w:r>
            <w:r/>
          </w:p>
          <w:p>
            <w:pPr>
              <w:pStyle w:val="940"/>
              <w:jc w:val="center"/>
              <w:rPr>
                <w:rFonts w:eastAsia="Times New Roman"/>
                <w:bCs/>
                <w:color w:val="000000"/>
              </w:rPr>
            </w:pPr>
            <w:r>
              <w:rPr>
                <w:rFonts w:eastAsia="Times New Roman"/>
                <w:bCs/>
                <w:color w:val="000000"/>
              </w:rPr>
              <w:t xml:space="preserve">кам</w:t>
            </w:r>
            <w:r/>
          </w:p>
        </w:tc>
        <w:tc>
          <w:tcPr>
            <w:tcBorders>
              <w:top w:val="single" w:color="000000" w:sz="8" w:space="0"/>
              <w:left w:val="single" w:color="000000" w:sz="8" w:space="0"/>
              <w:bottom w:val="single" w:color="000000" w:sz="4"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4" w:space="0"/>
            </w:tcBorders>
            <w:tcW w:w="858" w:type="dxa"/>
            <w:textDirection w:val="lrTb"/>
            <w:noWrap w:val="false"/>
          </w:tcPr>
          <w:p>
            <w:pPr>
              <w:pStyle w:val="940"/>
              <w:jc w:val="right"/>
              <w:rPr>
                <w:rFonts w:eastAsia="Times New Roman"/>
                <w:color w:val="000000"/>
              </w:rPr>
            </w:pPr>
            <w:r>
              <w:rPr>
                <w:rFonts w:eastAsia="Times New Roman"/>
                <w:color w:val="000000"/>
              </w:rPr>
              <w:t xml:space="preserve">52,9</w:t>
            </w:r>
            <w:r/>
          </w:p>
        </w:tc>
        <w:tc>
          <w:tcPr>
            <w:tcBorders>
              <w:top w:val="single" w:color="000000" w:sz="8" w:space="0"/>
              <w:left w:val="single" w:color="000000" w:sz="8" w:space="0"/>
              <w:bottom w:val="single" w:color="000000" w:sz="4" w:space="0"/>
            </w:tcBorders>
            <w:tcW w:w="1276" w:type="dxa"/>
            <w:textDirection w:val="lrTb"/>
            <w:noWrap w:val="false"/>
          </w:tcPr>
          <w:p>
            <w:pPr>
              <w:pStyle w:val="940"/>
              <w:jc w:val="right"/>
              <w:rPr>
                <w:rFonts w:eastAsia="Times New Roman"/>
                <w:color w:val="000000"/>
              </w:rPr>
            </w:pPr>
            <w:r>
              <w:rPr>
                <w:rFonts w:eastAsia="Times New Roman"/>
                <w:color w:val="000000"/>
              </w:rPr>
              <w:t xml:space="preserve">5,26</w:t>
            </w:r>
            <w:r/>
          </w:p>
        </w:tc>
        <w:tc>
          <w:tcPr>
            <w:tcBorders>
              <w:top w:val="single" w:color="000000" w:sz="8" w:space="0"/>
              <w:left w:val="single" w:color="000000" w:sz="8" w:space="0"/>
              <w:bottom w:val="single" w:color="000000" w:sz="4"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40.9</w:t>
            </w:r>
            <w:r/>
          </w:p>
        </w:tc>
        <w:tc>
          <w:tcPr>
            <w:tcBorders>
              <w:top w:val="single" w:color="000000" w:sz="8" w:space="0"/>
              <w:left w:val="single" w:color="000000" w:sz="8" w:space="0"/>
              <w:bottom w:val="single" w:color="000000" w:sz="4"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82.9</w:t>
            </w:r>
            <w:r/>
          </w:p>
        </w:tc>
        <w:tc>
          <w:tcPr>
            <w:tcBorders>
              <w:top w:val="single" w:color="000000" w:sz="8" w:space="0"/>
              <w:left w:val="single" w:color="000000" w:sz="8" w:space="0"/>
              <w:bottom w:val="single" w:color="000000" w:sz="4"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98,2</w:t>
            </w:r>
            <w:r/>
          </w:p>
        </w:tc>
      </w:tr>
      <w:tr>
        <w:trPr>
          <w:cantSplit/>
          <w:trHeight w:val="309"/>
        </w:trPr>
        <w:tc>
          <w:tcPr>
            <w:tcBorders>
              <w:top w:val="single" w:color="000000" w:sz="4" w:space="0"/>
              <w:left w:val="single" w:color="000000" w:sz="4" w:space="0"/>
              <w:bottom w:val="single" w:color="000000" w:sz="4" w:space="0"/>
            </w:tcBorders>
            <w:tcW w:w="1130" w:type="dxa"/>
            <w:textDirection w:val="lrTb"/>
            <w:noWrap w:val="false"/>
          </w:tcPr>
          <w:p>
            <w:pPr>
              <w:pStyle w:val="940"/>
              <w:jc w:val="center"/>
              <w:rPr>
                <w:rFonts w:eastAsia="Times New Roman"/>
                <w:color w:val="000000"/>
              </w:rPr>
            </w:pPr>
            <w:r>
              <w:rPr>
                <w:rFonts w:eastAsia="Times New Roman"/>
                <w:color w:val="000000"/>
              </w:rPr>
              <w:t xml:space="preserve">5</w:t>
            </w:r>
            <w:r/>
          </w:p>
        </w:tc>
        <w:tc>
          <w:tcPr>
            <w:tcBorders>
              <w:top w:val="single" w:color="000000" w:sz="4" w:space="0"/>
              <w:left w:val="single" w:color="000000" w:sz="8" w:space="0"/>
              <w:bottom w:val="single" w:color="000000" w:sz="4" w:space="0"/>
            </w:tcBorders>
            <w:tcW w:w="2126" w:type="dxa"/>
            <w:vAlign w:val="center"/>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bCs/>
                <w:color w:val="000000"/>
              </w:rPr>
              <w:t xml:space="preserve">установление</w:t>
            </w:r>
            <w:r/>
          </w:p>
          <w:p>
            <w:pPr>
              <w:pStyle w:val="940"/>
              <w:jc w:val="center"/>
              <w:rPr>
                <w:rFonts w:eastAsia="Times New Roman"/>
                <w:bCs/>
                <w:color w:val="000000"/>
              </w:rPr>
            </w:pPr>
            <w:r>
              <w:rPr>
                <w:rFonts w:eastAsia="Times New Roman"/>
                <w:bCs/>
                <w:color w:val="000000"/>
              </w:rPr>
              <w:t xml:space="preserve">соответствия</w:t>
            </w:r>
            <w:r/>
          </w:p>
        </w:tc>
        <w:tc>
          <w:tcPr>
            <w:tcBorders>
              <w:top w:val="single" w:color="000000" w:sz="4" w:space="0"/>
              <w:left w:val="single" w:color="000000" w:sz="8" w:space="0"/>
              <w:bottom w:val="single" w:color="000000" w:sz="4"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4" w:space="0"/>
              <w:left w:val="single" w:color="000000" w:sz="8" w:space="0"/>
              <w:bottom w:val="single" w:color="000000" w:sz="4" w:space="0"/>
            </w:tcBorders>
            <w:tcW w:w="858" w:type="dxa"/>
            <w:textDirection w:val="lrTb"/>
            <w:noWrap w:val="false"/>
          </w:tcPr>
          <w:p>
            <w:pPr>
              <w:pStyle w:val="940"/>
              <w:jc w:val="right"/>
              <w:rPr>
                <w:rFonts w:eastAsia="Times New Roman"/>
                <w:color w:val="000000"/>
              </w:rPr>
            </w:pPr>
            <w:r>
              <w:rPr>
                <w:rFonts w:eastAsia="Times New Roman"/>
                <w:color w:val="000000"/>
              </w:rPr>
              <w:t xml:space="preserve">61</w:t>
            </w:r>
            <w:r/>
          </w:p>
        </w:tc>
        <w:tc>
          <w:tcPr>
            <w:tcBorders>
              <w:top w:val="single" w:color="000000" w:sz="4" w:space="0"/>
              <w:left w:val="single" w:color="000000" w:sz="8" w:space="0"/>
              <w:bottom w:val="single" w:color="000000" w:sz="4" w:space="0"/>
            </w:tcBorders>
            <w:tcW w:w="1276" w:type="dxa"/>
            <w:textDirection w:val="lrTb"/>
            <w:noWrap w:val="false"/>
          </w:tcPr>
          <w:p>
            <w:pPr>
              <w:pStyle w:val="940"/>
              <w:jc w:val="right"/>
              <w:rPr>
                <w:rFonts w:eastAsia="Times New Roman"/>
                <w:color w:val="000000"/>
              </w:rPr>
            </w:pPr>
            <w:r>
              <w:rPr>
                <w:rFonts w:eastAsia="Times New Roman"/>
                <w:color w:val="000000"/>
              </w:rPr>
              <w:t xml:space="preserve">9,2</w:t>
            </w:r>
            <w:r/>
          </w:p>
        </w:tc>
        <w:tc>
          <w:tcPr>
            <w:tcBorders>
              <w:top w:val="single" w:color="000000" w:sz="4" w:space="0"/>
              <w:left w:val="single" w:color="000000" w:sz="8" w:space="0"/>
              <w:bottom w:val="single" w:color="000000" w:sz="4"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51</w:t>
            </w:r>
            <w:r/>
          </w:p>
        </w:tc>
        <w:tc>
          <w:tcPr>
            <w:tcBorders>
              <w:top w:val="single" w:color="000000" w:sz="4" w:space="0"/>
              <w:left w:val="single" w:color="000000" w:sz="8" w:space="0"/>
              <w:bottom w:val="single" w:color="000000" w:sz="4"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92</w:t>
            </w:r>
            <w:r/>
          </w:p>
        </w:tc>
        <w:tc>
          <w:tcPr>
            <w:tcBorders>
              <w:top w:val="single" w:color="000000" w:sz="4" w:space="0"/>
              <w:left w:val="single" w:color="000000" w:sz="8" w:space="0"/>
              <w:bottom w:val="single" w:color="000000" w:sz="4" w:space="0"/>
              <w:right w:val="single" w:color="000000" w:sz="4" w:space="0"/>
            </w:tcBorders>
            <w:tcW w:w="1013" w:type="dxa"/>
            <w:textDirection w:val="lrTb"/>
            <w:noWrap w:val="false"/>
          </w:tcPr>
          <w:p>
            <w:pPr>
              <w:pStyle w:val="940"/>
              <w:jc w:val="right"/>
              <w:rPr>
                <w:rFonts w:eastAsia="Times New Roman"/>
                <w:color w:val="000000"/>
              </w:rPr>
            </w:pPr>
            <w:r>
              <w:rPr>
                <w:rFonts w:eastAsia="Times New Roman"/>
                <w:color w:val="000000"/>
              </w:rPr>
              <w:t xml:space="preserve">98</w:t>
            </w:r>
            <w:r/>
          </w:p>
        </w:tc>
      </w:tr>
      <w:tr>
        <w:trPr>
          <w:cantSplit/>
          <w:trHeight w:val="309"/>
        </w:trPr>
        <w:tc>
          <w:tcPr>
            <w:tcBorders>
              <w:top w:val="single" w:color="000000" w:sz="4"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6</w:t>
            </w:r>
            <w:r/>
          </w:p>
        </w:tc>
        <w:tc>
          <w:tcPr>
            <w:tcBorders>
              <w:top w:val="single" w:color="000000" w:sz="4" w:space="0"/>
              <w:left w:val="single" w:color="000000" w:sz="8" w:space="0"/>
              <w:bottom w:val="single" w:color="000000" w:sz="8" w:space="0"/>
            </w:tcBorders>
            <w:tcW w:w="2126" w:type="dxa"/>
            <w:vAlign w:val="center"/>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 в.-1914 г. / </w:t>
            </w:r>
            <w:r>
              <w:rPr>
                <w:rFonts w:eastAsia="Times New Roman"/>
                <w:bCs/>
                <w:color w:val="000000"/>
              </w:rPr>
              <w:t xml:space="preserve">установление</w:t>
            </w:r>
            <w:r/>
          </w:p>
          <w:p>
            <w:pPr>
              <w:pStyle w:val="940"/>
              <w:jc w:val="center"/>
              <w:rPr>
                <w:rFonts w:eastAsia="Times New Roman"/>
                <w:bCs/>
                <w:color w:val="000000"/>
              </w:rPr>
            </w:pPr>
            <w:r>
              <w:rPr>
                <w:rFonts w:eastAsia="Times New Roman"/>
                <w:bCs/>
                <w:color w:val="000000"/>
              </w:rPr>
              <w:t xml:space="preserve">соответствия</w:t>
            </w:r>
            <w:r/>
          </w:p>
        </w:tc>
        <w:tc>
          <w:tcPr>
            <w:tcBorders>
              <w:top w:val="single" w:color="000000" w:sz="4"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4"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60</w:t>
            </w:r>
            <w:r/>
          </w:p>
        </w:tc>
        <w:tc>
          <w:tcPr>
            <w:tcBorders>
              <w:top w:val="single" w:color="000000" w:sz="4"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21</w:t>
            </w:r>
            <w:r/>
          </w:p>
        </w:tc>
        <w:tc>
          <w:tcPr>
            <w:tcBorders>
              <w:top w:val="single" w:color="000000" w:sz="4"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50</w:t>
            </w:r>
            <w:r/>
          </w:p>
        </w:tc>
        <w:tc>
          <w:tcPr>
            <w:tcBorders>
              <w:top w:val="single" w:color="000000" w:sz="4"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84</w:t>
            </w:r>
            <w:r/>
          </w:p>
        </w:tc>
        <w:tc>
          <w:tcPr>
            <w:tcBorders>
              <w:top w:val="single" w:color="000000" w:sz="4"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7</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bCs/>
                <w:color w:val="000000"/>
              </w:rPr>
              <w:t xml:space="preserve">множе-</w:t>
            </w:r>
            <w:r/>
          </w:p>
          <w:p>
            <w:pPr>
              <w:pStyle w:val="940"/>
              <w:jc w:val="center"/>
              <w:rPr>
                <w:rFonts w:eastAsia="Times New Roman"/>
                <w:bCs/>
                <w:color w:val="000000"/>
              </w:rPr>
            </w:pPr>
            <w:r>
              <w:rPr>
                <w:rFonts w:eastAsia="Times New Roman"/>
                <w:bCs/>
                <w:color w:val="000000"/>
              </w:rPr>
              <w:t xml:space="preserve">ственный выбор</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68,75</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35,53</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61.2</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88.2</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98,25</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8</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pPr>
            <w:r>
              <w:rPr>
                <w:rFonts w:eastAsia="Times New Roman"/>
                <w:color w:val="000000"/>
              </w:rPr>
              <w:t xml:space="preserve">1941-1945 гг. / </w:t>
            </w:r>
            <w:r>
              <w:rPr>
                <w:rFonts w:eastAsia="Times New Roman"/>
                <w:bCs/>
                <w:color w:val="000000"/>
              </w:rPr>
              <w:t xml:space="preserve">заполнение</w:t>
            </w:r>
            <w:r/>
          </w:p>
          <w:p>
            <w:pPr>
              <w:pStyle w:val="940"/>
              <w:jc w:val="center"/>
              <w:rPr>
                <w:rFonts w:eastAsia="Times New Roman"/>
                <w:bCs/>
                <w:color w:val="000000"/>
              </w:rPr>
            </w:pPr>
            <w:r>
              <w:rPr>
                <w:rFonts w:eastAsia="Times New Roman"/>
                <w:bCs/>
                <w:color w:val="000000"/>
              </w:rPr>
              <w:t xml:space="preserve">пропусков в предложениях</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66</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29</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61</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92</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9</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bCs/>
                <w:color w:val="000000"/>
              </w:rPr>
              <w:t xml:space="preserve">установление</w:t>
            </w:r>
            <w:r/>
          </w:p>
          <w:p>
            <w:pPr>
              <w:pStyle w:val="940"/>
              <w:jc w:val="center"/>
              <w:rPr>
                <w:rFonts w:eastAsia="Times New Roman"/>
                <w:bCs/>
                <w:color w:val="000000"/>
              </w:rPr>
            </w:pPr>
            <w:r>
              <w:rPr>
                <w:rFonts w:eastAsia="Times New Roman"/>
                <w:bCs/>
                <w:color w:val="000000"/>
              </w:rPr>
              <w:t xml:space="preserve">соответствия</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46</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12</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pPr>
            <w:r>
              <w:rPr>
                <w:rFonts w:eastAsia="Times New Roman"/>
                <w:color w:val="000000"/>
                <w:lang w:val="en-US"/>
              </w:rPr>
              <w:t xml:space="preserve">35</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70</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93</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10</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pPr>
            <w:r>
              <w:rPr>
                <w:rFonts w:eastAsia="Times New Roman"/>
                <w:color w:val="000000"/>
              </w:rPr>
              <w:t xml:space="preserve">1914-2012 гг. / </w:t>
            </w:r>
            <w:r>
              <w:rPr>
                <w:rFonts w:eastAsia="Times New Roman"/>
                <w:iCs/>
                <w:color w:val="000000"/>
              </w:rPr>
              <w:t xml:space="preserve">работа с текстовым</w:t>
            </w:r>
            <w:r/>
          </w:p>
          <w:p>
            <w:pPr>
              <w:pStyle w:val="940"/>
              <w:jc w:val="center"/>
              <w:rPr>
                <w:rFonts w:eastAsia="Times New Roman"/>
                <w:iCs/>
                <w:color w:val="000000"/>
              </w:rPr>
            </w:pPr>
            <w:r>
              <w:rPr>
                <w:rFonts w:eastAsia="Times New Roman"/>
                <w:iCs/>
                <w:color w:val="000000"/>
              </w:rPr>
              <w:t xml:space="preserve">историческим</w:t>
            </w:r>
            <w:r/>
          </w:p>
          <w:p>
            <w:pPr>
              <w:pStyle w:val="940"/>
              <w:jc w:val="center"/>
              <w:rPr>
                <w:rFonts w:eastAsia="Times New Roman"/>
                <w:iCs/>
                <w:color w:val="000000"/>
              </w:rPr>
            </w:pPr>
            <w:r>
              <w:rPr>
                <w:rFonts w:eastAsia="Times New Roman"/>
                <w:iCs/>
                <w:color w:val="000000"/>
              </w:rPr>
              <w:t xml:space="preserve">источником</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62,3</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10,5</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55.9</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82.1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96,5</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11</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rPr>
                <w:rFonts w:eastAsia="Times New Roman"/>
                <w:bCs/>
              </w:rPr>
            </w:pPr>
            <w:r>
              <w:rPr>
                <w:rFonts w:eastAsia="Times New Roman"/>
                <w:bCs/>
              </w:rPr>
              <w:t xml:space="preserve">VIII – начало XXI в.</w:t>
            </w:r>
            <w:r/>
          </w:p>
          <w:p>
            <w:pPr>
              <w:pStyle w:val="940"/>
              <w:jc w:val="center"/>
              <w:rPr>
                <w:rFonts w:eastAsia="Times New Roman"/>
                <w:bCs/>
              </w:rPr>
            </w:pPr>
            <w:r>
              <w:rPr>
                <w:rFonts w:eastAsia="Times New Roman"/>
                <w:bCs/>
              </w:rPr>
              <w:t xml:space="preserve">(история России,</w:t>
            </w:r>
            <w:r/>
          </w:p>
          <w:p>
            <w:pPr>
              <w:pStyle w:val="940"/>
              <w:jc w:val="center"/>
              <w:rPr>
                <w:rFonts w:eastAsia="Times New Roman"/>
                <w:bCs/>
              </w:rPr>
            </w:pPr>
            <w:r>
              <w:rPr>
                <w:rFonts w:eastAsia="Times New Roman"/>
                <w:bCs/>
              </w:rPr>
              <w:t xml:space="preserve">история зарубежных</w:t>
            </w:r>
            <w:r/>
          </w:p>
          <w:p>
            <w:pPr>
              <w:pStyle w:val="940"/>
              <w:jc w:val="center"/>
            </w:pPr>
            <w:r>
              <w:rPr>
                <w:rFonts w:eastAsia="Times New Roman"/>
                <w:bCs/>
              </w:rPr>
              <w:t xml:space="preserve">стран) / </w:t>
            </w:r>
            <w:r>
              <w:rPr>
                <w:rFonts w:eastAsia="Times New Roman"/>
                <w:bCs/>
                <w:iCs/>
              </w:rPr>
              <w:t xml:space="preserve">систематизация</w:t>
            </w:r>
            <w:r/>
          </w:p>
          <w:p>
            <w:pPr>
              <w:pStyle w:val="940"/>
              <w:jc w:val="center"/>
              <w:rPr>
                <w:rFonts w:eastAsia="Times New Roman"/>
                <w:bCs/>
                <w:iCs/>
              </w:rPr>
            </w:pPr>
            <w:r>
              <w:rPr>
                <w:rFonts w:eastAsia="Times New Roman"/>
                <w:bCs/>
                <w:iCs/>
              </w:rPr>
              <w:t xml:space="preserve">исторической</w:t>
            </w:r>
            <w:r/>
          </w:p>
          <w:p>
            <w:pPr>
              <w:pStyle w:val="940"/>
              <w:jc w:val="center"/>
              <w:rPr>
                <w:rFonts w:eastAsia="Times New Roman"/>
                <w:bCs/>
                <w:iCs/>
              </w:rPr>
            </w:pPr>
            <w:r>
              <w:rPr>
                <w:rFonts w:eastAsia="Times New Roman"/>
                <w:bCs/>
                <w:iCs/>
              </w:rPr>
              <w:t xml:space="preserve">информации,</w:t>
            </w:r>
            <w:r/>
          </w:p>
          <w:p>
            <w:pPr>
              <w:pStyle w:val="940"/>
              <w:jc w:val="center"/>
              <w:rPr>
                <w:rFonts w:eastAsia="Times New Roman"/>
                <w:bCs/>
                <w:iCs/>
              </w:rPr>
            </w:pPr>
            <w:r>
              <w:rPr>
                <w:rFonts w:eastAsia="Times New Roman"/>
                <w:bCs/>
                <w:iCs/>
              </w:rPr>
              <w:t xml:space="preserve">представленной в</w:t>
            </w:r>
            <w:r/>
          </w:p>
          <w:p>
            <w:pPr>
              <w:pStyle w:val="940"/>
              <w:jc w:val="center"/>
              <w:rPr>
                <w:rFonts w:eastAsia="Times New Roman"/>
                <w:bCs/>
                <w:iCs/>
              </w:rPr>
            </w:pPr>
            <w:r>
              <w:rPr>
                <w:rFonts w:eastAsia="Times New Roman"/>
                <w:bCs/>
                <w:iCs/>
              </w:rPr>
              <w:t xml:space="preserve">различных</w:t>
            </w:r>
            <w:r/>
          </w:p>
          <w:p>
            <w:pPr>
              <w:pStyle w:val="940"/>
              <w:jc w:val="center"/>
              <w:rPr>
                <w:rFonts w:eastAsia="Times New Roman"/>
                <w:bCs/>
                <w:iCs/>
              </w:rPr>
            </w:pPr>
            <w:r>
              <w:rPr>
                <w:rFonts w:eastAsia="Times New Roman"/>
                <w:bCs/>
                <w:iCs/>
              </w:rPr>
              <w:t xml:space="preserve">знаковых системах</w:t>
            </w:r>
            <w:r/>
          </w:p>
          <w:p>
            <w:pPr>
              <w:pStyle w:val="940"/>
              <w:jc w:val="center"/>
              <w:rPr>
                <w:rFonts w:eastAsia="Times New Roman"/>
                <w:bCs/>
                <w:iCs/>
              </w:rPr>
            </w:pPr>
            <w:r>
              <w:rPr>
                <w:rFonts w:eastAsia="Times New Roman"/>
                <w:bCs/>
                <w:iCs/>
              </w:rPr>
              <w:t xml:space="preserve">(таблица)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64,25</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9,6</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55.7</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91.6</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rPr>
            </w:pPr>
            <w:r>
              <w:rPr>
                <w:rFonts w:eastAsia="Times New Roman"/>
                <w:color w:val="000000"/>
              </w:rPr>
              <w:t xml:space="preserve">97,08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12</w:t>
            </w:r>
            <w:r/>
          </w:p>
        </w:tc>
        <w:tc>
          <w:tcPr>
            <w:tcBorders>
              <w:top w:val="single" w:color="000000" w:sz="8" w:space="0"/>
              <w:left w:val="single" w:color="000000" w:sz="8" w:space="0"/>
              <w:bottom w:val="single" w:color="000000" w:sz="8" w:space="0"/>
            </w:tcBorders>
            <w:tcW w:w="2126" w:type="dxa"/>
            <w:vAlign w:val="center"/>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iCs/>
                <w:color w:val="000000"/>
              </w:rPr>
              <w:t xml:space="preserve">работа с текстовым</w:t>
            </w:r>
            <w:r/>
          </w:p>
          <w:p>
            <w:pPr>
              <w:pStyle w:val="940"/>
              <w:jc w:val="center"/>
              <w:rPr>
                <w:rFonts w:eastAsia="Times New Roman"/>
                <w:iCs/>
                <w:color w:val="000000"/>
              </w:rPr>
            </w:pPr>
            <w:r>
              <w:rPr>
                <w:rFonts w:eastAsia="Times New Roman"/>
                <w:iCs/>
                <w:color w:val="000000"/>
              </w:rPr>
              <w:t xml:space="preserve">историческим</w:t>
            </w:r>
            <w:r/>
          </w:p>
          <w:p>
            <w:pPr>
              <w:pStyle w:val="940"/>
              <w:jc w:val="center"/>
              <w:rPr>
                <w:rFonts w:eastAsia="Times New Roman"/>
                <w:iCs/>
                <w:color w:val="000000"/>
              </w:rPr>
            </w:pPr>
            <w:r>
              <w:rPr>
                <w:rFonts w:eastAsia="Times New Roman"/>
                <w:iCs/>
                <w:color w:val="000000"/>
              </w:rPr>
              <w:t xml:space="preserve">источником</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56</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30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52</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67</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79</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13</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iCs/>
                <w:color w:val="000000"/>
              </w:rPr>
              <w:t xml:space="preserve">работа с исторической картой</w:t>
            </w:r>
            <w:r/>
          </w:p>
          <w:p>
            <w:pPr>
              <w:pStyle w:val="940"/>
              <w:jc w:val="center"/>
              <w:rPr>
                <w:rFonts w:eastAsia="Times New Roman"/>
                <w:iCs/>
                <w:color w:val="000000"/>
              </w:rPr>
            </w:pPr>
            <w:r>
              <w:rPr>
                <w:rFonts w:eastAsia="Times New Roman"/>
                <w:iCs/>
                <w:color w:val="000000"/>
              </w:rPr>
              <w:t xml:space="preserve">(схемой)</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57,77</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2,6</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52.1</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75.6</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93</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14</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iCs/>
                <w:color w:val="000000"/>
              </w:rPr>
              <w:t xml:space="preserve">работа с исторической картой</w:t>
            </w:r>
            <w:r/>
          </w:p>
          <w:p>
            <w:pPr>
              <w:pStyle w:val="940"/>
              <w:jc w:val="center"/>
              <w:rPr>
                <w:rFonts w:eastAsia="Times New Roman"/>
                <w:iCs/>
                <w:color w:val="000000"/>
              </w:rPr>
            </w:pPr>
            <w:r>
              <w:rPr>
                <w:rFonts w:eastAsia="Times New Roman"/>
                <w:iCs/>
                <w:color w:val="000000"/>
              </w:rPr>
              <w:t xml:space="preserve">(схемой)</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42</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30</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66</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89</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15</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iCs/>
                <w:color w:val="000000"/>
              </w:rPr>
              <w:t xml:space="preserve">работа с исторической картой</w:t>
            </w:r>
            <w:r/>
          </w:p>
          <w:p>
            <w:pPr>
              <w:pStyle w:val="940"/>
              <w:jc w:val="center"/>
              <w:rPr>
                <w:rFonts w:eastAsia="Times New Roman"/>
                <w:iCs/>
                <w:color w:val="000000"/>
              </w:rPr>
            </w:pPr>
            <w:r>
              <w:rPr>
                <w:rFonts w:eastAsia="Times New Roman"/>
                <w:iCs/>
                <w:color w:val="000000"/>
              </w:rPr>
              <w:t xml:space="preserve">(схемой)</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47</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35</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72</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16</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rPr>
                <w:rFonts w:eastAsia="Times New Roman"/>
                <w:color w:val="000000"/>
              </w:rPr>
            </w:pPr>
            <w:r>
              <w:rPr>
                <w:rFonts w:eastAsia="Times New Roman"/>
                <w:color w:val="000000"/>
              </w:rPr>
              <w:t xml:space="preserve">Один из периодов,</w:t>
            </w:r>
            <w:r/>
          </w:p>
          <w:p>
            <w:pPr>
              <w:pStyle w:val="940"/>
              <w:jc w:val="center"/>
              <w:rPr>
                <w:rFonts w:eastAsia="Times New Roman"/>
                <w:color w:val="000000"/>
              </w:rPr>
            </w:pPr>
            <w:r>
              <w:rPr>
                <w:rFonts w:eastAsia="Times New Roman"/>
                <w:color w:val="000000"/>
              </w:rPr>
              <w:t xml:space="preserve">изучаемых в курсе</w:t>
            </w:r>
            <w:r/>
          </w:p>
          <w:p>
            <w:pPr>
              <w:pStyle w:val="940"/>
              <w:jc w:val="center"/>
              <w:rPr>
                <w:rFonts w:eastAsia="Times New Roman"/>
                <w:color w:val="000000"/>
              </w:rPr>
            </w:pPr>
            <w:r>
              <w:rPr>
                <w:rFonts w:eastAsia="Times New Roman"/>
                <w:color w:val="000000"/>
              </w:rPr>
              <w:t xml:space="preserve">истории России</w:t>
            </w:r>
            <w:r/>
          </w:p>
          <w:p>
            <w:pPr>
              <w:pStyle w:val="940"/>
              <w:jc w:val="center"/>
            </w:pPr>
            <w:r>
              <w:rPr>
                <w:rFonts w:eastAsia="Times New Roman"/>
                <w:color w:val="000000"/>
              </w:rPr>
              <w:t xml:space="preserve">(VIII – начало XXI в.) / </w:t>
            </w:r>
            <w:r>
              <w:rPr>
                <w:rFonts w:eastAsia="Times New Roman"/>
                <w:iCs/>
                <w:color w:val="000000"/>
              </w:rPr>
              <w:t xml:space="preserve">работа с исторической картой</w:t>
            </w:r>
            <w:r/>
          </w:p>
          <w:p>
            <w:pPr>
              <w:pStyle w:val="940"/>
              <w:jc w:val="center"/>
              <w:rPr>
                <w:rFonts w:eastAsia="Times New Roman"/>
                <w:iCs/>
                <w:color w:val="000000"/>
              </w:rPr>
            </w:pPr>
            <w:r>
              <w:rPr>
                <w:rFonts w:eastAsia="Times New Roman"/>
                <w:iCs/>
                <w:color w:val="000000"/>
              </w:rPr>
              <w:t xml:space="preserve">(схемой)</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52</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26</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44</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67</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17</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установление</w:t>
            </w:r>
            <w:r/>
          </w:p>
          <w:p>
            <w:pPr>
              <w:pStyle w:val="940"/>
              <w:jc w:val="center"/>
              <w:rPr>
                <w:rFonts w:eastAsia="Times New Roman"/>
                <w:iCs/>
                <w:color w:val="000000"/>
              </w:rPr>
            </w:pPr>
            <w:r>
              <w:rPr>
                <w:rFonts w:eastAsia="Times New Roman"/>
                <w:iCs/>
                <w:color w:val="000000"/>
              </w:rPr>
              <w:t xml:space="preserve">соответствия</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47</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11</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35</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72</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94</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18</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анализ иллюстративного материала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40</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7,9</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29</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63</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84</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19</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анализ иллюстративного материала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42</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29</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30</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58</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20</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характеристика авторства, времени,</w:t>
            </w:r>
            <w:r/>
          </w:p>
          <w:p>
            <w:pPr>
              <w:pStyle w:val="940"/>
              <w:jc w:val="center"/>
              <w:rPr>
                <w:rFonts w:eastAsia="Times New Roman"/>
                <w:iCs/>
                <w:color w:val="000000"/>
              </w:rPr>
            </w:pPr>
            <w:r>
              <w:rPr>
                <w:rFonts w:eastAsia="Times New Roman"/>
                <w:iCs/>
                <w:color w:val="000000"/>
              </w:rPr>
              <w:t xml:space="preserve">обстоятельств и</w:t>
            </w:r>
            <w:r/>
          </w:p>
          <w:p>
            <w:pPr>
              <w:pStyle w:val="940"/>
              <w:jc w:val="center"/>
              <w:rPr>
                <w:rFonts w:eastAsia="Times New Roman"/>
                <w:iCs/>
                <w:color w:val="000000"/>
              </w:rPr>
            </w:pPr>
            <w:r>
              <w:rPr>
                <w:rFonts w:eastAsia="Times New Roman"/>
                <w:iCs/>
                <w:color w:val="000000"/>
              </w:rPr>
              <w:t xml:space="preserve">целей создания источника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pPr>
            <w:r>
              <w:rPr>
                <w:rFonts w:eastAsia="Times New Roman"/>
                <w:color w:val="000000"/>
              </w:rPr>
              <w:t xml:space="preserve">54,</w:t>
            </w:r>
            <w:r>
              <w:rPr>
                <w:rFonts w:eastAsia="Times New Roman"/>
                <w:color w:val="000000"/>
                <w:lang w:val="en-US"/>
              </w:rPr>
              <w:t xml:space="preserve">39</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1,3</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43</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87</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94</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21</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умение проводить</w:t>
            </w:r>
            <w:r/>
          </w:p>
          <w:p>
            <w:pPr>
              <w:pStyle w:val="940"/>
              <w:jc w:val="center"/>
              <w:rPr>
                <w:rFonts w:eastAsia="Times New Roman"/>
                <w:iCs/>
                <w:color w:val="000000"/>
              </w:rPr>
            </w:pPr>
            <w:r>
              <w:rPr>
                <w:rFonts w:eastAsia="Times New Roman"/>
                <w:iCs/>
                <w:color w:val="000000"/>
              </w:rPr>
              <w:t xml:space="preserve">поиск исторической</w:t>
            </w:r>
            <w:r/>
          </w:p>
          <w:p>
            <w:pPr>
              <w:pStyle w:val="940"/>
              <w:jc w:val="center"/>
              <w:rPr>
                <w:rFonts w:eastAsia="Times New Roman"/>
                <w:iCs/>
                <w:color w:val="000000"/>
              </w:rPr>
            </w:pPr>
            <w:r>
              <w:rPr>
                <w:rFonts w:eastAsia="Times New Roman"/>
                <w:iCs/>
                <w:color w:val="000000"/>
              </w:rPr>
              <w:t xml:space="preserve">информации в</w:t>
            </w:r>
            <w:r/>
          </w:p>
          <w:p>
            <w:pPr>
              <w:pStyle w:val="940"/>
              <w:jc w:val="center"/>
              <w:rPr>
                <w:rFonts w:eastAsia="Times New Roman"/>
                <w:iCs/>
                <w:color w:val="000000"/>
              </w:rPr>
            </w:pPr>
            <w:r>
              <w:rPr>
                <w:rFonts w:eastAsia="Times New Roman"/>
                <w:iCs/>
                <w:color w:val="000000"/>
              </w:rPr>
              <w:t xml:space="preserve">источниках разного</w:t>
            </w:r>
            <w:r/>
          </w:p>
          <w:p>
            <w:pPr>
              <w:pStyle w:val="940"/>
              <w:jc w:val="center"/>
              <w:rPr>
                <w:rFonts w:eastAsia="Times New Roman"/>
                <w:iCs/>
                <w:color w:val="000000"/>
              </w:rPr>
            </w:pPr>
            <w:r>
              <w:rPr>
                <w:rFonts w:eastAsia="Times New Roman"/>
                <w:iCs/>
                <w:color w:val="000000"/>
              </w:rPr>
              <w:t xml:space="preserve">типа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78</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36</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75</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92</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98</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22</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умение использовать принципы</w:t>
            </w:r>
            <w:r/>
          </w:p>
          <w:p>
            <w:pPr>
              <w:pStyle w:val="940"/>
              <w:jc w:val="center"/>
            </w:pPr>
            <w:r>
              <w:rPr>
                <w:rFonts w:eastAsia="Times New Roman"/>
                <w:iCs/>
                <w:color w:val="000000"/>
              </w:rPr>
              <w:t xml:space="preserve">структурно-функционально-го, временнóго и пространственного</w:t>
            </w:r>
            <w:r/>
          </w:p>
          <w:p>
            <w:pPr>
              <w:pStyle w:val="940"/>
              <w:jc w:val="center"/>
              <w:rPr>
                <w:rFonts w:eastAsia="Times New Roman"/>
                <w:iCs/>
                <w:color w:val="000000"/>
              </w:rPr>
            </w:pPr>
            <w:r>
              <w:rPr>
                <w:rFonts w:eastAsia="Times New Roman"/>
                <w:iCs/>
                <w:color w:val="000000"/>
              </w:rPr>
              <w:t xml:space="preserve">анализа при работе</w:t>
            </w:r>
            <w:r/>
          </w:p>
          <w:p>
            <w:pPr>
              <w:pStyle w:val="940"/>
              <w:jc w:val="center"/>
              <w:rPr>
                <w:rFonts w:eastAsia="Times New Roman"/>
                <w:iCs/>
                <w:color w:val="000000"/>
              </w:rPr>
            </w:pPr>
            <w:r>
              <w:rPr>
                <w:rFonts w:eastAsia="Times New Roman"/>
                <w:iCs/>
                <w:color w:val="000000"/>
              </w:rPr>
              <w:t xml:space="preserve">с источником</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pPr>
            <w:r>
              <w:rPr>
                <w:rFonts w:eastAsia="Times New Roman"/>
                <w:color w:val="000000"/>
              </w:rPr>
              <w:t xml:space="preserve">3</w:t>
            </w:r>
            <w:r>
              <w:rPr>
                <w:rFonts w:eastAsia="Times New Roman"/>
                <w:color w:val="000000"/>
                <w:lang w:val="en-US"/>
              </w:rPr>
              <w:t xml:space="preserve">3</w:t>
            </w:r>
            <w:r>
              <w:rPr>
                <w:rFonts w:eastAsia="Times New Roman"/>
                <w:color w:val="000000"/>
              </w:rPr>
              <w:t xml:space="preserve">,</w:t>
            </w:r>
            <w:r>
              <w:rPr>
                <w:rFonts w:eastAsia="Times New Roman"/>
                <w:color w:val="000000"/>
                <w:lang w:val="en-US"/>
              </w:rPr>
              <w:t xml:space="preserve">87</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21</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60</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84.2</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23</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Умение</w:t>
            </w:r>
            <w:r/>
          </w:p>
          <w:p>
            <w:pPr>
              <w:pStyle w:val="940"/>
              <w:jc w:val="center"/>
            </w:pPr>
            <w:r>
              <w:rPr>
                <w:rFonts w:eastAsia="Times New Roman"/>
                <w:iCs/>
                <w:color w:val="000000"/>
              </w:rPr>
              <w:t xml:space="preserve">использовать </w:t>
            </w:r>
            <w:r/>
          </w:p>
          <w:p>
            <w:pPr>
              <w:pStyle w:val="940"/>
              <w:jc w:val="center"/>
              <w:rPr>
                <w:rFonts w:eastAsia="Times New Roman"/>
                <w:iCs/>
                <w:color w:val="000000"/>
              </w:rPr>
            </w:pPr>
            <w:r>
              <w:rPr>
                <w:rFonts w:eastAsia="Times New Roman"/>
                <w:iCs/>
                <w:color w:val="000000"/>
              </w:rPr>
              <w:t xml:space="preserve">принципы</w:t>
            </w:r>
            <w:r/>
          </w:p>
          <w:p>
            <w:pPr>
              <w:pStyle w:val="940"/>
              <w:jc w:val="center"/>
              <w:rPr>
                <w:rFonts w:eastAsia="Times New Roman"/>
                <w:iCs/>
                <w:color w:val="000000"/>
              </w:rPr>
            </w:pPr>
            <w:r>
              <w:rPr>
                <w:rFonts w:eastAsia="Times New Roman"/>
                <w:iCs/>
                <w:color w:val="000000"/>
              </w:rPr>
              <w:t xml:space="preserve">структурно-</w:t>
            </w:r>
            <w:r/>
          </w:p>
          <w:p>
            <w:pPr>
              <w:pStyle w:val="940"/>
              <w:jc w:val="center"/>
              <w:rPr>
                <w:rFonts w:eastAsia="Times New Roman"/>
                <w:iCs/>
                <w:color w:val="000000"/>
              </w:rPr>
            </w:pPr>
            <w:r>
              <w:rPr>
                <w:rFonts w:eastAsia="Times New Roman"/>
                <w:iCs/>
                <w:color w:val="000000"/>
              </w:rPr>
              <w:t xml:space="preserve">функционального,</w:t>
            </w:r>
            <w:r/>
          </w:p>
          <w:p>
            <w:pPr>
              <w:pStyle w:val="940"/>
              <w:jc w:val="center"/>
              <w:rPr>
                <w:rFonts w:eastAsia="Times New Roman"/>
                <w:iCs/>
                <w:color w:val="000000"/>
              </w:rPr>
            </w:pPr>
            <w:r>
              <w:rPr>
                <w:rFonts w:eastAsia="Times New Roman"/>
                <w:iCs/>
                <w:color w:val="000000"/>
              </w:rPr>
              <w:t xml:space="preserve">временнóго и</w:t>
            </w:r>
            <w:r/>
          </w:p>
          <w:p>
            <w:pPr>
              <w:pStyle w:val="940"/>
              <w:jc w:val="center"/>
            </w:pPr>
            <w:r>
              <w:rPr>
                <w:rFonts w:eastAsia="Times New Roman"/>
                <w:iCs/>
                <w:color w:val="000000"/>
              </w:rPr>
              <w:t xml:space="preserve">пространственного</w:t>
            </w:r>
            <w:r/>
          </w:p>
          <w:p>
            <w:pPr>
              <w:pStyle w:val="940"/>
              <w:jc w:val="center"/>
              <w:rPr>
                <w:rFonts w:eastAsia="Times New Roman"/>
                <w:iCs/>
                <w:color w:val="000000"/>
              </w:rPr>
            </w:pPr>
            <w:r>
              <w:rPr>
                <w:rFonts w:eastAsia="Times New Roman"/>
                <w:iCs/>
                <w:color w:val="000000"/>
              </w:rPr>
              <w:t xml:space="preserve">анализа при</w:t>
            </w:r>
            <w:r/>
          </w:p>
          <w:p>
            <w:pPr>
              <w:pStyle w:val="940"/>
              <w:jc w:val="center"/>
              <w:rPr>
                <w:rFonts w:eastAsia="Times New Roman"/>
                <w:iCs/>
                <w:color w:val="000000"/>
              </w:rPr>
            </w:pPr>
            <w:r>
              <w:rPr>
                <w:rFonts w:eastAsia="Times New Roman"/>
                <w:iCs/>
                <w:color w:val="000000"/>
              </w:rPr>
              <w:t xml:space="preserve">рассмотрении</w:t>
            </w:r>
            <w:r/>
          </w:p>
          <w:p>
            <w:pPr>
              <w:pStyle w:val="940"/>
              <w:jc w:val="center"/>
              <w:rPr>
                <w:rFonts w:eastAsia="Times New Roman"/>
                <w:iCs/>
                <w:color w:val="000000"/>
              </w:rPr>
            </w:pPr>
            <w:r>
              <w:rPr>
                <w:rFonts w:eastAsia="Times New Roman"/>
                <w:iCs/>
                <w:color w:val="000000"/>
              </w:rPr>
              <w:t xml:space="preserve">фактов, явлений,</w:t>
            </w:r>
            <w:r/>
          </w:p>
          <w:p>
            <w:pPr>
              <w:pStyle w:val="940"/>
              <w:jc w:val="center"/>
              <w:rPr>
                <w:rFonts w:eastAsia="Times New Roman"/>
                <w:iCs/>
                <w:color w:val="000000"/>
              </w:rPr>
            </w:pPr>
            <w:r>
              <w:rPr>
                <w:rFonts w:eastAsia="Times New Roman"/>
                <w:iCs/>
                <w:color w:val="000000"/>
              </w:rPr>
              <w:t xml:space="preserve">процессов (задание-</w:t>
            </w:r>
            <w:r/>
          </w:p>
          <w:p>
            <w:pPr>
              <w:pStyle w:val="940"/>
              <w:jc w:val="center"/>
              <w:rPr>
                <w:rFonts w:eastAsia="Times New Roman"/>
                <w:iCs/>
                <w:color w:val="000000"/>
              </w:rPr>
            </w:pPr>
            <w:r>
              <w:rPr>
                <w:rFonts w:eastAsia="Times New Roman"/>
                <w:iCs/>
                <w:color w:val="000000"/>
              </w:rPr>
              <w:t xml:space="preserve">задача)</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28</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16</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51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77.2</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24</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w:t>
            </w:r>
            <w:r>
              <w:rPr>
                <w:rFonts w:eastAsia="Times New Roman"/>
                <w:iCs/>
                <w:color w:val="000000"/>
              </w:rPr>
              <w:t xml:space="preserve">Умение использовать исторические</w:t>
            </w:r>
            <w:r/>
          </w:p>
          <w:p>
            <w:pPr>
              <w:pStyle w:val="940"/>
              <w:jc w:val="center"/>
              <w:rPr>
                <w:rFonts w:eastAsia="Times New Roman"/>
                <w:iCs/>
                <w:color w:val="000000"/>
              </w:rPr>
            </w:pPr>
            <w:r>
              <w:rPr>
                <w:rFonts w:eastAsia="Times New Roman"/>
                <w:iCs/>
                <w:color w:val="000000"/>
              </w:rPr>
              <w:t xml:space="preserve">сведения для</w:t>
            </w:r>
            <w:r/>
          </w:p>
          <w:p>
            <w:pPr>
              <w:pStyle w:val="940"/>
              <w:jc w:val="center"/>
              <w:rPr>
                <w:rFonts w:eastAsia="Times New Roman"/>
                <w:iCs/>
                <w:color w:val="000000"/>
              </w:rPr>
            </w:pPr>
            <w:r>
              <w:rPr>
                <w:rFonts w:eastAsia="Times New Roman"/>
                <w:iCs/>
                <w:color w:val="000000"/>
              </w:rPr>
              <w:t xml:space="preserve">аргументации в ходе</w:t>
            </w:r>
            <w:r/>
          </w:p>
          <w:p>
            <w:pPr>
              <w:pStyle w:val="940"/>
              <w:jc w:val="center"/>
              <w:rPr>
                <w:rFonts w:eastAsia="Times New Roman"/>
                <w:iCs/>
                <w:color w:val="000000"/>
              </w:rPr>
            </w:pPr>
            <w:r>
              <w:rPr>
                <w:rFonts w:eastAsia="Times New Roman"/>
                <w:iCs/>
                <w:color w:val="000000"/>
              </w:rPr>
              <w:t xml:space="preserve">дискуссии</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pPr>
            <w:r>
              <w:rPr>
                <w:rFonts w:eastAsia="Times New Roman"/>
                <w:color w:val="000000"/>
              </w:rPr>
              <w:t xml:space="preserve">22,</w:t>
            </w:r>
            <w:r>
              <w:rPr>
                <w:rFonts w:eastAsia="Times New Roman"/>
                <w:color w:val="000000"/>
                <w:lang w:val="en-US"/>
              </w:rPr>
              <w:t xml:space="preserve">5</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0,5</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9.8</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41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80.3</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 (к1)</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Б</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61,91</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9,2</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52</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91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99.1</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25(к2)</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rPr>
            </w:pPr>
            <w:r>
              <w:rPr>
                <w:rFonts w:eastAsia="Times New Roman"/>
              </w:rPr>
              <w:t xml:space="preserve">П</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26,8</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1,3</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15.4</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45.9</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77.2</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25(к3)</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32,8</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1,3</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18.1</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58.1</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95.6</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 (к4)</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16</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4.8</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27.6</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75.4</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 (к5)</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pPr>
            <w:r>
              <w:rPr>
                <w:rFonts w:eastAsia="Times New Roman"/>
                <w:color w:val="000000"/>
              </w:rPr>
              <w:t xml:space="preserve">11,8</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2.76</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17.3</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67.2</w:t>
            </w:r>
            <w:r/>
          </w:p>
        </w:tc>
      </w:tr>
      <w:tr>
        <w:trPr>
          <w:cantSplit/>
          <w:trHeight w:val="309"/>
        </w:trPr>
        <w:tc>
          <w:tcPr>
            <w:tcBorders>
              <w:top w:val="single" w:color="000000" w:sz="8" w:space="0"/>
              <w:left w:val="single" w:color="000000" w:sz="8" w:space="0"/>
              <w:bottom w:val="single" w:color="000000" w:sz="8" w:space="0"/>
            </w:tcBorders>
            <w:tcW w:w="1130" w:type="dxa"/>
            <w:textDirection w:val="lrTb"/>
            <w:noWrap w:val="false"/>
          </w:tcPr>
          <w:p>
            <w:pPr>
              <w:pStyle w:val="940"/>
              <w:jc w:val="center"/>
              <w:rPr>
                <w:rFonts w:eastAsia="Times New Roman"/>
                <w:color w:val="000000"/>
              </w:rPr>
            </w:pPr>
            <w:r>
              <w:rPr>
                <w:rFonts w:eastAsia="Times New Roman"/>
                <w:color w:val="000000"/>
              </w:rPr>
              <w:t xml:space="preserve">25(к6)</w:t>
            </w:r>
            <w:r/>
          </w:p>
        </w:tc>
        <w:tc>
          <w:tcPr>
            <w:tcBorders>
              <w:top w:val="single" w:color="000000" w:sz="8" w:space="0"/>
              <w:left w:val="single" w:color="000000" w:sz="8" w:space="0"/>
              <w:bottom w:val="single" w:color="000000" w:sz="8" w:space="0"/>
            </w:tcBorders>
            <w:tcW w:w="2126" w:type="dxa"/>
            <w:textDirection w:val="lrTb"/>
            <w:noWrap w:val="false"/>
          </w:tcPr>
          <w:p>
            <w:pPr>
              <w:pStyle w:val="940"/>
              <w:jc w:val="center"/>
            </w:pPr>
            <w:r>
              <w:rPr>
                <w:rFonts w:eastAsia="Times New Roman"/>
                <w:color w:val="000000"/>
                <w:lang w:val="en-US"/>
              </w:rPr>
              <w:t xml:space="preserve">VIII</w:t>
            </w:r>
            <w:r>
              <w:rPr>
                <w:rFonts w:eastAsia="Times New Roman"/>
                <w:color w:val="000000"/>
              </w:rPr>
              <w:t xml:space="preserve">-начало </w:t>
            </w:r>
            <w:r>
              <w:rPr>
                <w:rFonts w:eastAsia="Times New Roman"/>
                <w:color w:val="000000"/>
                <w:lang w:val="en-US"/>
              </w:rPr>
              <w:t xml:space="preserve">XXI</w:t>
            </w:r>
            <w:r>
              <w:rPr>
                <w:rFonts w:eastAsia="Times New Roman"/>
                <w:color w:val="000000"/>
              </w:rPr>
              <w:t xml:space="preserve"> вв. / историческое сочинение</w:t>
            </w:r>
            <w:r/>
          </w:p>
        </w:tc>
        <w:tc>
          <w:tcPr>
            <w:tcBorders>
              <w:top w:val="single" w:color="000000" w:sz="8" w:space="0"/>
              <w:left w:val="single" w:color="000000" w:sz="8" w:space="0"/>
              <w:bottom w:val="single" w:color="000000" w:sz="8" w:space="0"/>
            </w:tcBorders>
            <w:tcW w:w="1134" w:type="dxa"/>
            <w:textDirection w:val="lrTb"/>
            <w:noWrap w:val="false"/>
          </w:tcPr>
          <w:p>
            <w:pPr>
              <w:pStyle w:val="940"/>
              <w:jc w:val="center"/>
              <w:rPr>
                <w:rFonts w:eastAsia="Times New Roman"/>
                <w:color w:val="000000"/>
              </w:rPr>
            </w:pPr>
            <w:r>
              <w:rPr>
                <w:rFonts w:eastAsia="Times New Roman"/>
                <w:color w:val="000000"/>
              </w:rPr>
              <w:t xml:space="preserve">В</w:t>
            </w:r>
            <w:r/>
          </w:p>
        </w:tc>
        <w:tc>
          <w:tcPr>
            <w:tcBorders>
              <w:top w:val="single" w:color="000000" w:sz="8" w:space="0"/>
              <w:left w:val="single" w:color="000000" w:sz="8" w:space="0"/>
              <w:bottom w:val="single" w:color="000000" w:sz="8" w:space="0"/>
            </w:tcBorders>
            <w:tcW w:w="858" w:type="dxa"/>
            <w:textDirection w:val="lrTb"/>
            <w:noWrap w:val="false"/>
          </w:tcPr>
          <w:p>
            <w:pPr>
              <w:pStyle w:val="940"/>
              <w:jc w:val="right"/>
              <w:rPr>
                <w:rFonts w:eastAsia="Times New Roman"/>
                <w:color w:val="000000"/>
              </w:rPr>
            </w:pPr>
            <w:r>
              <w:rPr>
                <w:rFonts w:eastAsia="Times New Roman"/>
                <w:color w:val="000000"/>
              </w:rPr>
              <w:t xml:space="preserve">19</w:t>
            </w:r>
            <w:r/>
          </w:p>
        </w:tc>
        <w:tc>
          <w:tcPr>
            <w:tcBorders>
              <w:top w:val="single" w:color="000000" w:sz="8" w:space="0"/>
              <w:left w:val="single" w:color="000000" w:sz="8" w:space="0"/>
              <w:bottom w:val="single" w:color="000000" w:sz="8" w:space="0"/>
            </w:tcBorders>
            <w:tcW w:w="1276" w:type="dxa"/>
            <w:textDirection w:val="lrTb"/>
            <w:noWrap w:val="false"/>
          </w:tcPr>
          <w:p>
            <w:pPr>
              <w:pStyle w:val="940"/>
              <w:jc w:val="right"/>
              <w:rPr>
                <w:rFonts w:eastAsia="Times New Roman"/>
                <w:color w:val="000000"/>
              </w:rPr>
            </w:pPr>
            <w:r>
              <w:rPr>
                <w:rFonts w:eastAsia="Times New Roman"/>
                <w:color w:val="000000"/>
              </w:rPr>
              <w:t xml:space="preserve">0</w:t>
            </w:r>
            <w:r/>
          </w:p>
        </w:tc>
        <w:tc>
          <w:tcPr>
            <w:tcBorders>
              <w:top w:val="single" w:color="000000" w:sz="8" w:space="0"/>
              <w:left w:val="single" w:color="000000" w:sz="8" w:space="0"/>
              <w:bottom w:val="single" w:color="000000" w:sz="8" w:space="0"/>
            </w:tcBorders>
            <w:tcW w:w="1135" w:type="dxa"/>
            <w:textDirection w:val="lrTb"/>
            <w:noWrap w:val="false"/>
          </w:tcPr>
          <w:p>
            <w:pPr>
              <w:pStyle w:val="940"/>
              <w:jc w:val="right"/>
              <w:rPr>
                <w:rFonts w:eastAsia="Times New Roman"/>
                <w:color w:val="000000"/>
                <w:lang w:val="en-US"/>
              </w:rPr>
            </w:pPr>
            <w:r>
              <w:rPr>
                <w:rFonts w:eastAsia="Times New Roman"/>
                <w:color w:val="000000"/>
                <w:lang w:val="en-US"/>
              </w:rPr>
              <w:t xml:space="preserve">5</w:t>
            </w:r>
            <w:r/>
          </w:p>
        </w:tc>
        <w:tc>
          <w:tcPr>
            <w:tcBorders>
              <w:top w:val="single" w:color="000000" w:sz="8" w:space="0"/>
              <w:left w:val="single" w:color="000000" w:sz="8" w:space="0"/>
              <w:bottom w:val="single" w:color="000000" w:sz="8" w:space="0"/>
            </w:tcBorders>
            <w:tcW w:w="987" w:type="dxa"/>
            <w:textDirection w:val="lrTb"/>
            <w:noWrap w:val="false"/>
          </w:tcPr>
          <w:p>
            <w:pPr>
              <w:pStyle w:val="940"/>
              <w:jc w:val="right"/>
              <w:rPr>
                <w:rFonts w:eastAsia="Times New Roman"/>
                <w:color w:val="000000"/>
                <w:lang w:val="en-US"/>
              </w:rPr>
            </w:pPr>
            <w:r>
              <w:rPr>
                <w:rFonts w:eastAsia="Times New Roman"/>
                <w:color w:val="000000"/>
                <w:lang w:val="en-US"/>
              </w:rPr>
              <w:t xml:space="preserve">33.3</w:t>
            </w:r>
            <w:r/>
          </w:p>
        </w:tc>
        <w:tc>
          <w:tcPr>
            <w:tcBorders>
              <w:top w:val="single" w:color="000000" w:sz="8" w:space="0"/>
              <w:left w:val="single" w:color="000000" w:sz="8" w:space="0"/>
              <w:bottom w:val="single" w:color="000000" w:sz="8" w:space="0"/>
              <w:right w:val="single" w:color="000000" w:sz="8" w:space="0"/>
            </w:tcBorders>
            <w:tcW w:w="1033" w:type="dxa"/>
            <w:textDirection w:val="lrTb"/>
            <w:noWrap w:val="false"/>
          </w:tcPr>
          <w:p>
            <w:pPr>
              <w:pStyle w:val="940"/>
              <w:jc w:val="right"/>
              <w:rPr>
                <w:rFonts w:eastAsia="Times New Roman"/>
                <w:color w:val="000000"/>
                <w:lang w:val="en-US"/>
              </w:rPr>
            </w:pPr>
            <w:r>
              <w:rPr>
                <w:rFonts w:eastAsia="Times New Roman"/>
                <w:color w:val="000000"/>
                <w:lang w:val="en-US"/>
              </w:rPr>
              <w:t xml:space="preserve">93</w:t>
            </w:r>
            <w:r/>
          </w:p>
        </w:tc>
      </w:tr>
    </w:tbl>
    <w:p>
      <w:pPr>
        <w:pStyle w:val="940"/>
        <w:numPr>
          <w:ilvl w:val="2"/>
          <w:numId w:val="22"/>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jc w:val="both"/>
        <w:rPr>
          <w:rFonts w:eastAsia="Times New Roman"/>
          <w:bCs/>
          <w:iCs/>
        </w:rPr>
      </w:pPr>
      <w:r>
        <w:rPr>
          <w:rFonts w:eastAsia="Times New Roman"/>
          <w:bCs/>
          <w:iCs/>
        </w:rPr>
      </w:r>
      <w:r/>
    </w:p>
    <w:p>
      <w:pPr>
        <w:pStyle w:val="940"/>
        <w:ind w:firstLine="708"/>
        <w:jc w:val="both"/>
        <w:rPr>
          <w:rFonts w:eastAsia="Times New Roman"/>
          <w:bCs/>
          <w:iCs/>
        </w:rPr>
      </w:pPr>
      <w:r>
        <w:rPr>
          <w:rFonts w:eastAsia="Times New Roman"/>
          <w:bCs/>
          <w:iCs/>
        </w:rPr>
        <w:t xml:space="preserve">В части 1 наибольшие затруднения вызвало выполнение заданий № 18, анализ иллюстративного материала, что возможно связано с недостаточным вниманием, которое уделяется подобному анализу при подготовке к экзамену. </w:t>
      </w:r>
      <w:r/>
    </w:p>
    <w:p>
      <w:pPr>
        <w:pStyle w:val="940"/>
        <w:ind w:firstLine="708"/>
        <w:jc w:val="both"/>
        <w:rPr>
          <w:rFonts w:eastAsia="Times New Roman"/>
          <w:bCs/>
          <w:iCs/>
        </w:rPr>
      </w:pPr>
      <w:r>
        <w:rPr>
          <w:rFonts w:eastAsia="Times New Roman"/>
          <w:bCs/>
          <w:iCs/>
        </w:rPr>
        <w:t xml:space="preserve">Затруднения также традиционно связаны с заданием №17 Знание основных фа</w:t>
      </w:r>
      <w:r>
        <w:rPr>
          <w:rFonts w:eastAsia="Times New Roman"/>
          <w:bCs/>
          <w:iCs/>
        </w:rPr>
        <w:t xml:space="preserve">ктов, процессов, явлений истории культуры России (задание на установление соответствия). Это может быть связано с тем, что на уроках истории недостаточное внимание уделяется рассмотрению событий культуры, которая всегда изучается по «остаточному принципу».</w:t>
      </w:r>
      <w:r/>
    </w:p>
    <w:p>
      <w:pPr>
        <w:pStyle w:val="940"/>
        <w:ind w:firstLine="708"/>
        <w:jc w:val="both"/>
        <w:rPr>
          <w:rFonts w:eastAsia="Times New Roman"/>
          <w:bCs/>
          <w:iCs/>
        </w:rPr>
      </w:pPr>
      <w:r>
        <w:rPr>
          <w:rFonts w:eastAsia="Times New Roman"/>
          <w:bCs/>
          <w:iCs/>
        </w:rPr>
        <w:t xml:space="preserve">Затруднения, как в 2020 г. вызывает задание № 9 Соответствие между событиями (процессами) и участниками этих событий (процессов). Причина – недостаточное внимание описанию роли личности в исторических событиях. </w:t>
      </w:r>
      <w:r/>
    </w:p>
    <w:p>
      <w:pPr>
        <w:pStyle w:val="940"/>
        <w:ind w:firstLine="708"/>
        <w:jc w:val="both"/>
        <w:rPr>
          <w:rFonts w:eastAsia="Times New Roman"/>
          <w:bCs/>
          <w:iCs/>
        </w:rPr>
      </w:pPr>
      <w:r>
        <w:rPr>
          <w:rFonts w:eastAsia="Times New Roman"/>
          <w:bCs/>
          <w:iCs/>
        </w:rPr>
        <w:t xml:space="preserve">Наконец, традиционные затруднения вызывают задания № 13,14,15, связанные с работой с исторической картой. Главная проблема учащихся – неумение составить рассказ об историческом событии, опираясь на историческую карту, использов</w:t>
      </w:r>
      <w:r>
        <w:rPr>
          <w:rFonts w:eastAsia="Times New Roman"/>
          <w:bCs/>
          <w:iCs/>
        </w:rPr>
        <w:t xml:space="preserve">ать информацию, которая в ней содержится и элементарное незнание исторической географии и конкретных исторических карт, посвященных тому или иному периоду. Все указанные проблемы можно устранить только постоянной работой с историческими картами на уроках. </w:t>
      </w:r>
      <w:r/>
    </w:p>
    <w:p>
      <w:pPr>
        <w:pStyle w:val="940"/>
        <w:ind w:firstLine="708"/>
        <w:jc w:val="both"/>
      </w:pPr>
      <w:r>
        <w:rPr>
          <w:rFonts w:eastAsia="Times New Roman"/>
          <w:bCs/>
          <w:iCs/>
        </w:rPr>
        <w:t xml:space="preserve">В части 2 наибольшие затруднения традиционно вызвало выполнение заданий № 22, № 23, № 24. Это может быть связано с</w:t>
      </w:r>
      <w:r>
        <w:rPr>
          <w:rFonts w:eastAsia="Times New Roman"/>
          <w:bCs/>
          <w:iCs/>
        </w:rPr>
        <w:t xml:space="preserve"> недостаточным вниманием на уроках истории к такой форме работы, как историческая дискуссия, когда приводятся аргументы как «за», так и «против» конкретной точки зрения. Это, видимо, является единственным способом добиться успешного выполнения задания №24.</w:t>
      </w:r>
      <w:r/>
    </w:p>
    <w:p>
      <w:pPr>
        <w:pStyle w:val="940"/>
        <w:ind w:firstLine="708"/>
        <w:jc w:val="both"/>
        <w:rPr>
          <w:rFonts w:eastAsia="Times New Roman"/>
          <w:bCs/>
          <w:iCs/>
        </w:rPr>
      </w:pPr>
      <w:r>
        <w:rPr>
          <w:rFonts w:eastAsia="Times New Roman"/>
          <w:bCs/>
          <w:iCs/>
        </w:rPr>
        <w:t xml:space="preserve">Также низкие показатели в задании № 22 связаны с недостаточным умением учителей показать контекст исторического события, описанного в источнике.</w:t>
      </w:r>
      <w:r/>
    </w:p>
    <w:p>
      <w:pPr>
        <w:pStyle w:val="940"/>
        <w:ind w:firstLine="708"/>
        <w:jc w:val="both"/>
        <w:rPr>
          <w:rFonts w:eastAsia="Times New Roman"/>
          <w:bCs/>
          <w:iCs/>
        </w:rPr>
      </w:pPr>
      <w:r>
        <w:rPr>
          <w:rFonts w:eastAsia="Times New Roman"/>
          <w:bCs/>
          <w:iCs/>
        </w:rPr>
        <w:t xml:space="preserve">Плохое выполнение задания № 23 связано с тем, что при выявлении причин и последствий исторических событий происходит их недостаточная детализация, поэтому учащийся не может указать, например, три причины события.</w:t>
      </w:r>
      <w:r/>
    </w:p>
    <w:p>
      <w:pPr>
        <w:pStyle w:val="940"/>
        <w:ind w:firstLine="708"/>
        <w:jc w:val="both"/>
        <w:rPr>
          <w:rFonts w:eastAsia="Times New Roman"/>
          <w:bCs/>
          <w:iCs/>
        </w:rPr>
      </w:pPr>
      <w:r>
        <w:rPr>
          <w:rFonts w:eastAsia="Times New Roman"/>
          <w:bCs/>
          <w:iCs/>
        </w:rPr>
        <w:t xml:space="preserve">В историческом сочинении затруднения вызывает выполнение критериев К2, исторические личности, К4, значение периода и К5, ошибки. </w:t>
      </w:r>
      <w:r/>
    </w:p>
    <w:p>
      <w:pPr>
        <w:pStyle w:val="940"/>
        <w:ind w:firstLine="708"/>
        <w:jc w:val="both"/>
        <w:rPr>
          <w:rFonts w:eastAsia="Times New Roman"/>
          <w:bCs/>
          <w:iCs/>
        </w:rPr>
      </w:pPr>
      <w:r>
        <w:rPr>
          <w:rFonts w:eastAsia="Times New Roman"/>
          <w:bCs/>
          <w:iCs/>
        </w:rPr>
        <w:t xml:space="preserve">В историческом сочинении при характер</w:t>
      </w:r>
      <w:r>
        <w:rPr>
          <w:rFonts w:eastAsia="Times New Roman"/>
          <w:bCs/>
          <w:iCs/>
        </w:rPr>
        <w:t xml:space="preserve">истике исторической личности недостаточно показываются ее конкретные действия в исторических событиях, что связано со схематичностью в преподавании истории. Учащиеся часто ограничиваются общими фразами, например, «провел реформу», «руководил армией» и т.д.</w:t>
      </w:r>
      <w:r/>
    </w:p>
    <w:p>
      <w:pPr>
        <w:pStyle w:val="940"/>
        <w:ind w:firstLine="708"/>
        <w:jc w:val="both"/>
        <w:rPr>
          <w:rFonts w:eastAsia="Times New Roman"/>
          <w:bCs/>
          <w:iCs/>
        </w:rPr>
      </w:pPr>
      <w:r>
        <w:rPr>
          <w:rFonts w:eastAsia="Times New Roman"/>
          <w:bCs/>
          <w:iCs/>
        </w:rPr>
        <w:t xml:space="preserve">Также необходимо больше работать над определением значения исторических периодов, показывать взаимосвязи периодов в ходе исторического процесса, увеличить аналитическую составляющую в процессе преподавания истории.</w:t>
      </w:r>
      <w:r/>
    </w:p>
    <w:p>
      <w:pPr>
        <w:pStyle w:val="940"/>
        <w:ind w:firstLine="708"/>
        <w:jc w:val="both"/>
        <w:rPr>
          <w:rFonts w:eastAsia="Times New Roman"/>
          <w:bCs/>
          <w:iCs/>
        </w:rPr>
      </w:pPr>
      <w:r>
        <w:rPr>
          <w:rFonts w:eastAsia="Times New Roman"/>
          <w:bCs/>
          <w:iCs/>
        </w:rPr>
        <w:t xml:space="preserve">При написании исторического сочинения не уделяется внимания тому факту, что учащимся необходимо меньше употреблять субъективных оценочных суждений, которые могут быть восприняты как фактические ошибки.</w:t>
      </w:r>
      <w:r/>
    </w:p>
    <w:p>
      <w:pPr>
        <w:pStyle w:val="940"/>
        <w:numPr>
          <w:ilvl w:val="2"/>
          <w:numId w:val="22"/>
        </w:numPr>
        <w:ind w:left="567"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1419"/>
        <w:contextualSpacing/>
        <w:ind w:left="0" w:right="0" w:firstLine="567"/>
        <w:jc w:val="both"/>
        <w:spacing w:before="0" w:after="0" w:line="240" w:lineRule="auto"/>
        <w:rPr>
          <w:rFonts w:ascii="Times New Roman" w:hAnsi="Times New Roman" w:cs="Times New Roman"/>
          <w:bCs/>
          <w:i/>
          <w:sz w:val="24"/>
          <w:szCs w:val="24"/>
        </w:rPr>
      </w:pPr>
      <w:r>
        <w:rPr>
          <w:rFonts w:ascii="Times New Roman" w:hAnsi="Times New Roman" w:cs="Times New Roman"/>
          <w:bCs/>
          <w:i/>
          <w:sz w:val="24"/>
          <w:szCs w:val="24"/>
        </w:rPr>
      </w:r>
      <w:r/>
    </w:p>
    <w:p>
      <w:pPr>
        <w:pStyle w:val="1419"/>
        <w:contextualSpacing/>
        <w:ind w:left="0" w:right="0" w:firstLine="708"/>
        <w:jc w:val="both"/>
        <w:spacing w:before="0" w:after="0" w:line="240" w:lineRule="auto"/>
        <w:rPr>
          <w:rFonts w:ascii="Times New Roman" w:hAnsi="Times New Roman" w:cs="Times New Roman"/>
          <w:bCs/>
          <w:i/>
          <w:sz w:val="24"/>
          <w:szCs w:val="24"/>
        </w:rPr>
      </w:pPr>
      <w:r>
        <w:rPr>
          <w:rFonts w:ascii="Times New Roman" w:hAnsi="Times New Roman" w:cs="Times New Roman"/>
          <w:bCs/>
          <w:i/>
          <w:sz w:val="24"/>
          <w:szCs w:val="24"/>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contextualSpacing/>
        <w:ind w:firstLine="708"/>
        <w:jc w:val="both"/>
        <w:spacing w:before="0" w:after="0"/>
        <w:rPr>
          <w:rFonts w:eastAsia="Times New Roman"/>
          <w:b/>
          <w:bCs/>
          <w:i/>
          <w:iCs/>
        </w:rPr>
      </w:pPr>
      <w:r>
        <w:rPr>
          <w:rFonts w:eastAsia="Times New Roman"/>
          <w:b/>
          <w:bCs/>
          <w:i/>
          <w:iCs/>
        </w:rPr>
        <w:t xml:space="preserve">Часть 1.</w:t>
      </w:r>
      <w:r/>
    </w:p>
    <w:p>
      <w:pPr>
        <w:pStyle w:val="940"/>
        <w:contextualSpacing/>
        <w:ind w:firstLine="708"/>
        <w:jc w:val="both"/>
        <w:spacing w:before="0" w:after="0"/>
      </w:pPr>
      <w:r>
        <w:rPr>
          <w:rFonts w:eastAsia="Times New Roman"/>
          <w:bCs/>
          <w:iCs/>
        </w:rPr>
        <w:t xml:space="preserve">Наиболее успешными выполненными в 2021 г. стали задание № 3 – 72 % и задание № 7 – 68,75 %. Наиболее успешными выполненными в 2020 г. стали за</w:t>
      </w:r>
      <w:r>
        <w:rPr>
          <w:rFonts w:eastAsia="Times New Roman"/>
          <w:bCs/>
          <w:iCs/>
        </w:rPr>
        <w:t xml:space="preserve">дание № 1 и задание № 7 73,4% и 70,7%. В 2018 г. наиболее успешно выполненными оказались задания по систематизации исторической информации (умение определять последовательность событий, задание №1 – 69,75%), исторической терминологии (задание №4 – 70,6%). </w:t>
      </w:r>
      <w:r/>
    </w:p>
    <w:p>
      <w:pPr>
        <w:pStyle w:val="940"/>
        <w:contextualSpacing/>
        <w:ind w:firstLine="708"/>
        <w:jc w:val="both"/>
        <w:spacing w:before="0" w:after="0"/>
        <w:rPr>
          <w:rFonts w:eastAsia="Times New Roman"/>
          <w:bCs/>
          <w:iCs/>
        </w:rPr>
      </w:pPr>
      <w:r>
        <w:rPr>
          <w:rFonts w:eastAsia="Times New Roman"/>
          <w:bCs/>
          <w:iCs/>
        </w:rPr>
        <w:t xml:space="preserve">Эти же задания были наиболее успешно выполнены и в 2017 г., задание №1 – 66, 8%, задание №4 – 57,3%. </w:t>
      </w:r>
      <w:r/>
    </w:p>
    <w:p>
      <w:pPr>
        <w:pStyle w:val="940"/>
        <w:contextualSpacing/>
        <w:ind w:firstLine="708"/>
        <w:jc w:val="both"/>
        <w:spacing w:before="0" w:after="0"/>
        <w:rPr>
          <w:rFonts w:eastAsia="Times New Roman"/>
          <w:b/>
          <w:bCs/>
          <w:i/>
          <w:iCs/>
        </w:rPr>
      </w:pPr>
      <w:r>
        <w:rPr>
          <w:rFonts w:eastAsia="Times New Roman"/>
          <w:b/>
          <w:bCs/>
          <w:i/>
          <w:iCs/>
        </w:rPr>
        <w:t xml:space="preserve">Часть 2.</w:t>
      </w:r>
      <w:r/>
    </w:p>
    <w:p>
      <w:pPr>
        <w:pStyle w:val="940"/>
        <w:contextualSpacing/>
        <w:ind w:firstLine="708"/>
        <w:jc w:val="both"/>
        <w:spacing w:before="0" w:after="0"/>
        <w:rPr>
          <w:rFonts w:eastAsia="Times New Roman"/>
          <w:bCs/>
          <w:iCs/>
        </w:rPr>
      </w:pPr>
      <w:r>
        <w:rPr>
          <w:rFonts w:eastAsia="Times New Roman"/>
          <w:bCs/>
          <w:iCs/>
        </w:rPr>
        <w:t xml:space="preserve">Наиболее </w:t>
      </w:r>
      <w:r>
        <w:rPr>
          <w:rFonts w:eastAsia="Times New Roman"/>
          <w:bCs/>
          <w:iCs/>
        </w:rPr>
        <w:t xml:space="preserve">успешными с точки зрения получения максимально возможного балла, как и в 2015-2020 гг., оказались задания № 20, 21, 22, связанные с анализом текста исторического источника. При этом, наибольшие трудности как и прежде вызывает задание № 22 (в 2016 г. –14%, </w:t>
      </w:r>
      <w:r>
        <w:rPr>
          <w:rFonts w:eastAsia="Times New Roman"/>
          <w:bCs/>
          <w:iCs/>
        </w:rPr>
        <w:t xml:space="preserve">в 2017 г. – 12,5%, в 2018 г. – 8,6%, в 2019 г. – 14,8 %, в 2020 г. – 29%, в 2021 г. – 33,8% а группе не преодолевших минимальный балл – 0%), связанное с задачей привести дополнительную фактическую информацию относительно контекста исторического источника. </w:t>
      </w:r>
      <w:r/>
    </w:p>
    <w:p>
      <w:pPr>
        <w:pStyle w:val="940"/>
        <w:contextualSpacing/>
        <w:ind w:firstLine="708"/>
        <w:jc w:val="both"/>
        <w:spacing w:before="0" w:after="0"/>
        <w:rPr>
          <w:rFonts w:eastAsia="Times New Roman"/>
          <w:bCs/>
          <w:iCs/>
        </w:rPr>
      </w:pPr>
      <w:r>
        <w:rPr>
          <w:rFonts w:eastAsia="Times New Roman"/>
          <w:bCs/>
          <w:iCs/>
        </w:rPr>
        <w:t xml:space="preserve">В и</w:t>
      </w:r>
      <w:r>
        <w:rPr>
          <w:rFonts w:eastAsia="Times New Roman"/>
          <w:bCs/>
          <w:iCs/>
        </w:rPr>
        <w:t xml:space="preserve">сторическом сочинении наиболее успешными, как и в 2016-2020 гг., оказались задания К1, исторические события (в 2016 г. – 71%, в 2017 г. – 73,4%, в 2018 г. –77,5%, 2019 г. – 79 %, в 2020 г. – 79,7%, в 2021 г. – 61,9%), резкое падение результатов произошло п</w:t>
      </w:r>
      <w:r>
        <w:rPr>
          <w:rFonts w:eastAsia="Times New Roman"/>
          <w:bCs/>
          <w:iCs/>
        </w:rPr>
        <w:t xml:space="preserve">о К6, связность текста сочинения, только 19 %, что связано с изменением критериев оценки сочинения по К5 и К6 (показатели по К6 в прежние годы были довольно высокие, в 2016 г. – 51%, в 2017 г. – 56,7%, в 2018 г. – 63,7%, в 2019 г. – 52%, в 2020 г. – 35 %).</w:t>
      </w:r>
      <w:r/>
    </w:p>
    <w:p>
      <w:pPr>
        <w:pStyle w:val="940"/>
        <w:ind w:firstLine="708"/>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rPr>
          <w:b/>
          <w:i/>
        </w:rPr>
      </w:pPr>
      <w:r>
        <w:rPr>
          <w:b/>
          <w:i/>
        </w:rPr>
        <w:t xml:space="preserve">Часть 1.</w:t>
      </w:r>
      <w:r/>
    </w:p>
    <w:p>
      <w:pPr>
        <w:pStyle w:val="940"/>
        <w:ind w:firstLine="708"/>
        <w:jc w:val="both"/>
      </w:pPr>
      <w:r>
        <w:t xml:space="preserve">Наименее высокий процент в 2021 г. был показан в задании № 18 анализ иллюстративного материала – 40 %. </w:t>
      </w:r>
      <w:r/>
    </w:p>
    <w:p>
      <w:pPr>
        <w:pStyle w:val="940"/>
        <w:ind w:firstLine="708"/>
        <w:jc w:val="both"/>
      </w:pPr>
      <w:r>
        <w:t xml:space="preserve">Наименее высокий процент в 2020 г. был показан в задании № 17 на знание основных фактов, процессов, явлений истории культуры России (задание </w:t>
      </w:r>
      <w:r>
        <w:t xml:space="preserve">на установление соответствия) – 32 %. Эта тенденция наблюдалась в течение двух предыдущих лет (в 2018 г. –24 %, а в 2019 г. – 27,7 %). В 2017 г. наиболее плохой показатель (13,8 %) был зафиксирован в задании № 16 на выбор суждений, относящихся к изображенн</w:t>
      </w:r>
      <w:r>
        <w:t xml:space="preserve">ым на карте событиям. В 2016 г. наблюдалась такая же тенденция – 13 %. В 2018 г. это задание было выполнено значительно лучше – 29,1 %., а в 2019 г. этот показатель вырос до 48 %, в 2020 г. по этому заданию был показан достаточно высокий результат – 45 %. </w:t>
      </w:r>
      <w:r/>
    </w:p>
    <w:p>
      <w:pPr>
        <w:pStyle w:val="940"/>
        <w:ind w:firstLine="708"/>
        <w:jc w:val="both"/>
      </w:pPr>
      <w:r>
        <w:t xml:space="preserve">В группе не преодолевших минимальный балл, наиболее плохо были выполнены задания № 14 и 15 работа с исторической картой (схемой) – 0 %.</w:t>
      </w:r>
      <w:r/>
    </w:p>
    <w:p>
      <w:pPr>
        <w:pStyle w:val="940"/>
        <w:ind w:firstLine="708"/>
        <w:jc w:val="both"/>
      </w:pPr>
      <w:r>
        <w:t xml:space="preserve">В 2020 г. в группе не преодолевших минимальный балл наиболее плохо было выполнено задание № 17 (2,7%), в 2019 г. – задание № 5 (0 %) и № 18 (0%).</w:t>
      </w:r>
      <w:r/>
    </w:p>
    <w:p>
      <w:pPr>
        <w:pStyle w:val="940"/>
        <w:ind w:firstLine="708"/>
        <w:jc w:val="both"/>
        <w:rPr>
          <w:b/>
          <w:i/>
        </w:rPr>
      </w:pPr>
      <w:r>
        <w:rPr>
          <w:b/>
          <w:i/>
        </w:rPr>
        <w:t xml:space="preserve">Часть 2.</w:t>
      </w:r>
      <w:r/>
    </w:p>
    <w:p>
      <w:pPr>
        <w:pStyle w:val="940"/>
        <w:ind w:firstLine="708"/>
        <w:jc w:val="both"/>
      </w:pPr>
      <w:r>
        <w:t xml:space="preserve">Задания с наименьшими процентами выполнения</w:t>
      </w:r>
      <w:r/>
    </w:p>
    <w:p>
      <w:pPr>
        <w:pStyle w:val="940"/>
        <w:ind w:firstLine="708"/>
        <w:jc w:val="both"/>
      </w:pPr>
      <w:r>
        <w:t xml:space="preserve">Большие затруднения, как в 2016-2020 гг. вызывает задание № 24 на аргументацию собственной точки зрения в 2021 г. – 22,5%.</w:t>
      </w:r>
      <w:r/>
    </w:p>
    <w:p>
      <w:pPr>
        <w:pStyle w:val="940"/>
        <w:ind w:firstLine="708"/>
        <w:jc w:val="both"/>
      </w:pPr>
      <w:r>
        <w:t xml:space="preserve">В 2020 г. этот показатель составлял всего – 19 %, в 2019 г. 13,19 %. </w:t>
      </w:r>
      <w:r/>
    </w:p>
    <w:p>
      <w:pPr>
        <w:pStyle w:val="940"/>
        <w:ind w:firstLine="708"/>
        <w:jc w:val="both"/>
      </w:pPr>
      <w:r>
        <w:t xml:space="preserve">В тоже время присутствует положительная динамика.</w:t>
      </w:r>
      <w:r/>
    </w:p>
    <w:p>
      <w:pPr>
        <w:pStyle w:val="940"/>
        <w:ind w:firstLine="708"/>
        <w:jc w:val="both"/>
      </w:pPr>
      <w:r>
        <w:t xml:space="preserve">Наибольшие проблемы в историческом сочинении вызвали задания К2, роль личности, 26,7 % (в 2016 г. – 32%, в 2017 г. – 36%, в 2018 г. – 46,5%, в 2019 г. – 39%, в 2020 г. – 33 %), К3, выделение причинно-следствен</w:t>
      </w:r>
      <w:r>
        <w:t xml:space="preserve">ных связей, 32,8% (в 2016 г. – 30%, в 2017 г. – 34,1%, в 2018 г. – 41,9%, в 2019 г. – 48%, в 2020 г. – 52 %) и К4, историческое значение описываемого периода, 16 % (в 2016 г. – 39 %, в 2017 г. – 40 %, в 2018 г. – 44,3%, в 2019 г – 31 %, в 2020 г. – 31 %). </w:t>
      </w:r>
      <w:r/>
    </w:p>
    <w:p>
      <w:pPr>
        <w:pStyle w:val="940"/>
        <w:ind w:firstLine="708"/>
        <w:jc w:val="both"/>
      </w:pPr>
      <w:r>
        <w:t xml:space="preserve">Самым плохим показателем в 2021 г. стал критерий К5, </w:t>
      </w:r>
      <w:r>
        <w:t xml:space="preserve">ошибки в историческом сочинении – 25 % (в 2019 г. – 28 %, в 2020 г. – 25 %, также самый плохой показатель), что связано с ужесточением работы экспертов по выявлению ошибок в историческом сочинении, а также с изменением критериев оценки сочинения по К5и К6.</w:t>
      </w:r>
      <w:r/>
    </w:p>
    <w:p>
      <w:pPr>
        <w:pStyle w:val="940"/>
        <w:jc w:val="both"/>
      </w:pPr>
      <w:r>
        <w:t xml:space="preserve">В группе не преодолевших минимальный балл в историческом сочинении, как и в 2019-2020 гг. баллы набираются только по критерию К1.</w:t>
      </w:r>
      <w:r/>
    </w:p>
    <w:p>
      <w:pPr>
        <w:pStyle w:val="940"/>
        <w:ind w:firstLine="708"/>
        <w:jc w:val="both"/>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contextualSpacing/>
        <w:ind w:firstLine="708"/>
        <w:jc w:val="both"/>
        <w:spacing w:before="0" w:after="0"/>
        <w:rPr>
          <w:rFonts w:eastAsia="Times New Roman"/>
          <w:b/>
          <w:bCs/>
          <w:i/>
        </w:rPr>
      </w:pPr>
      <w:r>
        <w:rPr>
          <w:rFonts w:eastAsia="Times New Roman"/>
          <w:b/>
          <w:bCs/>
          <w:i/>
        </w:rPr>
        <w:t xml:space="preserve">Часть 1.</w:t>
      </w:r>
      <w:r/>
    </w:p>
    <w:p>
      <w:pPr>
        <w:pStyle w:val="940"/>
        <w:contextualSpacing/>
        <w:ind w:firstLine="708"/>
        <w:jc w:val="both"/>
        <w:spacing w:before="0" w:after="0"/>
        <w:rPr>
          <w:rFonts w:eastAsia="Times New Roman"/>
          <w:bCs/>
        </w:rPr>
      </w:pPr>
      <w:r>
        <w:rPr>
          <w:rFonts w:eastAsia="Times New Roman"/>
          <w:bCs/>
        </w:rPr>
        <w:t xml:space="preserve">В 2021 г. снизился процент выполнения задания № 1 (60,14 %), до этого несколько лет именно это задание лидировало по проценту выполнения в регионе.</w:t>
      </w:r>
      <w:r/>
    </w:p>
    <w:p>
      <w:pPr>
        <w:pStyle w:val="940"/>
        <w:contextualSpacing/>
        <w:ind w:firstLine="708"/>
        <w:jc w:val="both"/>
        <w:spacing w:before="0" w:after="0"/>
        <w:rPr>
          <w:rFonts w:eastAsia="Times New Roman"/>
          <w:bCs/>
        </w:rPr>
      </w:pPr>
      <w:r>
        <w:rPr>
          <w:rFonts w:eastAsia="Times New Roman"/>
          <w:bCs/>
        </w:rPr>
        <w:t xml:space="preserve">В 2021 г. снов</w:t>
      </w:r>
      <w:r>
        <w:rPr>
          <w:rFonts w:eastAsia="Times New Roman"/>
          <w:bCs/>
        </w:rPr>
        <w:t xml:space="preserve">а вырос средний показатель по заданиям на работу с исторической картой до 49,7%. В 2020 г. наблюдалось его снижение до 45 % (в 2019 г. он составлял 56, 5%), до этого происходило увеличение данного показателя (в 2018 г. – 43,7 %, в 2017 г. – только 33,5%). </w:t>
      </w:r>
      <w:r/>
    </w:p>
    <w:p>
      <w:pPr>
        <w:pStyle w:val="940"/>
        <w:contextualSpacing/>
        <w:ind w:firstLine="708"/>
        <w:jc w:val="both"/>
        <w:spacing w:before="0" w:after="0"/>
      </w:pPr>
      <w:r>
        <w:rPr>
          <w:rFonts w:eastAsia="Times New Roman"/>
          <w:bCs/>
        </w:rPr>
        <w:t xml:space="preserve">В 2021 г. </w:t>
      </w:r>
      <w:r>
        <w:rPr>
          <w:rFonts w:eastAsia="Times New Roman"/>
          <w:color w:val="000000"/>
        </w:rPr>
        <w:t xml:space="preserve">произошло резкое падение показателя в заданиях № 18 и 19, анализ иллюстративного материала </w:t>
      </w:r>
      <w:r>
        <w:rPr>
          <w:rFonts w:eastAsia="Times New Roman"/>
          <w:bCs/>
        </w:rPr>
        <w:t xml:space="preserve">– 41%. В 2020 г. </w:t>
      </w:r>
      <w:r>
        <w:rPr>
          <w:rFonts w:eastAsia="Times New Roman"/>
          <w:color w:val="000000"/>
        </w:rPr>
        <w:t xml:space="preserve">этот показатель составлял 53 % (в прежние годы данный показатель был значительно ниже, хотя и постоянно повышался, в 2017 г. – 35,5 %., 2018 г. – 36,5 %, в 2019 г. – 39,7 %). </w:t>
      </w:r>
      <w:r/>
    </w:p>
    <w:p>
      <w:pPr>
        <w:pStyle w:val="940"/>
        <w:contextualSpacing/>
        <w:ind w:firstLine="708"/>
        <w:jc w:val="both"/>
        <w:spacing w:before="0" w:after="0"/>
      </w:pPr>
      <w:r>
        <w:rPr>
          <w:rFonts w:eastAsia="Times New Roman"/>
          <w:color w:val="000000"/>
        </w:rPr>
        <w:t xml:space="preserve">В 2019 г. </w:t>
      </w:r>
      <w:r>
        <w:rPr>
          <w:rFonts w:eastAsia="Times New Roman"/>
        </w:rPr>
        <w:t xml:space="preserve">вторым худшим показателем стало задание № 18 – 36, 4%, в 2020 г. средний показатель выполнения данного задания вырос до 45 %, а в</w:t>
      </w:r>
      <w:r>
        <w:rPr>
          <w:rFonts w:eastAsia="Times New Roman"/>
          <w:bCs/>
        </w:rPr>
        <w:t xml:space="preserve"> 2021 г. снова упал до– 40%, что стало вообще самым худшим выполнением заданий.</w:t>
      </w:r>
      <w:r/>
    </w:p>
    <w:p>
      <w:pPr>
        <w:pStyle w:val="940"/>
        <w:contextualSpacing/>
        <w:ind w:firstLine="708"/>
        <w:jc w:val="both"/>
        <w:spacing w:before="0" w:after="0"/>
        <w:rPr>
          <w:rFonts w:eastAsia="Times New Roman"/>
          <w:b/>
          <w:bCs/>
          <w:i/>
        </w:rPr>
      </w:pPr>
      <w:r>
        <w:rPr>
          <w:rFonts w:eastAsia="Times New Roman"/>
          <w:b/>
          <w:bCs/>
          <w:i/>
        </w:rPr>
        <w:t xml:space="preserve">Задания базового уровня с процентов выполнения ниже 50 %:</w:t>
      </w:r>
      <w:r/>
    </w:p>
    <w:p>
      <w:pPr>
        <w:pStyle w:val="940"/>
        <w:contextualSpacing/>
        <w:ind w:firstLine="708"/>
        <w:jc w:val="both"/>
        <w:spacing w:before="0" w:after="0"/>
        <w:rPr>
          <w:rFonts w:eastAsia="Times New Roman"/>
          <w:bCs/>
        </w:rPr>
      </w:pPr>
      <w:r>
        <w:rPr>
          <w:rFonts w:eastAsia="Times New Roman"/>
          <w:bCs/>
        </w:rPr>
        <w:t xml:space="preserve">Задание № 9 (46 %), задание № 14 (42 %), задание № 15 (47 %), задание № 17 47 %), задание № 19 (42%).</w:t>
      </w:r>
      <w:r/>
    </w:p>
    <w:p>
      <w:pPr>
        <w:pStyle w:val="940"/>
        <w:contextualSpacing/>
        <w:ind w:firstLine="708"/>
        <w:jc w:val="both"/>
        <w:spacing w:before="0" w:after="0"/>
        <w:rPr>
          <w:rFonts w:eastAsia="Times New Roman"/>
          <w:bCs/>
        </w:rPr>
      </w:pPr>
      <w:r>
        <w:rPr>
          <w:rFonts w:eastAsia="Times New Roman"/>
          <w:bCs/>
        </w:rPr>
        <w:t xml:space="preserve">В 2020 г. подобных заданий было на 3 больше – задание № 6 (46 %), задание № 9 (48 %), задание № 10 (44,7%), задание № 13 (41%), задание № 14 (49%), задание № 15 (45%), задание № 17 (32%).</w:t>
      </w:r>
      <w:r/>
    </w:p>
    <w:p>
      <w:pPr>
        <w:pStyle w:val="940"/>
        <w:contextualSpacing/>
        <w:ind w:firstLine="708"/>
        <w:jc w:val="both"/>
        <w:spacing w:before="0" w:after="0"/>
        <w:rPr>
          <w:rFonts w:eastAsia="Times New Roman"/>
          <w:b/>
          <w:bCs/>
          <w:i/>
        </w:rPr>
      </w:pPr>
      <w:r>
        <w:rPr>
          <w:rFonts w:eastAsia="Times New Roman"/>
          <w:b/>
          <w:bCs/>
          <w:i/>
        </w:rPr>
        <w:t xml:space="preserve">Задания повышенного и высокого уровня с процентов выполнения ниже 15 %:</w:t>
      </w:r>
      <w:r/>
    </w:p>
    <w:p>
      <w:pPr>
        <w:pStyle w:val="940"/>
        <w:contextualSpacing/>
        <w:jc w:val="both"/>
        <w:spacing w:before="0" w:after="0"/>
        <w:rPr>
          <w:rFonts w:eastAsia="Times New Roman"/>
          <w:bCs/>
        </w:rPr>
      </w:pPr>
      <w:r>
        <w:rPr>
          <w:rFonts w:eastAsia="Times New Roman"/>
          <w:bCs/>
        </w:rPr>
        <w:t xml:space="preserve">Во первой части подобных заданий не было, как и в 2020 г.</w:t>
      </w:r>
      <w:r/>
    </w:p>
    <w:p>
      <w:pPr>
        <w:pStyle w:val="940"/>
        <w:contextualSpacing/>
        <w:ind w:firstLine="708"/>
        <w:jc w:val="both"/>
        <w:spacing w:before="0" w:after="0"/>
        <w:rPr>
          <w:rFonts w:eastAsia="Times New Roman"/>
          <w:bCs/>
        </w:rPr>
      </w:pPr>
      <w:r>
        <w:rPr>
          <w:rFonts w:eastAsia="Times New Roman"/>
          <w:bCs/>
        </w:rPr>
        <w:t xml:space="preserve">Таким образом, по динамике н</w:t>
      </w:r>
      <w:r>
        <w:rPr>
          <w:rFonts w:eastAsia="Times New Roman"/>
          <w:bCs/>
        </w:rPr>
        <w:t xml:space="preserve">ескольких лет можно говорить об отсутствии какой – то устойчивой тенденции по конкретным заданиям, но можно выделить группу проблемных заданий, куда относятся работа с иллюстративным материалом, исторической картой и задания, посвященные анализу культуры. </w:t>
      </w:r>
      <w:r/>
    </w:p>
    <w:p>
      <w:pPr>
        <w:pStyle w:val="940"/>
        <w:contextualSpacing/>
        <w:ind w:firstLine="708"/>
        <w:jc w:val="both"/>
        <w:spacing w:before="0" w:after="0"/>
        <w:rPr>
          <w:rFonts w:eastAsia="Times New Roman"/>
          <w:bCs/>
        </w:rPr>
      </w:pPr>
      <w:r>
        <w:rPr>
          <w:rFonts w:eastAsia="Times New Roman"/>
          <w:bCs/>
        </w:rPr>
        <w:t xml:space="preserve">Следует отметить, что в 2021 г. ни одно задание не было выполнено с показателем ниже 40 %, что значительно отличается от показателей прежних лет.</w:t>
      </w:r>
      <w:r/>
    </w:p>
    <w:p>
      <w:pPr>
        <w:pStyle w:val="940"/>
        <w:contextualSpacing/>
        <w:ind w:firstLine="708"/>
        <w:jc w:val="both"/>
        <w:spacing w:before="0" w:after="0"/>
        <w:rPr>
          <w:rFonts w:eastAsia="Times New Roman"/>
          <w:b/>
          <w:bCs/>
          <w:i/>
        </w:rPr>
      </w:pPr>
      <w:r>
        <w:rPr>
          <w:rFonts w:eastAsia="Times New Roman"/>
          <w:b/>
          <w:bCs/>
          <w:i/>
        </w:rPr>
        <w:t xml:space="preserve">Часть 2. </w:t>
      </w:r>
      <w:r/>
    </w:p>
    <w:p>
      <w:pPr>
        <w:pStyle w:val="940"/>
        <w:contextualSpacing/>
        <w:ind w:firstLine="708"/>
        <w:jc w:val="both"/>
        <w:spacing w:before="0" w:after="0"/>
      </w:pPr>
      <w:r>
        <w:rPr>
          <w:rFonts w:eastAsia="Times New Roman"/>
          <w:bCs/>
        </w:rPr>
        <w:t xml:space="preserve">Задания № 23 и 24 были выполнены на уровне 2020 г., но во всех заданиях исторического сочинения наблюдается серьезное падение показателей по сравнению                          с 2020 г.</w:t>
      </w:r>
      <w:r/>
    </w:p>
    <w:p>
      <w:pPr>
        <w:pStyle w:val="940"/>
        <w:contextualSpacing/>
        <w:ind w:firstLine="708"/>
        <w:jc w:val="both"/>
        <w:spacing w:before="0" w:after="0"/>
        <w:rPr>
          <w:rFonts w:eastAsia="Times New Roman"/>
          <w:b/>
          <w:bCs/>
          <w:i/>
        </w:rPr>
      </w:pPr>
      <w:r>
        <w:rPr>
          <w:rFonts w:eastAsia="Times New Roman"/>
          <w:b/>
          <w:bCs/>
          <w:i/>
        </w:rPr>
        <w:t xml:space="preserve">Задания базового уровня с процентов выполнения ниже 50 %:</w:t>
      </w:r>
      <w:r/>
    </w:p>
    <w:p>
      <w:pPr>
        <w:pStyle w:val="940"/>
        <w:contextualSpacing/>
        <w:ind w:firstLine="708"/>
        <w:jc w:val="both"/>
        <w:spacing w:before="0" w:after="0"/>
        <w:rPr>
          <w:rFonts w:eastAsia="Times New Roman"/>
          <w:bCs/>
        </w:rPr>
      </w:pPr>
      <w:r>
        <w:rPr>
          <w:rFonts w:eastAsia="Times New Roman"/>
          <w:bCs/>
        </w:rPr>
        <w:t xml:space="preserve">Во второй части подобных заданий не было, как и в 2020 г.</w:t>
      </w:r>
      <w:r/>
    </w:p>
    <w:p>
      <w:pPr>
        <w:pStyle w:val="940"/>
        <w:contextualSpacing/>
        <w:ind w:firstLine="708"/>
        <w:jc w:val="both"/>
        <w:spacing w:before="0" w:after="0"/>
        <w:rPr>
          <w:rFonts w:eastAsia="Times New Roman"/>
          <w:b/>
          <w:bCs/>
          <w:i/>
        </w:rPr>
      </w:pPr>
      <w:r>
        <w:rPr>
          <w:rFonts w:eastAsia="Times New Roman"/>
          <w:b/>
          <w:bCs/>
          <w:i/>
        </w:rPr>
        <w:t xml:space="preserve">Задания повышенного и высокого уровня с процентов выполнения ниже 15 %:</w:t>
      </w:r>
      <w:r/>
    </w:p>
    <w:p>
      <w:pPr>
        <w:pStyle w:val="940"/>
        <w:contextualSpacing/>
        <w:ind w:firstLine="708"/>
        <w:jc w:val="both"/>
        <w:spacing w:before="0" w:after="0"/>
        <w:rPr>
          <w:rFonts w:eastAsia="Times New Roman"/>
          <w:bCs/>
        </w:rPr>
      </w:pPr>
      <w:r>
        <w:rPr>
          <w:rFonts w:eastAsia="Times New Roman"/>
          <w:bCs/>
        </w:rPr>
        <w:t xml:space="preserve">В 2020 г. во второй части подобных заданий не было, однако в 2021 г. такое задание появилось №25 К5, ошибки в историческом сочинении – 11,8 %.</w:t>
      </w:r>
      <w:r/>
    </w:p>
    <w:p>
      <w:pPr>
        <w:pStyle w:val="940"/>
        <w:ind w:firstLine="708"/>
        <w:jc w:val="both"/>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rPr>
          <w:rFonts w:eastAsia="Times New Roman"/>
          <w:bCs/>
        </w:rPr>
      </w:pPr>
      <w:r>
        <w:rPr>
          <w:rFonts w:eastAsia="Times New Roman"/>
          <w:bCs/>
        </w:rPr>
        <w:t xml:space="preserve">Содержательные изменения КИМ, изменение модели написания исторического сочинения, отразились на результатах выполнения этого задания. В целом произошло падение показателей выполнения по всем шести критер</w:t>
      </w:r>
      <w:r>
        <w:rPr>
          <w:rFonts w:eastAsia="Times New Roman"/>
          <w:bCs/>
        </w:rPr>
        <w:t xml:space="preserve">иям. Это показывает, что учащиеся были не достаточно готовы к новой модели с выделением не просто конкретных исторических периодов, которые достаточно легко прогнозируются для подготовки шаблонных сочинений, а исторических процессов и отдельных личностей. </w:t>
      </w:r>
      <w:r/>
    </w:p>
    <w:p>
      <w:pPr>
        <w:pStyle w:val="940"/>
        <w:ind w:firstLine="708"/>
        <w:jc w:val="both"/>
      </w:pPr>
      <w:r>
        <w:rPr>
          <w:rFonts w:eastAsia="Times New Roman"/>
          <w:bCs/>
        </w:rPr>
        <w:t xml:space="preserve">№ </w:t>
      </w:r>
      <w:r>
        <w:rPr>
          <w:rFonts w:eastAsia="Times New Roman"/>
          <w:bCs/>
        </w:rPr>
        <w:t xml:space="preserve">25 К1, исторические события – 62 % (в 2020 г. – 79 %).</w:t>
      </w:r>
      <w:r/>
    </w:p>
    <w:p>
      <w:pPr>
        <w:pStyle w:val="940"/>
        <w:ind w:firstLine="708"/>
        <w:jc w:val="both"/>
      </w:pPr>
      <w:r>
        <w:rPr>
          <w:rFonts w:eastAsia="Times New Roman"/>
          <w:bCs/>
        </w:rPr>
        <w:t xml:space="preserve">№ </w:t>
      </w:r>
      <w:r>
        <w:rPr>
          <w:rFonts w:eastAsia="Times New Roman"/>
          <w:bCs/>
        </w:rPr>
        <w:t xml:space="preserve">25 К2, исторические личности – 26,8 % (в 2020 г. – 33 %).</w:t>
      </w:r>
      <w:r/>
    </w:p>
    <w:p>
      <w:pPr>
        <w:pStyle w:val="940"/>
        <w:ind w:firstLine="708"/>
        <w:jc w:val="both"/>
      </w:pPr>
      <w:r>
        <w:rPr>
          <w:rFonts w:eastAsia="Times New Roman"/>
          <w:bCs/>
        </w:rPr>
        <w:t xml:space="preserve">№ </w:t>
      </w:r>
      <w:r>
        <w:rPr>
          <w:rFonts w:eastAsia="Times New Roman"/>
          <w:bCs/>
        </w:rPr>
        <w:t xml:space="preserve">25 К3, причинно-следственные связи – 32,8 % (в 2020 г. – 52 %).</w:t>
      </w:r>
      <w:r/>
    </w:p>
    <w:p>
      <w:pPr>
        <w:pStyle w:val="940"/>
        <w:ind w:firstLine="708"/>
        <w:jc w:val="both"/>
      </w:pPr>
      <w:r>
        <w:rPr>
          <w:rFonts w:eastAsia="Times New Roman"/>
          <w:bCs/>
        </w:rPr>
        <w:t xml:space="preserve">№ </w:t>
      </w:r>
      <w:r>
        <w:rPr>
          <w:rFonts w:eastAsia="Times New Roman"/>
          <w:bCs/>
        </w:rPr>
        <w:t xml:space="preserve">25 К4, историческое значение – 16 % (в 2020 г. – 31 %).</w:t>
      </w:r>
      <w:r/>
    </w:p>
    <w:p>
      <w:pPr>
        <w:pStyle w:val="940"/>
        <w:ind w:firstLine="708"/>
        <w:jc w:val="both"/>
      </w:pPr>
      <w:r>
        <w:rPr>
          <w:rFonts w:eastAsia="Times New Roman"/>
          <w:bCs/>
        </w:rPr>
        <w:t xml:space="preserve">№ </w:t>
      </w:r>
      <w:r>
        <w:rPr>
          <w:rFonts w:eastAsia="Times New Roman"/>
          <w:bCs/>
        </w:rPr>
        <w:t xml:space="preserve">25 К5, ошибки в историческом сочинении – 11,8 %. (в 2020 г. – 25 %)</w:t>
      </w:r>
      <w:r/>
    </w:p>
    <w:p>
      <w:pPr>
        <w:pStyle w:val="940"/>
        <w:ind w:firstLine="708"/>
        <w:jc w:val="both"/>
      </w:pPr>
      <w:r>
        <w:rPr>
          <w:rFonts w:eastAsia="Times New Roman"/>
          <w:bCs/>
        </w:rPr>
        <w:t xml:space="preserve">№ </w:t>
      </w:r>
      <w:r>
        <w:rPr>
          <w:rFonts w:eastAsia="Times New Roman"/>
          <w:bCs/>
        </w:rPr>
        <w:t xml:space="preserve">25 К6, связность текста – 19 %. (в 2020 г. – 35 %).</w:t>
      </w:r>
      <w:r/>
    </w:p>
    <w:p>
      <w:pPr>
        <w:pStyle w:val="940"/>
        <w:ind w:firstLine="708"/>
        <w:jc w:val="both"/>
      </w:pPr>
      <w:r>
        <w:t xml:space="preserve">Таким образом, </w:t>
      </w:r>
      <w:r>
        <w:rPr>
          <w:rFonts w:eastAsia="SimSun;宋体"/>
        </w:rPr>
        <w:t xml:space="preserve">необходимо совершенствование </w:t>
      </w:r>
      <w:r>
        <w:rPr>
          <w:rFonts w:eastAsia="SimSun;宋体"/>
          <w:lang w:val="en-US"/>
        </w:rPr>
        <w:t xml:space="preserve">подготовк</w:t>
      </w:r>
      <w:r>
        <w:rPr>
          <w:rFonts w:eastAsia="SimSun;宋体"/>
        </w:rPr>
        <w:t xml:space="preserve">и</w:t>
      </w:r>
      <w:r>
        <w:rPr>
          <w:rFonts w:eastAsia="SimSun;宋体"/>
          <w:lang w:val="en-US"/>
        </w:rPr>
        <w:t xml:space="preserve"> </w:t>
      </w:r>
      <w:r>
        <w:rPr>
          <w:rFonts w:eastAsia="SimSun;宋体"/>
        </w:rPr>
        <w:t xml:space="preserve">к </w:t>
      </w:r>
      <w:r>
        <w:rPr>
          <w:rFonts w:eastAsia="SimSun;宋体"/>
          <w:lang w:val="en-US"/>
        </w:rPr>
        <w:t xml:space="preserve">историческо</w:t>
      </w:r>
      <w:r>
        <w:rPr>
          <w:rFonts w:eastAsia="SimSun;宋体"/>
        </w:rPr>
        <w:t xml:space="preserve">му</w:t>
      </w:r>
      <w:r>
        <w:rPr>
          <w:rFonts w:eastAsia="SimSun;宋体"/>
          <w:lang w:val="en-US"/>
        </w:rPr>
        <w:t xml:space="preserve"> сочинени</w:t>
      </w:r>
      <w:r>
        <w:rPr>
          <w:rFonts w:eastAsia="SimSun;宋体"/>
        </w:rPr>
        <w:t xml:space="preserve">ю, в частности</w:t>
      </w:r>
      <w:r>
        <w:rPr>
          <w:rFonts w:eastAsia="SimSun;宋体"/>
          <w:lang w:val="en-US"/>
        </w:rPr>
        <w:t xml:space="preserve"> </w:t>
      </w:r>
      <w:r>
        <w:rPr>
          <w:rFonts w:eastAsia="SimSun;宋体"/>
        </w:rPr>
        <w:t xml:space="preserve">учителям требуется </w:t>
      </w:r>
      <w:r>
        <w:rPr>
          <w:rFonts w:eastAsia="SimSun;宋体"/>
          <w:lang w:val="en-US"/>
        </w:rPr>
        <w:t xml:space="preserve">четко определить примерный перечень исторических процессов и круг наиболее важных исторических личностей того или иного периода</w:t>
      </w:r>
      <w:r>
        <w:rPr>
          <w:rFonts w:eastAsia="SimSun;宋体"/>
        </w:rPr>
        <w:t xml:space="preserve">.</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contextualSpacing/>
        <w:ind w:firstLine="708"/>
        <w:jc w:val="both"/>
        <w:spacing w:before="0" w:after="0"/>
      </w:pPr>
      <w:r>
        <w:rPr>
          <w:rFonts w:eastAsia="Times New Roman"/>
          <w:bCs/>
        </w:rPr>
        <w:t xml:space="preserve">Можно отметить положительную динамику по группе традиционно проблемных заданий, куда относятся работа с иллюстративным материалом, исторической картой и задания, посвященные анализу культуры. На эти задания уже несколько лет обращается особое внимание в </w:t>
      </w:r>
      <w:r>
        <w:rPr>
          <w:rFonts w:eastAsia="Times New Roman"/>
          <w:bCs/>
          <w:iCs/>
        </w:rPr>
        <w:t xml:space="preserve">рекомендациях для системы образования Астраханской области. </w:t>
      </w:r>
      <w:r>
        <w:rPr>
          <w:rFonts w:eastAsia="Times New Roman"/>
          <w:bCs/>
        </w:rPr>
        <w:t xml:space="preserve">В 2021 г. ни одно задание из указанных заданий не было выполнено с показателем ниже 40 %, что значительно превышает показатели прежних лет. Однако необходимо ждать результатов 2022 г., чтобы говорить о превращении этих данных в устойчивую тенденцию.</w:t>
      </w:r>
      <w:r/>
    </w:p>
    <w:p>
      <w:pPr>
        <w:pStyle w:val="940"/>
        <w:jc w:val="both"/>
        <w:rPr>
          <w:rFonts w:eastAsia="Times New Roman"/>
          <w:sz w:val="22"/>
          <w:szCs w:val="22"/>
        </w:rPr>
      </w:pPr>
      <w:r>
        <w:rPr>
          <w:rFonts w:eastAsia="Times New Roman"/>
          <w:sz w:val="22"/>
          <w:szCs w:val="22"/>
        </w:rPr>
      </w:r>
      <w:r/>
    </w:p>
    <w:p>
      <w:pPr>
        <w:pStyle w:val="940"/>
        <w:contextualSpacing/>
        <w:jc w:val="both"/>
        <w:spacing w:before="0" w:after="0"/>
        <w:rPr>
          <w:rFonts w:eastAsia="Times New Roman"/>
          <w:bCs/>
          <w:iCs/>
          <w:sz w:val="22"/>
          <w:szCs w:val="22"/>
        </w:rPr>
      </w:pPr>
      <w:r>
        <w:rPr>
          <w:rFonts w:eastAsia="Times New Roman"/>
          <w:bCs/>
          <w:iCs/>
          <w:sz w:val="22"/>
          <w:szCs w:val="22"/>
        </w:rPr>
      </w:r>
      <w:r/>
    </w:p>
    <w:p>
      <w:pPr>
        <w:pStyle w:val="940"/>
        <w:contextualSpacing/>
        <w:jc w:val="both"/>
        <w:spacing w:before="0" w:after="0"/>
        <w:rPr>
          <w:rFonts w:eastAsia="Times New Roman"/>
          <w:bCs/>
          <w:iCs/>
          <w:sz w:val="22"/>
          <w:szCs w:val="22"/>
        </w:rPr>
      </w:pPr>
      <w:r>
        <w:rPr>
          <w:rFonts w:eastAsia="Times New Roman"/>
          <w:bCs/>
          <w:iCs/>
          <w:sz w:val="22"/>
          <w:szCs w:val="22"/>
        </w:rPr>
      </w:r>
      <w:r/>
    </w:p>
    <w:p>
      <w:pPr>
        <w:pStyle w:val="940"/>
        <w:contextualSpacing/>
        <w:jc w:val="both"/>
        <w:spacing w:before="0" w:after="0"/>
        <w:rPr>
          <w:rFonts w:eastAsia="Times New Roman"/>
          <w:bCs/>
          <w:iCs/>
        </w:rPr>
      </w:pPr>
      <w:r>
        <w:rPr>
          <w:rFonts w:eastAsia="Times New Roman"/>
          <w:bCs/>
          <w:iCs/>
        </w:rPr>
      </w:r>
      <w:r/>
    </w:p>
    <w:p>
      <w:pPr>
        <w:pStyle w:val="940"/>
        <w:contextualSpacing/>
        <w:jc w:val="both"/>
        <w:spacing w:before="0" w:after="0"/>
        <w:rPr>
          <w:rFonts w:eastAsia="Times New Roman"/>
          <w:bCs/>
          <w:iCs/>
        </w:rPr>
      </w:pPr>
      <w:r>
        <w:rPr>
          <w:rFonts w:eastAsia="Times New Roman"/>
          <w:bCs/>
          <w:iCs/>
        </w:rPr>
      </w:r>
      <w:r/>
    </w:p>
    <w:p>
      <w:pPr>
        <w:pStyle w:val="940"/>
        <w:contextualSpacing/>
        <w:jc w:val="both"/>
        <w:spacing w:before="0" w:after="0"/>
        <w:rPr>
          <w:rFonts w:eastAsia="Times New Roman"/>
          <w:bCs/>
          <w:iCs/>
        </w:rPr>
      </w:pPr>
      <w:r>
        <w:rPr>
          <w:rFonts w:eastAsia="Times New Roman"/>
          <w:bCs/>
          <w:iCs/>
        </w:rPr>
      </w:r>
      <w:r/>
    </w:p>
    <w:p>
      <w:pPr>
        <w:pStyle w:val="940"/>
        <w:contextualSpacing/>
        <w:jc w:val="both"/>
        <w:spacing w:before="0" w:after="0"/>
        <w:rPr>
          <w:rFonts w:eastAsia="Times New Roman"/>
          <w:bCs/>
          <w:iCs/>
        </w:rPr>
      </w:pPr>
      <w:r>
        <w:rPr>
          <w:rFonts w:eastAsia="Times New Roman"/>
          <w:bCs/>
          <w:iCs/>
        </w:rPr>
      </w:r>
      <w:r/>
    </w:p>
    <w:p>
      <w:pPr>
        <w:pStyle w:val="940"/>
        <w:contextualSpacing/>
        <w:jc w:val="both"/>
        <w:spacing w:before="0" w:after="0"/>
        <w:rPr>
          <w:rFonts w:eastAsia="Times New Roman"/>
          <w:bCs/>
          <w:iCs/>
        </w:rPr>
      </w:pPr>
      <w:r>
        <w:rPr>
          <w:rFonts w:eastAsia="Times New Roman"/>
          <w:bCs/>
          <w:iCs/>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t xml:space="preserve">Раздел 4. РЕКОМЕНДАЦИИ ДЛЯ СИСТЕМЫ ОБРАЗОВАНИЯ СУБЪЕКТА РОССИЙСКОЙ ФЕДЕРАЦИИ</w:t>
      </w:r>
      <w:r/>
    </w:p>
    <w:p>
      <w:pPr>
        <w:pStyle w:val="940"/>
        <w:contextualSpacing/>
        <w:jc w:val="both"/>
        <w:spacing w:before="0" w:after="0"/>
        <w:rPr>
          <w:rFonts w:eastAsia="Times New Roman"/>
          <w:bCs/>
          <w:i/>
          <w:iCs/>
          <w:sz w:val="28"/>
          <w:szCs w:val="28"/>
          <w:lang w:val="en-US"/>
        </w:rPr>
      </w:pPr>
      <w:r>
        <w:rPr>
          <w:rFonts w:eastAsia="Times New Roman"/>
          <w:bCs/>
          <w:i/>
          <w:iCs/>
          <w:sz w:val="28"/>
          <w:szCs w:val="28"/>
          <w:lang w:val="en-US"/>
        </w:rPr>
      </w:r>
      <w:r/>
    </w:p>
    <w:p>
      <w:pPr>
        <w:pStyle w:val="1400"/>
        <w:numPr>
          <w:ilvl w:val="0"/>
          <w:numId w:val="36"/>
        </w:numPr>
        <w:contextualSpacing/>
        <w:keepLines/>
        <w:keepNext/>
        <w:spacing w:before="200" w:after="0" w:line="240" w:lineRule="auto"/>
        <w:rPr>
          <w:rFonts w:ascii="Times New Roman" w:hAnsi="Times New Roman" w:cs="Times New Roman" w:eastAsia="SimSun;宋体"/>
          <w:b/>
          <w:bCs/>
          <w:i/>
          <w:iCs/>
          <w:vanish/>
          <w:sz w:val="28"/>
          <w:szCs w:val="24"/>
          <w:lang w:val="en-US" w:eastAsia="ru-RU"/>
        </w:rPr>
      </w:pPr>
      <w:r>
        <w:rPr>
          <w:rFonts w:ascii="Times New Roman" w:hAnsi="Times New Roman" w:cs="Times New Roman" w:eastAsia="SimSun;宋体"/>
          <w:b/>
          <w:bCs/>
          <w:i/>
          <w:iCs/>
          <w:vanish/>
          <w:sz w:val="28"/>
          <w:szCs w:val="24"/>
          <w:lang w:val="en-US" w:eastAsia="ru-RU"/>
        </w:rPr>
      </w:r>
      <w:r/>
    </w:p>
    <w:p>
      <w:pPr>
        <w:pStyle w:val="940"/>
        <w:jc w:val="both"/>
        <w:keepLines/>
        <w:keepNext/>
        <w:spacing w:before="200" w:after="0"/>
      </w:pPr>
      <w:r>
        <w:rPr>
          <w:rFonts w:eastAsia="SimSun;宋体"/>
          <w:b/>
          <w:bCs/>
          <w:sz w:val="28"/>
        </w:rPr>
        <w:t xml:space="preserve">4.1.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ind w:left="567" w:firstLine="0"/>
        <w:keepLines/>
        <w:keepNext/>
        <w:spacing w:before="200" w:after="0"/>
      </w:pPr>
      <w:r>
        <w:rPr>
          <w:rFonts w:eastAsia="SimSun;宋体"/>
          <w:sz w:val="28"/>
        </w:rPr>
        <w:t xml:space="preserve">4.1.1. </w:t>
      </w:r>
      <w:r>
        <w:rPr>
          <w:rFonts w:eastAsia="SimSun;宋体"/>
          <w:sz w:val="28"/>
          <w:lang w:val="en-US"/>
        </w:rPr>
        <w:t xml:space="preserve">по совершенствованию преподавания учебного предмета всем обучающимся</w:t>
      </w:r>
      <w:r/>
    </w:p>
    <w:p>
      <w:pPr>
        <w:pStyle w:val="940"/>
        <w:jc w:val="both"/>
        <w:rPr>
          <w:rFonts w:eastAsia="SimSun;宋体"/>
        </w:rPr>
      </w:pPr>
      <w:r>
        <w:rPr>
          <w:rFonts w:eastAsia="SimSun;宋体"/>
        </w:rPr>
      </w:r>
      <w:r/>
    </w:p>
    <w:p>
      <w:pPr>
        <w:pStyle w:val="940"/>
        <w:ind w:firstLine="708"/>
        <w:jc w:val="both"/>
        <w:rPr>
          <w:rFonts w:eastAsia="SimSun;宋体"/>
          <w:lang w:val="en-US"/>
        </w:rPr>
      </w:pPr>
      <w:r>
        <w:rPr>
          <w:rFonts w:eastAsia="SimSun;宋体"/>
          <w:lang w:val="en-US"/>
        </w:rPr>
        <w:t xml:space="preserve">1) По заданиям первой части с кратким ответом необходима более активная работа с изобразительными источниками. Необходимо развивать содержательный и функциональный анализ изображен</w:t>
      </w:r>
      <w:r>
        <w:rPr>
          <w:rFonts w:eastAsia="SimSun;宋体"/>
          <w:lang w:val="en-US"/>
        </w:rPr>
        <w:t xml:space="preserve">ия (что изображено и с какой целью), а не просто навыки визуального знакомства с ними. Предлагается составлять таблицы, в которых выделяются основные изображения исторических объекты каждого периода, и дается их краткое описание, в том числе цель создания.</w:t>
      </w:r>
      <w:r/>
    </w:p>
    <w:p>
      <w:pPr>
        <w:pStyle w:val="940"/>
        <w:ind w:firstLine="708"/>
        <w:jc w:val="both"/>
        <w:rPr>
          <w:rFonts w:eastAsia="SimSun;宋体"/>
          <w:lang w:val="en-US"/>
        </w:rPr>
      </w:pPr>
      <w:r>
        <w:rPr>
          <w:rFonts w:eastAsia="SimSun;宋体"/>
          <w:lang w:val="en-US"/>
        </w:rPr>
        <w:t xml:space="preserve">2) По заданиям первой части с кратким ответом необходима более активная работа с историческими картами. При работе с исторической картой – необходимо тренировать умение составлять рассказы об историческом событии, опираяс</w:t>
      </w:r>
      <w:r>
        <w:rPr>
          <w:rFonts w:eastAsia="SimSun;宋体"/>
          <w:lang w:val="en-US"/>
        </w:rPr>
        <w:t xml:space="preserve">ь только на историческую карту, тренировать умение максимально использовать информацию, которая в ней содержится, «читать карту», больше визуально работать с исторической географией и конкретными историческими картами, посвященными тому или иному периоду. </w:t>
      </w:r>
      <w:r/>
    </w:p>
    <w:p>
      <w:pPr>
        <w:pStyle w:val="940"/>
        <w:ind w:firstLine="708"/>
        <w:jc w:val="both"/>
        <w:rPr>
          <w:rFonts w:eastAsia="SimSun;宋体"/>
          <w:lang w:val="en-US"/>
        </w:rPr>
      </w:pPr>
      <w:r>
        <w:rPr>
          <w:rFonts w:eastAsia="SimSun;宋体"/>
          <w:lang w:val="en-US"/>
        </w:rPr>
        <w:t xml:space="preserve">3) Необходимо больше внимания уделят</w:t>
      </w:r>
      <w:r>
        <w:rPr>
          <w:rFonts w:eastAsia="SimSun;宋体"/>
          <w:lang w:val="en-US"/>
        </w:rPr>
        <w:t xml:space="preserve">ь изучению тем, связанных с культурой, предлагается составлять таблицы, в которых выделяются основные культурные объекты каждого периода (литературные произведения, изобразительные произведения, архитектурные памятники) и дается несколько их характеристик.</w:t>
      </w:r>
      <w:r/>
    </w:p>
    <w:p>
      <w:pPr>
        <w:pStyle w:val="940"/>
        <w:ind w:firstLine="708"/>
        <w:jc w:val="both"/>
        <w:rPr>
          <w:rFonts w:eastAsia="SimSun;宋体"/>
          <w:lang w:val="en-US"/>
        </w:rPr>
      </w:pPr>
      <w:r>
        <w:rPr>
          <w:rFonts w:eastAsia="SimSun;宋体"/>
          <w:lang w:val="en-US"/>
        </w:rPr>
        <w:t xml:space="preserve">4) Необходимо больше внимания удел</w:t>
      </w:r>
      <w:r>
        <w:rPr>
          <w:rFonts w:eastAsia="SimSun;宋体"/>
          <w:lang w:val="en-US"/>
        </w:rPr>
        <w:t xml:space="preserve">ять изучению исторических источников, развивать умение выделять так называемые «маркеры» (имена, названия, исторические события), которые позволяют определить, к какому периоду относится данный источник, даже без подробного знакомства с текстом источника. </w:t>
      </w:r>
      <w:r/>
    </w:p>
    <w:p>
      <w:pPr>
        <w:pStyle w:val="940"/>
        <w:ind w:firstLine="708"/>
        <w:jc w:val="both"/>
        <w:rPr>
          <w:rFonts w:eastAsia="SimSun;宋体"/>
          <w:lang w:val="en-US"/>
        </w:rPr>
      </w:pPr>
      <w:r>
        <w:rPr>
          <w:rFonts w:eastAsia="SimSun;宋体"/>
          <w:lang w:val="en-US"/>
        </w:rPr>
        <w:t xml:space="preserve">Правильное определение периода, к которому относится источник, является залогом успешного выполнения заданий №6 и задания №10.</w:t>
      </w:r>
      <w:r/>
    </w:p>
    <w:p>
      <w:pPr>
        <w:pStyle w:val="940"/>
        <w:ind w:firstLine="708"/>
        <w:jc w:val="both"/>
        <w:rPr>
          <w:rFonts w:eastAsia="SimSun;宋体"/>
          <w:lang w:val="en-US"/>
        </w:rPr>
      </w:pPr>
      <w:r>
        <w:rPr>
          <w:rFonts w:eastAsia="SimSun;宋体"/>
          <w:lang w:val="en-US"/>
        </w:rPr>
        <w:t xml:space="preserve">5) Необходимо больше вним</w:t>
      </w:r>
      <w:r>
        <w:rPr>
          <w:rFonts w:eastAsia="SimSun;宋体"/>
          <w:lang w:val="en-US"/>
        </w:rPr>
        <w:t xml:space="preserve">ания уделять изучению исторических личностей, предлагается составлять таблицы, в которых выделяются основные личности каждого периода и даются основные направления их деятельности. Также можно составлять краткие биографии основных деятелей каждого периода.</w:t>
      </w:r>
      <w:r/>
    </w:p>
    <w:p>
      <w:pPr>
        <w:pStyle w:val="940"/>
        <w:ind w:firstLine="708"/>
        <w:jc w:val="both"/>
        <w:rPr>
          <w:rFonts w:eastAsia="SimSun;宋体"/>
          <w:lang w:val="en-US"/>
        </w:rPr>
      </w:pPr>
      <w:r>
        <w:rPr>
          <w:rFonts w:eastAsia="SimSun;宋体"/>
          <w:lang w:val="en-US"/>
        </w:rPr>
        <w:t xml:space="preserve">6) При работе с исторической хронологией – не просто заучивать точные исторические даты, а формировать относительные временные представления о том, какое событие было раньше, а какое позже, без запоминания его абсолютной точной датировки.</w:t>
      </w:r>
      <w:r/>
    </w:p>
    <w:p>
      <w:pPr>
        <w:pStyle w:val="940"/>
        <w:ind w:firstLine="708"/>
        <w:jc w:val="both"/>
        <w:rPr>
          <w:rFonts w:eastAsia="SimSun;宋体"/>
          <w:lang w:val="en-US"/>
        </w:rPr>
      </w:pPr>
      <w:r>
        <w:rPr>
          <w:rFonts w:eastAsia="SimSun;宋体"/>
          <w:lang w:val="en-US"/>
        </w:rPr>
        <w:t xml:space="preserve">Абсолютная дата – с указание точного года, когда произошло историческое событие.</w:t>
      </w:r>
      <w:r/>
    </w:p>
    <w:p>
      <w:pPr>
        <w:pStyle w:val="940"/>
        <w:ind w:firstLine="708"/>
        <w:jc w:val="both"/>
        <w:rPr>
          <w:rFonts w:eastAsia="SimSun;宋体"/>
          <w:lang w:val="en-US"/>
        </w:rPr>
      </w:pPr>
      <w:r>
        <w:rPr>
          <w:rFonts w:eastAsia="SimSun;宋体"/>
          <w:lang w:val="en-US"/>
        </w:rPr>
        <w:t xml:space="preserve">Относительная хронология – понимание того, что данное событие было раньше или позже других известных событий.</w:t>
      </w:r>
      <w:r/>
    </w:p>
    <w:p>
      <w:pPr>
        <w:pStyle w:val="940"/>
        <w:ind w:firstLine="708"/>
        <w:jc w:val="both"/>
        <w:rPr>
          <w:rFonts w:eastAsia="SimSun;宋体"/>
          <w:lang w:val="en-US"/>
        </w:rPr>
      </w:pPr>
      <w:r>
        <w:rPr>
          <w:rFonts w:eastAsia="SimSun;宋体"/>
          <w:lang w:val="en-US"/>
        </w:rPr>
        <w:t xml:space="preserve">7) По заданиям второй части большее внимание необходимо уделять навыкам работы с историческим контекстом исторического источника в задании № 2</w:t>
      </w:r>
      <w:r>
        <w:rPr>
          <w:rFonts w:eastAsia="SimSun;宋体"/>
          <w:lang w:val="en-US"/>
        </w:rPr>
        <w:t xml:space="preserve">2. В данном случае можно предложить использовать следующую схему – взять для примера несколько исторических источников, выписать какие события способствовали его созданию, а также, какие события произошли до и после тех, которые описаны в данном источнике.</w:t>
      </w:r>
      <w:r/>
    </w:p>
    <w:p>
      <w:pPr>
        <w:pStyle w:val="940"/>
        <w:ind w:firstLine="708"/>
        <w:jc w:val="both"/>
        <w:rPr>
          <w:rFonts w:eastAsia="SimSun;宋体"/>
          <w:lang w:val="en-US"/>
        </w:rPr>
      </w:pPr>
      <w:r>
        <w:rPr>
          <w:rFonts w:eastAsia="SimSun;宋体"/>
          <w:lang w:val="en-US"/>
        </w:rPr>
        <w:t xml:space="preserve">8) Дл</w:t>
      </w:r>
      <w:r>
        <w:rPr>
          <w:rFonts w:eastAsia="SimSun;宋体"/>
          <w:lang w:val="en-US"/>
        </w:rPr>
        <w:t xml:space="preserve">я успешного выполнения задания № 23 и № 24 необходимо подкреплять свои суждения историческими фактами. Например, «феодальная раздробленность привела к ослаблению обороноспособности древнерусского государства и (обязательно добавить!) последующему его захва</w:t>
      </w:r>
      <w:r>
        <w:rPr>
          <w:rFonts w:eastAsia="SimSun;宋体"/>
          <w:lang w:val="en-US"/>
        </w:rPr>
        <w:t xml:space="preserve">ту монголо-татарскими завоевателями». Здесь общее утверждение «феодальная раздробленность привела к ослаблению обороноспособности древнерусского государства» дополняется конкретным историческим фактом – захватом древнерусского государства монголо-татарами.</w:t>
      </w:r>
      <w:r/>
    </w:p>
    <w:p>
      <w:pPr>
        <w:pStyle w:val="940"/>
        <w:ind w:firstLine="708"/>
        <w:jc w:val="both"/>
        <w:rPr>
          <w:rFonts w:eastAsia="SimSun;宋体"/>
          <w:lang w:val="en-US"/>
        </w:rPr>
      </w:pPr>
      <w:r>
        <w:rPr>
          <w:rFonts w:eastAsia="SimSun;宋体"/>
          <w:lang w:val="en-US"/>
        </w:rPr>
        <w:t xml:space="preserve">9) Для успешного выполнения задания № 24 необходимо развивать навыки аргументации своей точки зрения при вы</w:t>
      </w:r>
      <w:r>
        <w:rPr>
          <w:rFonts w:eastAsia="SimSun;宋体"/>
          <w:lang w:val="en-US"/>
        </w:rPr>
        <w:t xml:space="preserve">делении аргументов, подкрепляющих противоположные точки зрения. Необходимо развивать умение оценивать историческое событие с двух противоположных точек зрения. Например, всем известны положительные последствия экономических реформ Петра I, развитие мануфак</w:t>
      </w:r>
      <w:r>
        <w:rPr>
          <w:rFonts w:eastAsia="SimSun;宋体"/>
          <w:lang w:val="en-US"/>
        </w:rPr>
        <w:t xml:space="preserve">тур, протекционизм, увеличение экспорта, но, с другой стороны, это было достигнуто за счет увеличения прямых и косвенных налогов, что привело к снижению жизненного уровня населения, а мануфактуры работали на крепостном труде, что снижало их эффективность. </w:t>
      </w:r>
      <w:r/>
    </w:p>
    <w:p>
      <w:pPr>
        <w:pStyle w:val="940"/>
        <w:ind w:firstLine="708"/>
        <w:jc w:val="both"/>
      </w:pPr>
      <w:r>
        <w:rPr>
          <w:rFonts w:eastAsia="SimSun;宋体"/>
          <w:lang w:val="en-US"/>
        </w:rPr>
        <w:t xml:space="preserve">10) Работа с историческим сочинением.</w:t>
      </w:r>
      <w:r>
        <w:rPr>
          <w:rFonts w:eastAsia="SimSun;宋体"/>
        </w:rPr>
        <w:t xml:space="preserve"> </w:t>
      </w:r>
      <w:r>
        <w:rPr>
          <w:rFonts w:eastAsia="SimSun;宋体"/>
          <w:lang w:val="en-US"/>
        </w:rPr>
        <w:t xml:space="preserve">Важно понимать, что под историческими событиями (критерий К1) понимаются любые события, процессы, явления, относящиеся к данному периоду. </w:t>
      </w:r>
      <w:r/>
    </w:p>
    <w:p>
      <w:pPr>
        <w:pStyle w:val="940"/>
        <w:ind w:firstLine="708"/>
        <w:jc w:val="both"/>
        <w:rPr>
          <w:rFonts w:eastAsia="SimSun;宋体"/>
          <w:lang w:val="en-US"/>
        </w:rPr>
      </w:pPr>
      <w:r>
        <w:rPr>
          <w:rFonts w:eastAsia="SimSun;宋体"/>
          <w:lang w:val="en-US"/>
        </w:rPr>
        <w:t xml:space="preserve">В критерии К2 Историческая роль личности, при характеристике исторической личности необходимо указать ее конкретные действия и как они повлияли на ход событий. Деятели могут </w:t>
      </w:r>
      <w:r>
        <w:rPr>
          <w:rFonts w:eastAsia="SimSun;宋体"/>
          <w:lang w:val="en-US"/>
        </w:rPr>
        <w:t xml:space="preserve">как отечественные, так и иностранные. Роль личности всегда подразумевает конкретное действие (например, роль Дмитрия Донского в Куликовской битве – «собрал силы разных княжеств, обеспечил поддержку церкви, правильно расставил войска, засадный полк» и т.д.)</w:t>
      </w:r>
      <w:r/>
    </w:p>
    <w:p>
      <w:pPr>
        <w:pStyle w:val="940"/>
        <w:ind w:firstLine="708"/>
        <w:jc w:val="both"/>
        <w:rPr>
          <w:rFonts w:eastAsia="SimSun;宋体"/>
          <w:lang w:val="en-US"/>
        </w:rPr>
      </w:pPr>
      <w:r>
        <w:rPr>
          <w:rFonts w:eastAsia="SimSun;宋体"/>
          <w:lang w:val="en-US"/>
        </w:rPr>
        <w:t xml:space="preserve">Главные ошибки при описании исторической роли: 1) общая характер</w:t>
      </w:r>
      <w:r>
        <w:rPr>
          <w:rFonts w:eastAsia="SimSun;宋体"/>
          <w:lang w:val="en-US"/>
        </w:rPr>
        <w:t xml:space="preserve">истика, нет конкретики («Дмитрий сыграл огромную роль в Куликовской битве»); 2) указание титула и статуса («Дмитрий Донской – великий князь московский»); 3) есть действие, но нет указания в каком событии («Дмитрий Донской нанес поражение монголо-татарам»).</w:t>
      </w:r>
      <w:r/>
    </w:p>
    <w:p>
      <w:pPr>
        <w:pStyle w:val="940"/>
        <w:ind w:firstLine="708"/>
        <w:jc w:val="both"/>
        <w:rPr>
          <w:rFonts w:eastAsia="SimSun;宋体"/>
          <w:lang w:val="en-US"/>
        </w:rPr>
      </w:pPr>
      <w:r>
        <w:rPr>
          <w:rFonts w:eastAsia="SimSun;宋体"/>
          <w:lang w:val="en-US"/>
        </w:rPr>
        <w:t xml:space="preserve">В критерии К3 Причинн</w:t>
      </w:r>
      <w:r>
        <w:rPr>
          <w:rFonts w:eastAsia="SimSun;宋体"/>
          <w:lang w:val="en-US"/>
        </w:rPr>
        <w:t xml:space="preserve">о-следственные связи выделяются в любых событиях данного периода, но только если связи не выходят за его пределы. События могут повторять К1, могут не повторять, но если участник указывает как причинно-следственную связь то, что уже писал в исторической ро</w:t>
      </w:r>
      <w:r>
        <w:rPr>
          <w:rFonts w:eastAsia="SimSun;宋体"/>
          <w:lang w:val="en-US"/>
        </w:rPr>
        <w:t xml:space="preserve">ли, например, пишет что действия засадного полка привели к победе в Куликовской битве, то его ответ не засчитывается как ответ по критерию К3. Засчитываются как причинно-следственные связи поводы («убийство Франца Фердинанда привело к началу Первой мировой</w:t>
      </w:r>
      <w:r>
        <w:rPr>
          <w:rFonts w:eastAsia="SimSun;宋体"/>
          <w:lang w:val="en-US"/>
        </w:rPr>
        <w:t xml:space="preserve"> войны», но если будет формулировка «убийство Франца Фердинанда стало причиной Первой мировой войны», то это не будет засчитано как ошибочное утверждение) и предпосылки («идеи Просвещения привели к возникновению движения декабристов») исторических событий.</w:t>
      </w:r>
      <w:r/>
    </w:p>
    <w:p>
      <w:pPr>
        <w:pStyle w:val="940"/>
        <w:ind w:firstLine="708"/>
        <w:jc w:val="both"/>
        <w:rPr>
          <w:rFonts w:eastAsia="SimSun;宋体"/>
          <w:lang w:val="en-US"/>
        </w:rPr>
      </w:pPr>
      <w:r>
        <w:rPr>
          <w:rFonts w:eastAsia="SimSun;宋体"/>
          <w:lang w:val="en-US"/>
        </w:rPr>
        <w:t xml:space="preserve">Критерий К4 Историческое значение периода – это его последствия, которые выходят за границы п</w:t>
      </w:r>
      <w:r>
        <w:rPr>
          <w:rFonts w:eastAsia="SimSun;宋体"/>
          <w:lang w:val="en-US"/>
        </w:rPr>
        <w:t xml:space="preserve">ериода, при этом берется весь период в целом, а не отдельный факт из него (например, для периода 1825-1855 гг., историческое значение может быть следующим: «консервативная политика Николая привела к усилению отсталости России, поражению в Крымской войне и </w:t>
      </w:r>
      <w:r>
        <w:rPr>
          <w:rFonts w:eastAsia="SimSun;宋体"/>
          <w:lang w:val="en-US"/>
        </w:rPr>
        <w:t xml:space="preserve">началу реформ Александра»). В то же время, утверждение «поражение в Крымской войне привело к международной изоляции России» не засчитывается как историческое значение периода, так как в данном случае речь идет имен об отдельном факте, а не периоде в целом.</w:t>
      </w:r>
      <w:r/>
    </w:p>
    <w:p>
      <w:pPr>
        <w:pStyle w:val="940"/>
        <w:ind w:firstLine="708"/>
        <w:jc w:val="both"/>
      </w:pPr>
      <w:r>
        <w:rPr>
          <w:rFonts w:eastAsia="SimSun;宋体"/>
          <w:lang w:val="en-US"/>
        </w:rPr>
        <w:t xml:space="preserve">При подготовке исторического сочинения необходимо четко определить примерный перечень исторических процессов и круг наиболее важных исторических личностей того или иного периода и готовить по ним пробные исторические сочинения.</w:t>
      </w:r>
      <w:r>
        <w:rPr>
          <w:rFonts w:eastAsia="SimSun;宋体"/>
        </w:rPr>
        <w:t xml:space="preserve"> </w:t>
      </w:r>
      <w:r/>
    </w:p>
    <w:p>
      <w:pPr>
        <w:pStyle w:val="940"/>
        <w:ind w:firstLine="708"/>
        <w:jc w:val="both"/>
        <w:rPr>
          <w:rFonts w:eastAsia="SimSun;宋体"/>
          <w:lang w:val="en-US"/>
        </w:rPr>
      </w:pPr>
      <w:r>
        <w:rPr>
          <w:rFonts w:eastAsia="SimSun;宋体"/>
          <w:lang w:val="en-US"/>
        </w:rPr>
        <w:t xml:space="preserve">В работе с критерием К5 необходимо иметь четкое понимание того, что эксперты фиксируют не только фактические ошибки, например, неправильно указанные даты, но и неверные утверждения общего характера.</w:t>
      </w:r>
      <w:r/>
    </w:p>
    <w:p>
      <w:pPr>
        <w:pStyle w:val="940"/>
        <w:ind w:left="720" w:firstLine="0"/>
        <w:keepLines/>
        <w:keepNext/>
        <w:spacing w:before="200" w:after="0"/>
      </w:pPr>
      <w:r>
        <w:rPr>
          <w:rFonts w:eastAsia="SimSun;宋体"/>
          <w:b/>
          <w:sz w:val="28"/>
        </w:rPr>
        <w:t xml:space="preserve">4.1.2.</w:t>
      </w:r>
      <w:r>
        <w:rPr>
          <w:rFonts w:eastAsia="SimSun;宋体"/>
          <w:sz w:val="28"/>
        </w:rPr>
        <w:t xml:space="preserve"> </w:t>
      </w: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rPr>
          <w:rFonts w:eastAsia="SimSun;宋体"/>
        </w:rPr>
      </w:pPr>
      <w:r>
        <w:rPr>
          <w:rFonts w:eastAsia="SimSun;宋体"/>
        </w:rPr>
      </w:r>
      <w:r/>
    </w:p>
    <w:p>
      <w:pPr>
        <w:pStyle w:val="940"/>
        <w:ind w:firstLine="708"/>
        <w:jc w:val="both"/>
        <w:rPr>
          <w:rFonts w:eastAsia="SimSun;宋体"/>
          <w:lang w:val="en-US"/>
        </w:rPr>
      </w:pPr>
      <w:r>
        <w:rPr>
          <w:rFonts w:eastAsia="SimSun;宋体"/>
          <w:lang w:val="en-US"/>
        </w:rPr>
        <w:t xml:space="preserve">1) для учащихся со слабой подготовкой по предмету необходимо больше внимания уделять подготовке к заданиям первой части базового уровня.</w:t>
      </w:r>
      <w:r/>
    </w:p>
    <w:p>
      <w:pPr>
        <w:pStyle w:val="940"/>
        <w:ind w:firstLine="708"/>
        <w:jc w:val="both"/>
        <w:rPr>
          <w:rFonts w:eastAsia="SimSun;宋体"/>
          <w:lang w:val="en-US"/>
        </w:rPr>
      </w:pPr>
      <w:r>
        <w:rPr>
          <w:rFonts w:eastAsia="SimSun;宋体"/>
          <w:lang w:val="en-US"/>
        </w:rPr>
        <w:t xml:space="preserve">2) для учащихся со средней подготовкой по предмету необходимо больше внимания уделять подготовке к таким заданиям второй части, как</w:t>
      </w:r>
      <w:r/>
    </w:p>
    <w:p>
      <w:pPr>
        <w:pStyle w:val="940"/>
        <w:ind w:firstLine="708"/>
        <w:jc w:val="both"/>
        <w:rPr>
          <w:rFonts w:eastAsia="SimSun;宋体"/>
        </w:rPr>
      </w:pPr>
      <w:r>
        <w:rPr>
          <w:rFonts w:eastAsia="SimSun;宋体"/>
          <w:lang w:val="en-US"/>
        </w:rPr>
        <w:t xml:space="preserve">3) для учащихся с хорошей подготовкой по предмету необходимо больше внимания уделять подготовке к таким заданиям второй части, как задание №23, №24 и №25 историческое сочинение.</w:t>
      </w:r>
      <w:r/>
    </w:p>
    <w:p>
      <w:pPr>
        <w:pStyle w:val="940"/>
        <w:ind w:firstLine="708"/>
        <w:jc w:val="both"/>
        <w:rPr>
          <w:rFonts w:eastAsia="SimSun;宋体"/>
        </w:rPr>
      </w:pPr>
      <w:r>
        <w:rPr>
          <w:rFonts w:eastAsia="SimSun;宋体"/>
        </w:rPr>
      </w:r>
      <w:r/>
    </w:p>
    <w:p>
      <w:pPr>
        <w:pStyle w:val="940"/>
        <w:ind w:left="432" w:firstLine="0"/>
        <w:jc w:val="both"/>
      </w:pPr>
      <w:r>
        <w:rPr>
          <w:rFonts w:eastAsia="Times New Roman"/>
          <w:b/>
          <w:bCs/>
          <w:sz w:val="28"/>
        </w:rPr>
        <w:t xml:space="preserve">4.2. </w:t>
      </w: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rPr>
          <w:rFonts w:eastAsia="SimSun;宋体"/>
        </w:rPr>
      </w:pPr>
      <w:r>
        <w:rPr>
          <w:rFonts w:eastAsia="SimSun;宋体"/>
        </w:rPr>
      </w:r>
      <w:r/>
    </w:p>
    <w:p>
      <w:pPr>
        <w:pStyle w:val="940"/>
        <w:ind w:firstLine="708"/>
        <w:jc w:val="both"/>
        <w:rPr>
          <w:rFonts w:eastAsia="SimSun;宋体"/>
          <w:lang w:val="en-US"/>
        </w:rPr>
      </w:pPr>
      <w:r>
        <w:rPr>
          <w:rFonts w:eastAsia="SimSun;宋体"/>
          <w:lang w:val="en-US"/>
        </w:rPr>
        <w:t xml:space="preserve">1) По заданиям первой части с кратким ответом необходима более активная работа с изобразительными источниками. Необходимо развивать содержательный и функциональный анализ изображени</w:t>
      </w:r>
      <w:r>
        <w:rPr>
          <w:rFonts w:eastAsia="SimSun;宋体"/>
          <w:lang w:val="en-US"/>
        </w:rPr>
        <w:t xml:space="preserve">я (что изображено и с какой целью), а не просто навыки визуального знакомства с ними. Предлагается составлять таблицы, в которых выделяются основные изображения исторических объекты каждого периода, и дается их краткое описание, в том числе цель создания. </w:t>
      </w:r>
      <w:r/>
    </w:p>
    <w:p>
      <w:pPr>
        <w:pStyle w:val="940"/>
        <w:ind w:firstLine="708"/>
        <w:jc w:val="both"/>
        <w:rPr>
          <w:rFonts w:eastAsia="SimSun;宋体"/>
          <w:lang w:val="en-US"/>
        </w:rPr>
      </w:pPr>
      <w:r>
        <w:rPr>
          <w:rFonts w:eastAsia="SimSun;宋体"/>
          <w:lang w:val="en-US"/>
        </w:rPr>
        <w:t xml:space="preserve">Задача учителей в данном случае правильно отобрать круг наиболее важных изобразительных источников того или иного исторического периода.</w:t>
      </w:r>
      <w:r/>
    </w:p>
    <w:p>
      <w:pPr>
        <w:pStyle w:val="940"/>
        <w:ind w:firstLine="708"/>
        <w:jc w:val="both"/>
        <w:rPr>
          <w:rFonts w:eastAsia="SimSun;宋体"/>
          <w:lang w:val="en-US"/>
        </w:rPr>
      </w:pPr>
      <w:r>
        <w:rPr>
          <w:rFonts w:eastAsia="SimSun;宋体"/>
          <w:lang w:val="en-US"/>
        </w:rPr>
        <w:t xml:space="preserve">2) По заданиям первой части с кратким ответом необходима бо</w:t>
      </w:r>
      <w:r>
        <w:rPr>
          <w:rFonts w:eastAsia="SimSun;宋体"/>
          <w:lang w:val="en-US"/>
        </w:rPr>
        <w:t xml:space="preserve">лее активная работа с историческими картами. Необходимо развивать у учащихся навыки описания события, изображенного на карте именно в историческом контексте; тренировать рассказ по карте, а также тренировать навык указания на карте неподписанного объекта. </w:t>
      </w:r>
      <w:r/>
    </w:p>
    <w:p>
      <w:pPr>
        <w:pStyle w:val="940"/>
        <w:ind w:firstLine="708"/>
        <w:jc w:val="both"/>
        <w:rPr>
          <w:rFonts w:eastAsia="SimSun;宋体"/>
          <w:lang w:val="en-US"/>
        </w:rPr>
      </w:pPr>
      <w:r>
        <w:rPr>
          <w:rFonts w:eastAsia="SimSun;宋体"/>
          <w:lang w:val="en-US"/>
        </w:rPr>
        <w:t xml:space="preserve">Задача учителей в данном случае правильно отобрать круг наиболее важных карт того или иного исторического периода.</w:t>
      </w:r>
      <w:r/>
    </w:p>
    <w:p>
      <w:pPr>
        <w:pStyle w:val="940"/>
        <w:ind w:firstLine="708"/>
        <w:jc w:val="both"/>
        <w:rPr>
          <w:rFonts w:eastAsia="SimSun;宋体"/>
          <w:lang w:val="en-US"/>
        </w:rPr>
      </w:pPr>
      <w:r>
        <w:rPr>
          <w:rFonts w:eastAsia="SimSun;宋体"/>
          <w:lang w:val="en-US"/>
        </w:rPr>
        <w:t xml:space="preserve">3) Необходимо больше внимания уделят</w:t>
      </w:r>
      <w:r>
        <w:rPr>
          <w:rFonts w:eastAsia="SimSun;宋体"/>
          <w:lang w:val="en-US"/>
        </w:rPr>
        <w:t xml:space="preserve">ь изучению тем, связанных с культурой, предлагается составлять таблицы, в которых выделяются основные культурные объекты каждого периода (литературные произведения, изобразительные произведения, архитектурные памятники) и дается несколько их характеристик.</w:t>
      </w:r>
      <w:r/>
    </w:p>
    <w:p>
      <w:pPr>
        <w:pStyle w:val="940"/>
        <w:ind w:firstLine="708"/>
        <w:jc w:val="both"/>
        <w:rPr>
          <w:rFonts w:eastAsia="SimSun;宋体"/>
          <w:lang w:val="en-US"/>
        </w:rPr>
      </w:pPr>
      <w:r>
        <w:rPr>
          <w:rFonts w:eastAsia="SimSun;宋体"/>
          <w:lang w:val="en-US"/>
        </w:rPr>
        <w:t xml:space="preserve">Задача учителей в данном случае правильно отобрать круг наиболее культурных объектов того или иного исторического периода.</w:t>
      </w:r>
      <w:r/>
    </w:p>
    <w:p>
      <w:pPr>
        <w:pStyle w:val="940"/>
        <w:ind w:firstLine="708"/>
        <w:jc w:val="both"/>
      </w:pPr>
      <w:r>
        <w:rPr>
          <w:rFonts w:eastAsia="SimSun;宋体"/>
          <w:lang w:val="en-US"/>
        </w:rPr>
        <w:t xml:space="preserve">4) Необходимо больше внимания уделять изучению исторических источников, развивать умение выделять так называемые «маркеры» (имена, названия, ист</w:t>
      </w:r>
      <w:r>
        <w:rPr>
          <w:rFonts w:eastAsia="SimSun;宋体"/>
          <w:lang w:val="en-US"/>
        </w:rPr>
        <w:t xml:space="preserve">орические события), которые позволяют определить, к какому периоду относится данный источник, даже без подробного знакомства с текстом источника. Правильное определение периода, к которому относится источник, является залогом успешного выполнения заданий №</w:t>
      </w:r>
      <w:r>
        <w:rPr>
          <w:rFonts w:eastAsia="SimSun;宋体"/>
        </w:rPr>
        <w:t xml:space="preserve"> </w:t>
      </w:r>
      <w:r>
        <w:rPr>
          <w:rFonts w:eastAsia="SimSun;宋体"/>
          <w:lang w:val="en-US"/>
        </w:rPr>
        <w:t xml:space="preserve">6 и задания №</w:t>
      </w:r>
      <w:r>
        <w:rPr>
          <w:rFonts w:eastAsia="SimSun;宋体"/>
        </w:rPr>
        <w:t xml:space="preserve"> </w:t>
      </w:r>
      <w:r>
        <w:rPr>
          <w:rFonts w:eastAsia="SimSun;宋体"/>
          <w:lang w:val="en-US"/>
        </w:rPr>
        <w:t xml:space="preserve">10.</w:t>
      </w:r>
      <w:r/>
    </w:p>
    <w:p>
      <w:pPr>
        <w:pStyle w:val="940"/>
        <w:ind w:firstLine="708"/>
        <w:jc w:val="both"/>
        <w:rPr>
          <w:rFonts w:eastAsia="SimSun;宋体"/>
          <w:lang w:val="en-US"/>
        </w:rPr>
      </w:pPr>
      <w:r>
        <w:rPr>
          <w:rFonts w:eastAsia="SimSun;宋体"/>
          <w:lang w:val="en-US"/>
        </w:rPr>
        <w:t xml:space="preserve">Необязательно изучать большой массив исторических источником, важно научить учащихся основным методологическим принципам работы с ними, например, как использовать уже упоминавшиеся выше «маркеры». </w:t>
      </w:r>
      <w:r/>
    </w:p>
    <w:p>
      <w:pPr>
        <w:pStyle w:val="940"/>
        <w:ind w:firstLine="708"/>
        <w:jc w:val="both"/>
        <w:rPr>
          <w:rFonts w:eastAsia="SimSun;宋体"/>
          <w:lang w:val="en-US"/>
        </w:rPr>
      </w:pPr>
      <w:r>
        <w:rPr>
          <w:rFonts w:eastAsia="SimSun;宋体"/>
          <w:lang w:val="en-US"/>
        </w:rPr>
        <w:t xml:space="preserve">5) Необходимо больше внимания уделя</w:t>
      </w:r>
      <w:r>
        <w:rPr>
          <w:rFonts w:eastAsia="SimSun;宋体"/>
          <w:lang w:val="en-US"/>
        </w:rPr>
        <w:t xml:space="preserve">ть изучению исторических личностей, предлагается составлять таблицы, в которых выделяются основные личности каждого периода и даются основные направления их деятельности. Также учащиеся могут составлять краткие биографии основных деятелей каждого периода. </w:t>
      </w:r>
      <w:r/>
    </w:p>
    <w:p>
      <w:pPr>
        <w:pStyle w:val="940"/>
        <w:ind w:firstLine="708"/>
        <w:jc w:val="both"/>
        <w:rPr>
          <w:rFonts w:eastAsia="SimSun;宋体"/>
          <w:lang w:val="en-US"/>
        </w:rPr>
      </w:pPr>
      <w:r>
        <w:rPr>
          <w:rFonts w:eastAsia="SimSun;宋体"/>
          <w:lang w:val="en-US"/>
        </w:rPr>
        <w:t xml:space="preserve">Задача учителей в данном случае правильно отобрать круг наиболее важных исторических личностей того или иного исторического периода.</w:t>
      </w:r>
      <w:r/>
    </w:p>
    <w:p>
      <w:pPr>
        <w:pStyle w:val="940"/>
        <w:ind w:firstLine="708"/>
        <w:jc w:val="both"/>
        <w:rPr>
          <w:rFonts w:eastAsia="SimSun;宋体"/>
          <w:lang w:val="en-US"/>
        </w:rPr>
      </w:pPr>
      <w:r>
        <w:rPr>
          <w:rFonts w:eastAsia="SimSun;宋体"/>
          <w:lang w:val="en-US"/>
        </w:rPr>
        <w:t xml:space="preserve">6) При работе с исторической хронологией – не просто заучивать точные исторические даты, а формировать относительные временные представления о том, какое событие было раньше, а какое позже, без запоминания его абсолютной точной датировки.</w:t>
      </w:r>
      <w:r/>
    </w:p>
    <w:p>
      <w:pPr>
        <w:pStyle w:val="940"/>
        <w:ind w:firstLine="708"/>
        <w:jc w:val="both"/>
        <w:rPr>
          <w:rFonts w:eastAsia="SimSun;宋体"/>
          <w:lang w:val="en-US"/>
        </w:rPr>
      </w:pPr>
      <w:r>
        <w:rPr>
          <w:rFonts w:eastAsia="SimSun;宋体"/>
          <w:lang w:val="en-US"/>
        </w:rPr>
        <w:t xml:space="preserve">Абсолютная дата – с указание точного года, когда произошло историческое событие.</w:t>
      </w:r>
      <w:r/>
    </w:p>
    <w:p>
      <w:pPr>
        <w:pStyle w:val="940"/>
        <w:ind w:firstLine="708"/>
        <w:jc w:val="both"/>
        <w:rPr>
          <w:rFonts w:eastAsia="SimSun;宋体"/>
          <w:lang w:val="en-US"/>
        </w:rPr>
      </w:pPr>
      <w:r>
        <w:rPr>
          <w:rFonts w:eastAsia="SimSun;宋体"/>
          <w:lang w:val="en-US"/>
        </w:rPr>
        <w:t xml:space="preserve">Относительная хронология – понимание того, что данное событие было раньше или позже других известных событий.</w:t>
      </w:r>
      <w:r/>
    </w:p>
    <w:p>
      <w:pPr>
        <w:pStyle w:val="940"/>
        <w:ind w:firstLine="708"/>
        <w:jc w:val="both"/>
        <w:rPr>
          <w:rFonts w:eastAsia="SimSun;宋体"/>
          <w:lang w:val="en-US"/>
        </w:rPr>
      </w:pPr>
      <w:r>
        <w:rPr>
          <w:rFonts w:eastAsia="SimSun;宋体"/>
          <w:lang w:val="en-US"/>
        </w:rPr>
        <w:t xml:space="preserve">Необходимо объяснить учащимся, что для правильного ответа на тестовые задания в части № 1 нужна, прежде всего, относительн</w:t>
      </w:r>
      <w:r>
        <w:rPr>
          <w:rFonts w:eastAsia="SimSun;宋体"/>
          <w:lang w:val="en-US"/>
        </w:rPr>
        <w:t xml:space="preserve">ая хронология и знание абсолютных дат только с точность до века, чему и надо уделять главное внимание. Вовсе не обязательно требовать от учащихся точного знания абсолютных дат, кроме наиболее ключевых, например, таких, как дата Великой Отечественной войны.</w:t>
      </w:r>
      <w:r/>
    </w:p>
    <w:p>
      <w:pPr>
        <w:pStyle w:val="940"/>
        <w:ind w:firstLine="708"/>
        <w:jc w:val="both"/>
        <w:rPr>
          <w:rFonts w:eastAsia="SimSun;宋体"/>
          <w:lang w:val="en-US"/>
        </w:rPr>
      </w:pPr>
      <w:r>
        <w:rPr>
          <w:rFonts w:eastAsia="SimSun;宋体"/>
          <w:lang w:val="en-US"/>
        </w:rPr>
        <w:t xml:space="preserve">7) По заданиям второй части большее внимание необходимо уделять навыкам работы с историческим контекстом исторического источника в задании № 22. </w:t>
      </w:r>
      <w:r/>
    </w:p>
    <w:p>
      <w:pPr>
        <w:pStyle w:val="940"/>
        <w:ind w:firstLine="708"/>
        <w:jc w:val="both"/>
        <w:rPr>
          <w:rFonts w:eastAsia="SimSun;宋体"/>
          <w:lang w:val="en-US"/>
        </w:rPr>
      </w:pPr>
      <w:r>
        <w:rPr>
          <w:rFonts w:eastAsia="SimSun;宋体"/>
          <w:lang w:val="en-US"/>
        </w:rPr>
        <w:t xml:space="preserve">В данном случае можно предложить использовать следующую схему – взять для примера несколько исторических источников, выписать какие события способствовали его созданию, а также, какие события произошли до и после тех, которые описаны в данном источнике.</w:t>
      </w:r>
      <w:r/>
    </w:p>
    <w:p>
      <w:pPr>
        <w:pStyle w:val="940"/>
        <w:ind w:firstLine="708"/>
        <w:jc w:val="both"/>
        <w:rPr>
          <w:rFonts w:eastAsia="SimSun;宋体"/>
          <w:lang w:val="en-US"/>
        </w:rPr>
      </w:pPr>
      <w:r>
        <w:rPr>
          <w:rFonts w:eastAsia="SimSun;宋体"/>
          <w:lang w:val="en-US"/>
        </w:rPr>
        <w:t xml:space="preserve">8) Для</w:t>
      </w:r>
      <w:r>
        <w:rPr>
          <w:rFonts w:eastAsia="SimSun;宋体"/>
          <w:lang w:val="en-US"/>
        </w:rPr>
        <w:t xml:space="preserve"> успешного выполнения задания № 23 и № 24 необходимо подкреплять свои суждения историческими фактами. Например, «феодальная раздробленность привела к ослаблению обороноспособности древнерусского государства и (обязательно добавить!) последующему его захват</w:t>
      </w:r>
      <w:r>
        <w:rPr>
          <w:rFonts w:eastAsia="SimSun;宋体"/>
          <w:lang w:val="en-US"/>
        </w:rPr>
        <w:t xml:space="preserve">у монголо-татарскими завоевателями». Здесь общее утверждение «феодальная раздробленность привела к ослаблению обороноспособности древнерусского государства» дополняется конкретным историческим фактом – захватом древнерусского государства монголо-татарами. </w:t>
      </w:r>
      <w:r/>
    </w:p>
    <w:p>
      <w:pPr>
        <w:pStyle w:val="940"/>
        <w:ind w:firstLine="708"/>
        <w:jc w:val="both"/>
        <w:rPr>
          <w:rFonts w:eastAsia="SimSun;宋体"/>
          <w:lang w:val="en-US"/>
        </w:rPr>
      </w:pPr>
      <w:r>
        <w:rPr>
          <w:rFonts w:eastAsia="SimSun;宋体"/>
          <w:lang w:val="en-US"/>
        </w:rPr>
        <w:t xml:space="preserve">Без данной конкретизации у экспертов будут основания не засчитать ответ, даже при наличии правильного общего суждения. </w:t>
      </w:r>
      <w:r/>
    </w:p>
    <w:p>
      <w:pPr>
        <w:pStyle w:val="940"/>
        <w:ind w:firstLine="708"/>
        <w:jc w:val="both"/>
        <w:rPr>
          <w:rFonts w:eastAsia="SimSun;宋体"/>
          <w:lang w:val="en-US"/>
        </w:rPr>
      </w:pPr>
      <w:r>
        <w:rPr>
          <w:rFonts w:eastAsia="SimSun;宋体"/>
          <w:lang w:val="en-US"/>
        </w:rPr>
        <w:t xml:space="preserve">9) Для успешного выполнения задания № 24 необходимо развивать навыки аргументации своей точки зрения при </w:t>
      </w:r>
      <w:r>
        <w:rPr>
          <w:rFonts w:eastAsia="SimSun;宋体"/>
          <w:lang w:val="en-US"/>
        </w:rPr>
        <w:t xml:space="preserve">выделении аргументов, подкрепляющих противоположные точки зрения. Необходимо развивать у обучающихся умение оценивать историческое событие с двух противоположных точек зрения, добиться этого можно только с помощью проведения постоянных дискуссий на уроках.</w:t>
      </w:r>
      <w:r/>
    </w:p>
    <w:p>
      <w:pPr>
        <w:pStyle w:val="940"/>
        <w:ind w:firstLine="708"/>
        <w:jc w:val="both"/>
        <w:rPr>
          <w:rFonts w:eastAsia="SimSun;宋体"/>
          <w:lang w:val="en-US"/>
        </w:rPr>
      </w:pPr>
      <w:r>
        <w:rPr>
          <w:rFonts w:eastAsia="SimSun;宋体"/>
          <w:lang w:val="en-US"/>
        </w:rPr>
        <w:t xml:space="preserve">10) Работа с историческим сочинением.</w:t>
      </w:r>
      <w:r/>
    </w:p>
    <w:p>
      <w:pPr>
        <w:pStyle w:val="940"/>
        <w:ind w:firstLine="708"/>
        <w:jc w:val="both"/>
        <w:rPr>
          <w:rFonts w:eastAsia="SimSun;宋体"/>
          <w:lang w:val="en-US"/>
        </w:rPr>
      </w:pPr>
      <w:r>
        <w:rPr>
          <w:rFonts w:eastAsia="SimSun;宋体"/>
          <w:lang w:val="en-US"/>
        </w:rPr>
        <w:t xml:space="preserve">Важно понимать, что под историческими событиями (критерий К1) понимаются любые события, процессы, явления, относящиеся к данному периоду. </w:t>
      </w:r>
      <w:r/>
    </w:p>
    <w:p>
      <w:pPr>
        <w:pStyle w:val="940"/>
        <w:ind w:firstLine="708"/>
        <w:jc w:val="both"/>
        <w:rPr>
          <w:rFonts w:eastAsia="SimSun;宋体"/>
          <w:lang w:val="en-US"/>
        </w:rPr>
      </w:pPr>
      <w:r>
        <w:rPr>
          <w:rFonts w:eastAsia="SimSun;宋体"/>
          <w:lang w:val="en-US"/>
        </w:rPr>
        <w:t xml:space="preserve">В критерии К2 Историческая роль личности, при характеристике исторической личности необходимо указать ее конкретные действия и как они повлияли на ход событий. Деятели могут </w:t>
      </w:r>
      <w:r>
        <w:rPr>
          <w:rFonts w:eastAsia="SimSun;宋体"/>
          <w:lang w:val="en-US"/>
        </w:rPr>
        <w:t xml:space="preserve">как отечественные, так и иностранные. Роль личности всегда подразумевает конкретное действие (например, роль Дмитрия Донского в Куликовской битве – «собрал силы разных княжеств, обеспечил поддержку церкви, правильно расставил войска, засадный полк» и т.д.)</w:t>
      </w:r>
      <w:r/>
    </w:p>
    <w:p>
      <w:pPr>
        <w:pStyle w:val="940"/>
        <w:ind w:firstLine="708"/>
        <w:jc w:val="both"/>
        <w:rPr>
          <w:rFonts w:eastAsia="SimSun;宋体"/>
          <w:lang w:val="en-US"/>
        </w:rPr>
      </w:pPr>
      <w:r>
        <w:rPr>
          <w:rFonts w:eastAsia="SimSun;宋体"/>
          <w:lang w:val="en-US"/>
        </w:rPr>
        <w:t xml:space="preserve">Главные ошибки при описании исторической роли: 1) общая характер</w:t>
      </w:r>
      <w:r>
        <w:rPr>
          <w:rFonts w:eastAsia="SimSun;宋体"/>
          <w:lang w:val="en-US"/>
        </w:rPr>
        <w:t xml:space="preserve">истика, нет конкретики («Дмитрий сыграл огромную роль в Куликовской битве»); 2) указание титула и статуса («Дмитрий Донской – великий князь московский»); 3) есть действие, но нет указания в каком событии («Дмитрий Донской нанес поражение монголо-татарам»).</w:t>
      </w:r>
      <w:r/>
    </w:p>
    <w:p>
      <w:pPr>
        <w:pStyle w:val="940"/>
        <w:ind w:firstLine="708"/>
        <w:jc w:val="both"/>
        <w:rPr>
          <w:rFonts w:eastAsia="SimSun;宋体"/>
          <w:lang w:val="en-US"/>
        </w:rPr>
      </w:pPr>
      <w:r>
        <w:rPr>
          <w:rFonts w:eastAsia="SimSun;宋体"/>
          <w:lang w:val="en-US"/>
        </w:rPr>
        <w:t xml:space="preserve">Без данной конкретизации роли личности у экспертов будут все основания не засчитать ответ. </w:t>
      </w:r>
      <w:r/>
    </w:p>
    <w:p>
      <w:pPr>
        <w:pStyle w:val="940"/>
        <w:ind w:firstLine="708"/>
        <w:jc w:val="both"/>
        <w:rPr>
          <w:rFonts w:eastAsia="SimSun;宋体"/>
          <w:lang w:val="en-US"/>
        </w:rPr>
      </w:pPr>
      <w:r>
        <w:rPr>
          <w:rFonts w:eastAsia="SimSun;宋体"/>
          <w:lang w:val="en-US"/>
        </w:rPr>
        <w:t xml:space="preserve">В критерии К3 Причинн</w:t>
      </w:r>
      <w:r>
        <w:rPr>
          <w:rFonts w:eastAsia="SimSun;宋体"/>
          <w:lang w:val="en-US"/>
        </w:rPr>
        <w:t xml:space="preserve">о-следственные связи выделяются в любых событиях данного периода, но только если связи не выходят за его пределы. События могут повторять К1, могут не повторять, но если участник указывает как причинно-следственную связь то, что уже писал в исторической ро</w:t>
      </w:r>
      <w:r>
        <w:rPr>
          <w:rFonts w:eastAsia="SimSun;宋体"/>
          <w:lang w:val="en-US"/>
        </w:rPr>
        <w:t xml:space="preserve">ли, например, пишет что действия засадного полка привели к победе в Куликовской битве, то его ответ не засчитывается как ответ по критерию К3. Засчитываются как причинно-следственные связи поводы («убийство Франца Фердинанда привело к началу Первой мировой</w:t>
      </w:r>
      <w:r>
        <w:rPr>
          <w:rFonts w:eastAsia="SimSun;宋体"/>
          <w:lang w:val="en-US"/>
        </w:rPr>
        <w:t xml:space="preserve"> войны», но если будет формулировка «убийство Франца Фердинанда стало причиной Первой мировой войны», то это не будет засчитано как ошибочное утверждение) и предпосылки («идеи Просвещения привели к возникновению движения декабристов») исторических событий.</w:t>
      </w:r>
      <w:r/>
    </w:p>
    <w:p>
      <w:pPr>
        <w:pStyle w:val="940"/>
        <w:ind w:firstLine="708"/>
        <w:jc w:val="both"/>
        <w:rPr>
          <w:rFonts w:eastAsia="SimSun;宋体"/>
          <w:lang w:val="en-US"/>
        </w:rPr>
      </w:pPr>
      <w:r>
        <w:rPr>
          <w:rFonts w:eastAsia="SimSun;宋体"/>
          <w:lang w:val="en-US"/>
        </w:rPr>
        <w:t xml:space="preserve">Важно понимать, что эксперты не только не засчитывают ошибочные причинно-следственные связи, но и снижают за них баллы в критерии К6, рассматривая это как фактическую ошибку. </w:t>
      </w:r>
      <w:r/>
    </w:p>
    <w:p>
      <w:pPr>
        <w:pStyle w:val="940"/>
        <w:ind w:firstLine="708"/>
        <w:jc w:val="both"/>
        <w:rPr>
          <w:rFonts w:eastAsia="SimSun;宋体"/>
          <w:lang w:val="en-US"/>
        </w:rPr>
      </w:pPr>
      <w:r>
        <w:rPr>
          <w:rFonts w:eastAsia="SimSun;宋体"/>
          <w:lang w:val="en-US"/>
        </w:rPr>
        <w:t xml:space="preserve">Критерий К4 Историческое значение периода – это его последствия, которые выходят за границы п</w:t>
      </w:r>
      <w:r>
        <w:rPr>
          <w:rFonts w:eastAsia="SimSun;宋体"/>
          <w:lang w:val="en-US"/>
        </w:rPr>
        <w:t xml:space="preserve">ериода, при этом берется весь период в целом, а не отдельный факт из него (например, для периода 1825-1855 гг., историческое значение может быть следующим: «консервативная политика Николая привела к усилению отсталости России, поражению в Крымской войне и </w:t>
      </w:r>
      <w:r>
        <w:rPr>
          <w:rFonts w:eastAsia="SimSun;宋体"/>
          <w:lang w:val="en-US"/>
        </w:rPr>
        <w:t xml:space="preserve">началу реформ Александра»). В то же время, утверждение «поражение в Крымской войне привело к международной изоляции России» не засчитывается как историческое значение периода, так как в данном случае речь идет имен об отдельном факте, а не периоде в целом.</w:t>
      </w:r>
      <w:r/>
    </w:p>
    <w:p>
      <w:pPr>
        <w:pStyle w:val="940"/>
        <w:ind w:firstLine="708"/>
        <w:jc w:val="both"/>
        <w:rPr>
          <w:rFonts w:eastAsia="SimSun;宋体"/>
          <w:lang w:val="en-US"/>
        </w:rPr>
      </w:pPr>
      <w:r>
        <w:rPr>
          <w:rFonts w:eastAsia="SimSun;宋体"/>
          <w:lang w:val="en-US"/>
        </w:rPr>
        <w:t xml:space="preserve">Важно понимать, что эксперты не только не засчитывают абстрактные, лишенные конкретики суждения в критерии К4, такие суждения могут также </w:t>
      </w:r>
      <w:r>
        <w:rPr>
          <w:rFonts w:eastAsia="SimSun;宋体"/>
          <w:lang w:val="en-US"/>
        </w:rPr>
        <w:t xml:space="preserve">привести к снижению баллов в критерии К5, если суждение будет спорным. Пример лишенного конкретики суждения: «реформы Петра имели огромное значение для развития России, повысили ее международный авторитет» (хотя, в данном случае нет и фактической ошибки). </w:t>
      </w:r>
      <w:r/>
    </w:p>
    <w:p>
      <w:pPr>
        <w:pStyle w:val="940"/>
        <w:ind w:firstLine="708"/>
        <w:jc w:val="both"/>
        <w:rPr>
          <w:rFonts w:eastAsia="SimSun;宋体"/>
          <w:lang w:val="en-US"/>
        </w:rPr>
      </w:pPr>
      <w:r>
        <w:rPr>
          <w:rFonts w:eastAsia="SimSun;宋体"/>
          <w:lang w:val="en-US"/>
        </w:rPr>
        <w:t xml:space="preserve">В работе с критерием К5 необходимо то, что эксперты фиксируют не только фактические ошибки, например, неправильно указанные даты, но и неверные утверждения общего характера.</w:t>
      </w:r>
      <w:r/>
    </w:p>
    <w:p>
      <w:pPr>
        <w:pStyle w:val="940"/>
        <w:ind w:firstLine="708"/>
        <w:jc w:val="both"/>
        <w:rPr>
          <w:rFonts w:eastAsia="SimSun;宋体"/>
          <w:lang w:val="en-US"/>
        </w:rPr>
      </w:pPr>
      <w:r>
        <w:rPr>
          <w:rFonts w:eastAsia="SimSun;宋体"/>
          <w:lang w:val="en-US"/>
        </w:rPr>
        <w:t xml:space="preserve">Необходимо дать рекомендации учащимся не использовать в сочинение точных дат (этого от них не требуется), это снизит вероятность фактических ошибок.</w:t>
      </w:r>
      <w:r/>
    </w:p>
    <w:p>
      <w:pPr>
        <w:pStyle w:val="940"/>
        <w:jc w:val="both"/>
        <w:rPr>
          <w:rFonts w:eastAsia="SimSun;宋体"/>
        </w:rPr>
      </w:pPr>
      <w:r>
        <w:rPr>
          <w:rFonts w:eastAsia="SimSun;宋体"/>
          <w:lang w:val="en-US"/>
        </w:rPr>
        <w:t xml:space="preserve">При подготовке исторического сочинения необходимо четко определить примерный перечень исторических процессов и круг наиболее важных исторических личностей того или иного периода и готовить по ним пробные исторические сочинени</w:t>
      </w:r>
      <w:r>
        <w:rPr>
          <w:rFonts w:eastAsia="SimSun;宋体"/>
        </w:rPr>
        <w:t xml:space="preserve">я.</w:t>
      </w:r>
      <w:r/>
    </w:p>
    <w:p>
      <w:pPr>
        <w:pStyle w:val="940"/>
        <w:ind w:left="432" w:firstLine="0"/>
        <w:jc w:val="both"/>
        <w:rPr>
          <w:rFonts w:eastAsia="SimSun;宋体"/>
        </w:rPr>
      </w:pPr>
      <w:r>
        <w:rPr>
          <w:rFonts w:eastAsia="SimSun;宋体"/>
        </w:rPr>
      </w:r>
      <w:r/>
    </w:p>
    <w:p>
      <w:pPr>
        <w:pStyle w:val="940"/>
        <w:jc w:val="both"/>
        <w:rPr>
          <w:rFonts w:eastAsia="SimSun;宋体"/>
          <w:b/>
          <w:bCs/>
          <w:sz w:val="28"/>
        </w:rPr>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rPr>
          <w:rFonts w:eastAsia="SimSun;宋体"/>
          <w:b/>
          <w:bCs/>
          <w:sz w:val="28"/>
        </w:rPr>
      </w:pPr>
      <w:r>
        <w:rPr>
          <w:rFonts w:eastAsia="SimSun;宋体"/>
          <w:b/>
          <w:bCs/>
          <w:sz w:val="28"/>
        </w:rPr>
      </w:r>
      <w:r/>
    </w:p>
    <w:p>
      <w:pPr>
        <w:pStyle w:val="940"/>
        <w:jc w:val="both"/>
        <w:rPr>
          <w:rFonts w:eastAsia="SimSun;宋体"/>
          <w:bCs/>
          <w:sz w:val="28"/>
        </w:rPr>
      </w:pPr>
      <w:r/>
      <w:hyperlink r:id="rId32" w:tooltip="http://minobr.astrobl.ru/osnovnaya-stranica/informacionnye-materialy" w:history="1">
        <w:r>
          <w:rPr>
            <w:rStyle w:val="1382"/>
            <w:rFonts w:eastAsia="SimSun;宋体"/>
            <w:bCs/>
            <w:sz w:val="28"/>
          </w:rPr>
          <w:t xml:space="preserve">http://minobr.astrobl.ru/osnovnaya-stranica/informacionnye-materialy</w:t>
        </w:r>
      </w:hyperlink>
      <w:r>
        <w:rPr>
          <w:rFonts w:eastAsia="SimSun;宋体"/>
          <w:bCs/>
          <w:sz w:val="28"/>
        </w:rPr>
        <w:t xml:space="preserve"> </w:t>
      </w:r>
      <w:r/>
    </w:p>
    <w:p>
      <w:pPr>
        <w:pStyle w:val="940"/>
        <w:jc w:val="both"/>
        <w:rPr>
          <w:rFonts w:eastAsia="SimSun;宋体"/>
          <w:bCs/>
          <w:sz w:val="28"/>
        </w:rPr>
      </w:pPr>
      <w:r>
        <w:rPr>
          <w:rFonts w:eastAsia="SimSun;宋体"/>
          <w:bCs/>
          <w:sz w:val="28"/>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lang w:val="en-US"/>
        </w:rPr>
      </w:pPr>
      <w:r>
        <w:rPr>
          <w:rFonts w:eastAsia="SimSun;宋体"/>
          <w:b/>
          <w:bCs/>
          <w:sz w:val="28"/>
          <w:lang w:val="en-US"/>
        </w:rPr>
      </w:r>
      <w:r/>
    </w:p>
    <w:p>
      <w:pPr>
        <w:pStyle w:val="940"/>
        <w:jc w:val="both"/>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jc w:val="right"/>
        <w:keepNext/>
        <w:spacing w:before="0" w:after="200"/>
      </w:pPr>
      <w:r>
        <w:rPr>
          <w:bCs/>
          <w:i/>
          <w:sz w:val="18"/>
          <w:szCs w:val="18"/>
        </w:rPr>
        <w:t xml:space="preserve">Таблица 2</w:t>
        <w:noBreakHyphen/>
        <w:t xml:space="preserve">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02"/>
        <w:gridCol w:w="267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rPr>
                <w:lang w:val="en-US"/>
              </w:rPr>
            </w:pPr>
            <w:r>
              <w:rPr>
                <w:lang w:val="en-US"/>
              </w:rP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(история)</w:t>
            </w:r>
            <w:r/>
          </w:p>
        </w:tc>
        <w:tc>
          <w:tcPr>
            <w:tcBorders>
              <w:top w:val="single" w:color="000000" w:sz="4" w:space="0"/>
              <w:left w:val="single" w:color="000000" w:sz="4" w:space="0"/>
              <w:bottom w:val="single" w:color="000000" w:sz="4" w:space="0"/>
            </w:tcBorders>
            <w:tcW w:w="390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истории </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rPr>
                <w:lang w:eastAsia="en-US"/>
              </w:rPr>
              <w:t xml:space="preserve">В процессе анализа и обсуждения результатов ЕГЭ</w:t>
            </w:r>
            <w:r>
              <w:rPr>
                <w:lang w:eastAsia="en-US"/>
              </w:rPr>
              <w:t xml:space="preserve"> – 11 в 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истории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истории.</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истории.</w:t>
            </w:r>
            <w:r/>
          </w:p>
          <w:p>
            <w:pPr>
              <w:pStyle w:val="940"/>
            </w:pPr>
            <w:r>
              <w:t xml:space="preserve">Разработаны рекомендации по изменению программы повышения квалификации учителей истории</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rPr>
                <w:lang w:val="en-US"/>
              </w:rPr>
            </w:pPr>
            <w:r>
              <w:rPr>
                <w:lang w:val="en-US"/>
              </w:rPr>
              <w:t xml:space="preserve">3.3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65 человек 2 часа, семинар, учителя -предметники</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rPr>
                <w:lang w:val="en-US"/>
              </w:rPr>
            </w:pPr>
            <w:r>
              <w:rPr>
                <w:lang w:val="en-US"/>
              </w:rPr>
              <w:t xml:space="preserve">3.4</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(история)</w:t>
            </w:r>
            <w:r/>
          </w:p>
        </w:tc>
        <w:tc>
          <w:tcPr>
            <w:tcBorders>
              <w:top w:val="single" w:color="000000" w:sz="4" w:space="0"/>
              <w:left w:val="single" w:color="000000" w:sz="4" w:space="0"/>
              <w:bottom w:val="single" w:color="000000" w:sz="4" w:space="0"/>
            </w:tcBorders>
            <w:tcW w:w="3902" w:type="dxa"/>
            <w:textDirection w:val="lrTb"/>
            <w:noWrap w:val="false"/>
          </w:tcPr>
          <w:p>
            <w:pPr>
              <w:pStyle w:val="940"/>
              <w:jc w:val="both"/>
              <w:spacing w:before="0" w:after="160" w:line="254" w:lineRule="auto"/>
            </w:pPr>
            <w:r>
              <w:rPr>
                <w:lang w:eastAsia="en-US"/>
              </w:rPr>
              <w:t xml:space="preserve">5</w:t>
            </w:r>
            <w:r>
              <w:rPr>
                <w:sz w:val="22"/>
                <w:szCs w:val="22"/>
                <w:lang w:eastAsia="en-US"/>
              </w:rPr>
              <w:t xml:space="preserve"> </w:t>
            </w:r>
            <w:r>
              <w:rPr>
                <w:lang w:eastAsia="en-US"/>
              </w:rPr>
              <w:t xml:space="preserve">человек</w:t>
            </w:r>
            <w:r>
              <w:rPr>
                <w:sz w:val="22"/>
                <w:szCs w:val="22"/>
                <w:lang w:eastAsia="en-US"/>
              </w:rPr>
              <w:t xml:space="preserve"> </w:t>
            </w:r>
            <w:r>
              <w:rPr>
                <w:lang w:eastAsia="en-US"/>
              </w:rPr>
              <w:t xml:space="preserve">семинар, члены предметной комиссии, учителя истории</w:t>
            </w:r>
            <w:r/>
          </w:p>
        </w:tc>
        <w:tc>
          <w:tcPr>
            <w:tcBorders>
              <w:top w:val="single" w:color="000000" w:sz="4" w:space="0"/>
              <w:left w:val="single" w:color="000000" w:sz="4" w:space="0"/>
              <w:bottom w:val="single" w:color="000000" w:sz="4" w:space="0"/>
              <w:right w:val="single" w:color="000000" w:sz="4" w:space="0"/>
            </w:tcBorders>
            <w:tcW w:w="267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ind w:left="0" w:hanging="25"/>
              <w:jc w:val="both"/>
              <w:spacing w:before="0" w:after="160" w:line="254" w:lineRule="auto"/>
              <w:rPr>
                <w:lang w:eastAsia="en-US"/>
              </w:rPr>
            </w:pPr>
            <w:r>
              <w:rPr>
                <w:lang w:eastAsia="en-US"/>
              </w:rP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rPr>
                <w:lang w:eastAsia="en-US"/>
              </w:rPr>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w:t>
            </w:r>
            <w:r>
              <w:rPr>
                <w:lang w:eastAsia="en-US"/>
              </w:rPr>
              <w:t xml:space="preserve">о образовательным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истории;</w:t>
            </w:r>
            <w:r/>
          </w:p>
          <w:p>
            <w:pPr>
              <w:pStyle w:val="940"/>
              <w:jc w:val="both"/>
              <w:spacing w:before="0" w:after="160" w:line="254" w:lineRule="auto"/>
              <w:rPr>
                <w:lang w:eastAsia="en-US"/>
              </w:rPr>
            </w:pPr>
            <w:r>
              <w:rPr>
                <w:lang w:eastAsia="en-US"/>
              </w:rPr>
              <w:t xml:space="preserve">•</w:t>
            </w:r>
            <w:r>
              <w:rPr>
                <w:lang w:eastAsia="en-US"/>
              </w:rPr>
              <w:tab/>
              <w:t xml:space="preserve">формированию у них представления о структуре и содержании  КИМ по истории;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Количество слушателей – 97 человек, в том числе учителя истории</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w:t>
            </w:r>
            <w:r>
              <w:t xml:space="preserve">и включают вопросы обновления технологий и содержания обучения русскому языку и литературе/ истории/ обществознанию/ географии/ математике/ истории и астрономии/ химии и др. в соответствии с концепциями преподавания учебных предметов (предметных областей).</w:t>
            </w:r>
            <w:r/>
          </w:p>
        </w:tc>
      </w:tr>
    </w:tbl>
    <w:p>
      <w:pPr>
        <w:pStyle w:val="940"/>
        <w:keepNext/>
        <w:spacing w:before="0" w:after="200"/>
        <w:rPr>
          <w:bCs/>
          <w:sz w:val="18"/>
          <w:szCs w:val="18"/>
        </w:rPr>
      </w:pPr>
      <w:r>
        <w:rPr>
          <w:bCs/>
          <w:sz w:val="18"/>
          <w:szCs w:val="18"/>
        </w:rPr>
      </w:r>
      <w:r/>
    </w:p>
    <w:p>
      <w:pPr>
        <w:pStyle w:val="940"/>
        <w:keepLines/>
        <w:keepNext/>
        <w:spacing w:before="200" w:after="0"/>
      </w:pPr>
      <w:r>
        <w:rPr>
          <w:rFonts w:eastAsia="SimSun;宋体"/>
          <w:b/>
          <w:bCs/>
          <w:sz w:val="28"/>
        </w:rPr>
        <w:t xml:space="preserve">5.2. </w:t>
      </w:r>
      <w:r>
        <w:rPr>
          <w:rFonts w:eastAsia="SimSun;宋体"/>
          <w:b/>
          <w:bCs/>
          <w:sz w:val="28"/>
          <w:lang w:val="en-US"/>
        </w:rPr>
        <w:t xml:space="preserve">Предложения в дорожную карту на 2021-2022 учебный год</w:t>
      </w:r>
      <w:r/>
    </w:p>
    <w:p>
      <w:pPr>
        <w:pStyle w:val="940"/>
        <w:ind w:left="567" w:firstLine="0"/>
        <w:keepLines/>
        <w:keepNext/>
        <w:spacing w:before="200" w:after="0"/>
      </w:pPr>
      <w:r>
        <w:rPr>
          <w:rFonts w:eastAsia="SimSun;宋体"/>
          <w:b/>
          <w:bCs/>
          <w:sz w:val="28"/>
        </w:rPr>
        <w:t xml:space="preserve">5.2.1.</w:t>
      </w:r>
      <w:r>
        <w:rPr>
          <w:rFonts w:eastAsia="SimSun;宋体"/>
          <w:bCs/>
          <w:sz w:val="28"/>
        </w:rPr>
        <w:t xml:space="preserve"> </w:t>
      </w: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lang w:eastAsia="en-US"/>
        </w:rPr>
      </w:pPr>
      <w:r>
        <w:rPr>
          <w:bCs/>
          <w:i/>
          <w:sz w:val="18"/>
          <w:szCs w:val="18"/>
        </w:rPr>
        <w:t xml:space="preserve">Таблица 2</w:t>
        <w:noBreakHyphen/>
        <w:t xml:space="preserve">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истории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истории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ind w:left="567" w:firstLine="0"/>
        <w:keepLines/>
        <w:keepNext/>
        <w:spacing w:before="200" w:after="0"/>
      </w:pPr>
      <w:r>
        <w:rPr>
          <w:rFonts w:eastAsia="SimSun;宋体"/>
          <w:b/>
          <w:bCs/>
          <w:sz w:val="28"/>
        </w:rPr>
        <w:t xml:space="preserve">5.2.2.</w:t>
      </w:r>
      <w:r>
        <w:rPr>
          <w:rFonts w:eastAsia="SimSun;宋体"/>
          <w:bCs/>
          <w:sz w:val="28"/>
        </w:rPr>
        <w:t xml:space="preserve"> </w:t>
      </w: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6"/>
        <w:gridCol w:w="1850"/>
        <w:gridCol w:w="7233"/>
      </w:tblGrid>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rPr>
                <w:sz w:val="22"/>
                <w:szCs w:val="22"/>
              </w:rPr>
            </w:pPr>
            <w:r>
              <w:rPr>
                <w:sz w:val="22"/>
                <w:szCs w:val="22"/>
              </w:rPr>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Проведение открытых заседаний предметных секций ре</w:t>
            </w:r>
            <w:r>
              <w:t xml:space="preserve">гионального учебно-методического объединения с участием председателей предметных комиссий ЕГЭ с обсуждением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850"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rPr>
                <w:lang w:eastAsia="en-US"/>
              </w:rPr>
            </w:pPr>
            <w:r>
              <w:rPr>
                <w:lang w:eastAsia="en-US"/>
              </w:rPr>
              <w:t xml:space="preserve">Обновление содержания обучения по истории с учетом нового ФГОС ООО и результатов ГИА</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1.3</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Октябрь</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Анализ результатов ГИА – 11 по истории в 2021 году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Ноябрь/декабрь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«Формирование у обучающихся умений использовать принципы структурно-функционального, временного и пространственного анализа при рассмотрении фактов, явлений, процессов»</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3.2</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Февраль 2021</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«Формирование у обучающихся умений использовать исторические сведения для аргументации в ходе дискуссии»</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4.1</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Октябрь/ноябрь</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«Методика подготовки обучающихся к выполнению «закрытых» заданий: работа с исторической картой, анализ иллюстративного материала, история культуры»</w:t>
            </w:r>
            <w:r/>
          </w:p>
        </w:tc>
      </w:tr>
      <w:tr>
        <w:trPr/>
        <w:tc>
          <w:tcPr>
            <w:tcBorders>
              <w:top w:val="single" w:color="000000" w:sz="4" w:space="0"/>
              <w:left w:val="single" w:color="000000" w:sz="4" w:space="0"/>
              <w:bottom w:val="single" w:color="000000" w:sz="4" w:space="0"/>
            </w:tcBorders>
            <w:tcW w:w="576" w:type="dxa"/>
            <w:textDirection w:val="lrTb"/>
            <w:noWrap w:val="false"/>
          </w:tcPr>
          <w:p>
            <w:pPr>
              <w:pStyle w:val="940"/>
              <w:contextualSpacing/>
              <w:jc w:val="center"/>
              <w:spacing w:before="0" w:after="0"/>
              <w:rPr>
                <w:lang w:eastAsia="en-US"/>
              </w:rPr>
            </w:pPr>
            <w:r>
              <w:rPr>
                <w:lang w:eastAsia="en-US"/>
              </w:rPr>
              <w:t xml:space="preserve">4.2</w:t>
            </w:r>
            <w:r/>
          </w:p>
        </w:tc>
        <w:tc>
          <w:tcPr>
            <w:tcBorders>
              <w:top w:val="single" w:color="000000" w:sz="4" w:space="0"/>
              <w:left w:val="single" w:color="000000" w:sz="4" w:space="0"/>
              <w:bottom w:val="single" w:color="000000" w:sz="4" w:space="0"/>
            </w:tcBorders>
            <w:tcW w:w="1850" w:type="dxa"/>
            <w:textDirection w:val="lrTb"/>
            <w:noWrap w:val="false"/>
          </w:tcPr>
          <w:p>
            <w:pPr>
              <w:pStyle w:val="940"/>
              <w:contextualSpacing/>
              <w:spacing w:before="0" w:after="0"/>
            </w:pPr>
            <w:r>
              <w:t xml:space="preserve">Март/апрель</w:t>
            </w:r>
            <w:r/>
          </w:p>
        </w:tc>
        <w:tc>
          <w:tcPr>
            <w:tcBorders>
              <w:top w:val="single" w:color="000000" w:sz="4" w:space="0"/>
              <w:left w:val="single" w:color="000000" w:sz="4" w:space="0"/>
              <w:bottom w:val="single" w:color="000000" w:sz="4" w:space="0"/>
              <w:right w:val="single" w:color="000000" w:sz="4" w:space="0"/>
            </w:tcBorders>
            <w:tcW w:w="7233" w:type="dxa"/>
            <w:textDirection w:val="lrTb"/>
            <w:noWrap w:val="false"/>
          </w:tcPr>
          <w:p>
            <w:pPr>
              <w:pStyle w:val="940"/>
              <w:contextualSpacing/>
              <w:spacing w:before="0" w:after="0"/>
            </w:pPr>
            <w:r>
              <w:t xml:space="preserve">«Подготовка обучающихся к написанию исторического сочинения»</w:t>
            </w:r>
            <w:r/>
          </w:p>
        </w:tc>
      </w:tr>
    </w:tbl>
    <w:p>
      <w:pPr>
        <w:pStyle w:val="940"/>
        <w:keepNext/>
        <w:spacing w:before="0" w:after="200"/>
        <w:rPr>
          <w:bCs/>
          <w:sz w:val="18"/>
          <w:szCs w:val="18"/>
        </w:rPr>
      </w:pPr>
      <w:r>
        <w:rPr>
          <w:bCs/>
          <w:sz w:val="18"/>
          <w:szCs w:val="18"/>
        </w:rPr>
      </w:r>
      <w:r/>
    </w:p>
    <w:p>
      <w:pPr>
        <w:pStyle w:val="940"/>
        <w:ind w:left="567" w:firstLine="0"/>
        <w:jc w:val="both"/>
        <w:keepLines/>
        <w:keepNext/>
        <w:spacing w:before="200" w:after="0"/>
      </w:pPr>
      <w:r>
        <w:rPr>
          <w:rFonts w:eastAsia="SimSun;宋体"/>
          <w:b/>
          <w:bCs/>
          <w:sz w:val="28"/>
        </w:rPr>
        <w:t xml:space="preserve">5.2.3.</w:t>
      </w:r>
      <w:r>
        <w:rPr>
          <w:rFonts w:eastAsia="SimSun;宋体"/>
          <w:bCs/>
          <w:sz w:val="28"/>
        </w:rPr>
        <w:t xml:space="preserve"> </w:t>
      </w: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pPr>
      <w:r>
        <w:rPr>
          <w:rFonts w:eastAsia="SimSun;宋体"/>
          <w:bCs/>
        </w:rPr>
        <w:t xml:space="preserve">Не планируются.</w:t>
      </w:r>
      <w:r/>
    </w:p>
    <w:p>
      <w:pPr>
        <w:pStyle w:val="940"/>
        <w:ind w:left="567" w:firstLine="0"/>
        <w:keepLines/>
        <w:keepNext/>
        <w:spacing w:before="200" w:after="0"/>
      </w:pPr>
      <w:r>
        <w:rPr>
          <w:rFonts w:eastAsia="SimSun;宋体"/>
          <w:b/>
          <w:bCs/>
          <w:sz w:val="28"/>
        </w:rPr>
        <w:t xml:space="preserve">5.2.4.</w:t>
      </w:r>
      <w:r>
        <w:rPr>
          <w:rFonts w:eastAsia="SimSun;宋体"/>
          <w:bCs/>
          <w:sz w:val="28"/>
        </w:rPr>
        <w:t xml:space="preserve"> </w:t>
      </w: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lang w:eastAsia="en-US"/>
        </w:rPr>
      </w:pPr>
      <w:r>
        <w:rPr>
          <w:bCs/>
          <w:i/>
          <w:sz w:val="18"/>
          <w:szCs w:val="18"/>
        </w:rPr>
        <w:t xml:space="preserve">Таблица 2</w:t>
        <w:noBreakHyphen/>
        <w:t xml:space="preserve">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56"/>
        <w:gridCol w:w="1114"/>
        <w:gridCol w:w="8089"/>
      </w:tblGrid>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i/>
                <w:lang w:eastAsia="en-US"/>
              </w:rPr>
            </w:pPr>
            <w:r>
              <w:rPr>
                <w:i/>
                <w:lang w:eastAsia="en-US"/>
              </w:rPr>
              <w:t xml:space="preserve">(месяц)</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center"/>
              <w:spacing w:before="0" w:after="0"/>
              <w:rPr>
                <w:lang w:eastAsia="en-US"/>
              </w:rPr>
            </w:pPr>
            <w:r>
              <w:rPr>
                <w:lang w:eastAsia="en-US"/>
              </w:rPr>
              <w:t xml:space="preserve">Мероприятие</w:t>
            </w:r>
            <w:r/>
          </w:p>
          <w:p>
            <w:pPr>
              <w:pStyle w:val="940"/>
              <w:contextualSpacing/>
              <w:jc w:val="center"/>
              <w:spacing w:before="0" w:after="0"/>
              <w:rPr>
                <w:i/>
                <w:lang w:eastAsia="en-US"/>
              </w:rPr>
            </w:pPr>
            <w:r>
              <w:rPr>
                <w:i/>
                <w:lang w:eastAsia="en-US"/>
              </w:rPr>
              <w:t xml:space="preserve">(указать формат, тему и организацию, которая планирует проведение мероприятия)</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pPr>
            <w: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pPr>
            <w:r>
              <w:t xml:space="preserve">Проведение вебинаров и видеоконференций с участием председателя предметной комиссий ЕГЭ по истории,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pPr>
            <w: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pPr>
            <w:r>
              <w:t xml:space="preserve">Выступления учителей истории,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истории и подготовки выпускников к ГИА</w:t>
            </w:r>
            <w:r/>
          </w:p>
        </w:tc>
      </w:tr>
    </w:tbl>
    <w:p>
      <w:pPr>
        <w:pStyle w:val="940"/>
        <w:keepNext/>
        <w:spacing w:before="0" w:after="200"/>
        <w:rPr>
          <w:bCs/>
          <w:sz w:val="18"/>
          <w:szCs w:val="18"/>
        </w:rPr>
      </w:pPr>
      <w:r>
        <w:rPr>
          <w:bCs/>
          <w:sz w:val="18"/>
          <w:szCs w:val="18"/>
        </w:rPr>
      </w:r>
      <w:r/>
    </w:p>
    <w:p>
      <w:pPr>
        <w:pStyle w:val="940"/>
        <w:ind w:left="567" w:firstLine="0"/>
        <w:keepLines/>
        <w:keepNext/>
        <w:spacing w:before="200" w:after="0"/>
      </w:pPr>
      <w:r>
        <w:rPr>
          <w:rFonts w:eastAsia="SimSun;宋体"/>
          <w:b/>
          <w:bCs/>
          <w:sz w:val="28"/>
        </w:rPr>
        <w:t xml:space="preserve">5.2.5.</w:t>
      </w:r>
      <w:r>
        <w:rPr>
          <w:rFonts w:eastAsia="SimSun;宋体"/>
          <w:bCs/>
          <w:sz w:val="28"/>
        </w:rPr>
        <w:t xml:space="preserve"> </w:t>
      </w:r>
      <w:r>
        <w:rPr>
          <w:rFonts w:eastAsia="SimSun;宋体"/>
          <w:bCs/>
          <w:sz w:val="28"/>
          <w:lang w:val="en-US"/>
        </w:rPr>
        <w:t xml:space="preserve">Работа по другим направлениям</w:t>
      </w:r>
      <w:r/>
    </w:p>
    <w:p>
      <w:pPr>
        <w:pStyle w:val="940"/>
        <w:jc w:val="both"/>
        <w:rPr>
          <w:lang w:eastAsia="en-US"/>
        </w:rPr>
      </w:pPr>
      <w:r>
        <w:rPr>
          <w:lang w:eastAsia="en-US"/>
        </w:rPr>
      </w:r>
      <w:r/>
    </w:p>
    <w:p>
      <w:pPr>
        <w:pStyle w:val="940"/>
        <w:ind w:firstLine="708"/>
        <w:jc w:val="both"/>
        <w:rPr>
          <w:lang w:eastAsia="en-US"/>
        </w:rPr>
      </w:pPr>
      <w:r>
        <w:rPr>
          <w:lang w:eastAsia="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 </w:t>
      </w:r>
      <w:r>
        <w:rPr>
          <w:lang w:eastAsia="en-US"/>
        </w:rPr>
        <w:t xml:space="preserve">№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«История»</w:t>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41"/>
        <w:gridCol w:w="3020"/>
        <w:gridCol w:w="3202"/>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Руденко Максим Николаевич, ФГБОУ ВО</w:t>
            </w:r>
            <w:r/>
          </w:p>
          <w:p>
            <w:pPr>
              <w:pStyle w:val="940"/>
              <w:rPr>
                <w:iCs/>
              </w:rPr>
            </w:pPr>
            <w:r>
              <w:rPr>
                <w:iCs/>
              </w:rPr>
              <w:t xml:space="preserve">«Астраханский государственный технический университет», заведующий кафедрой, к.и.н.,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«История»</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highlight w:val="yellow"/>
              </w:rPr>
            </w:pPr>
            <w:r>
              <w:rPr>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Рычин Иван </w:t>
            </w:r>
            <w:r/>
          </w:p>
          <w:p>
            <w:pPr>
              <w:pStyle w:val="940"/>
              <w:jc w:val="both"/>
              <w:rPr>
                <w:iCs/>
              </w:rPr>
            </w:pPr>
            <w:r>
              <w:rPr>
                <w:iCs/>
              </w:rPr>
              <w:t xml:space="preserve">Константинович,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заместитель </w:t>
            </w:r>
            <w:r/>
          </w:p>
          <w:p>
            <w:pPr>
              <w:pStyle w:val="940"/>
              <w:jc w:val="both"/>
              <w:rPr>
                <w:iCs/>
              </w:rPr>
            </w:pPr>
            <w:r>
              <w:rPr>
                <w:iCs/>
              </w:rPr>
              <w:t xml:space="preserve">начальника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highlight w:val="yellow"/>
              </w:rPr>
            </w:pPr>
            <w:r>
              <w:rPr>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Мясоедова Елена </w:t>
            </w:r>
            <w:r/>
          </w:p>
          <w:p>
            <w:pPr>
              <w:pStyle w:val="940"/>
              <w:jc w:val="both"/>
              <w:rPr>
                <w:iCs/>
              </w:rPr>
            </w:pPr>
            <w:r>
              <w:rPr>
                <w:iCs/>
              </w:rPr>
              <w:t xml:space="preserve">Анатольевна, ГАОУ АО </w:t>
            </w:r>
            <w:r/>
          </w:p>
          <w:p>
            <w:pPr>
              <w:pStyle w:val="940"/>
              <w:jc w:val="both"/>
              <w:rPr>
                <w:iCs/>
              </w:rPr>
            </w:pPr>
            <w:r>
              <w:rPr>
                <w:iCs/>
              </w:rPr>
              <w:t xml:space="preserve">ДПО «Институт развития </w:t>
            </w:r>
            <w:r/>
          </w:p>
          <w:p>
            <w:pPr>
              <w:pStyle w:val="940"/>
              <w:jc w:val="both"/>
            </w:pPr>
            <w:r>
              <w:rPr>
                <w:iCs/>
              </w:rPr>
              <w:t xml:space="preserve">образования», директор               </w:t>
            </w:r>
            <w:r/>
          </w:p>
          <w:p>
            <w:pPr>
              <w:pStyle w:val="940"/>
              <w:jc w:val="both"/>
              <w:rPr>
                <w:iCs/>
              </w:rPr>
            </w:pPr>
            <w:r>
              <w:rPr>
                <w:iCs/>
              </w:rPr>
              <w:t xml:space="preserve">по реализации публичных </w:t>
            </w:r>
            <w:r/>
          </w:p>
          <w:p>
            <w:pPr>
              <w:pStyle w:val="940"/>
              <w:jc w:val="both"/>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highlight w:val="yellow"/>
              </w:rPr>
            </w:pPr>
            <w:r>
              <w:rPr>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bl>
    <w:p>
      <w:pPr>
        <w:pStyle w:val="940"/>
        <w:jc w:val="center"/>
        <w:keepLines/>
        <w:keepNext/>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pPr>
      <w:r/>
      <w:r/>
    </w:p>
    <w:p>
      <w:pPr>
        <w:pStyle w:val="940"/>
      </w:pPr>
      <w:r/>
      <w:r/>
    </w:p>
    <w:p>
      <w:pPr>
        <w:pStyle w:val="940"/>
      </w:pPr>
      <w:r/>
      <w:r/>
    </w:p>
    <w:p>
      <w:pPr>
        <w:pStyle w:val="940"/>
      </w:p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center"/>
        <w:keepLines/>
        <w:keepNext/>
        <w:spacing w:before="480" w:after="0"/>
      </w:pPr>
      <w:r>
        <w:rPr>
          <w:rFonts w:eastAsia="SimSun;宋体"/>
          <w:b/>
          <w:bCs/>
          <w:sz w:val="28"/>
          <w:szCs w:val="28"/>
          <w:lang w:val="en-US"/>
        </w:rPr>
        <w:t xml:space="preserve">Методический анализ результатов ЕГЭ</w:t>
        <w:br/>
      </w:r>
      <w:r>
        <w:rPr>
          <w:rFonts w:eastAsia="SimSun;宋体"/>
          <w:b/>
          <w:bCs/>
          <w:sz w:val="32"/>
          <w:szCs w:val="28"/>
          <w:lang w:val="en-US"/>
        </w:rPr>
        <w:t xml:space="preserve">по </w:t>
      </w:r>
      <w:r>
        <w:rPr>
          <w:rFonts w:eastAsia="SimSun;宋体"/>
          <w:b/>
          <w:bCs/>
          <w:sz w:val="32"/>
          <w:szCs w:val="28"/>
          <w:u w:val="single"/>
        </w:rPr>
        <w:t xml:space="preserve">География</w:t>
      </w:r>
      <w:r>
        <w:rPr>
          <w:rFonts w:eastAsia="SimSun;宋体"/>
          <w:b/>
          <w:bCs/>
          <w:sz w:val="32"/>
          <w:szCs w:val="28"/>
          <w:lang w:val="en-US"/>
        </w:rPr>
        <w:br/>
      </w:r>
      <w:r>
        <w:rPr>
          <w:rFonts w:eastAsia="SimSun;宋体"/>
          <w:b/>
          <w:bCs/>
          <w:szCs w:val="22"/>
        </w:rPr>
        <w:t xml:space="preserve">       </w:t>
      </w:r>
      <w:r>
        <w:rPr>
          <w:rFonts w:eastAsia="SimSun;宋体"/>
          <w:b/>
          <w:bCs/>
          <w:szCs w:val="22"/>
          <w:lang w:val="en-US"/>
        </w:rPr>
        <w:t xml:space="preserve">(учебный предмет)</w:t>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1. ХАРАКТЕРИСТИКА УЧАСТНИКОВ ЕГЭ</w:t>
        <w:br/>
        <w:t xml:space="preserve"> ПО УЧЕБНОМУ ПРЕДМЕТУ</w:t>
      </w:r>
      <w:r/>
    </w:p>
    <w:p>
      <w:pPr>
        <w:pStyle w:val="940"/>
        <w:numPr>
          <w:ilvl w:val="1"/>
          <w:numId w:val="39"/>
        </w:numPr>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учебному предмету (за 3 года)</w:t>
      </w:r>
      <w:r/>
    </w:p>
    <w:p>
      <w:pPr>
        <w:pStyle w:val="940"/>
        <w:jc w:val="right"/>
        <w:keepNext/>
        <w:spacing w:before="0" w:after="200"/>
        <w:rPr>
          <w:bCs/>
          <w:i/>
          <w:sz w:val="18"/>
          <w:szCs w:val="18"/>
        </w:rPr>
      </w:pPr>
      <w:r>
        <w:rPr>
          <w:bCs/>
          <w:i/>
          <w:sz w:val="18"/>
          <w:szCs w:val="18"/>
        </w:rPr>
        <w:t xml:space="preserve">Таблица 2</w:t>
        <w:noBreakHyphen/>
        <w:t xml:space="preserve">1</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207"/>
        <w:gridCol w:w="1601"/>
        <w:gridCol w:w="1605"/>
        <w:gridCol w:w="1602"/>
        <w:gridCol w:w="1602"/>
        <w:gridCol w:w="1829"/>
      </w:tblGrid>
      <w:tr>
        <w:trPr/>
        <w:tc>
          <w:tcPr>
            <w:gridSpan w:val="2"/>
            <w:tcBorders>
              <w:top w:val="single" w:color="000000" w:sz="4" w:space="0"/>
              <w:left w:val="single" w:color="000000" w:sz="4" w:space="0"/>
              <w:bottom w:val="single" w:color="000000" w:sz="4" w:space="0"/>
            </w:tcBorders>
            <w:tcW w:w="280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0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431"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0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82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07" w:type="dxa"/>
            <w:textDirection w:val="lrTb"/>
            <w:noWrap w:val="false"/>
          </w:tcPr>
          <w:p>
            <w:pPr>
              <w:pStyle w:val="940"/>
              <w:ind w:right="-1" w:firstLine="0"/>
              <w:jc w:val="center"/>
              <w:spacing w:before="0" w:after="160" w:line="254" w:lineRule="auto"/>
              <w:rPr>
                <w:lang w:eastAsia="en-US"/>
              </w:rPr>
            </w:pPr>
            <w:r>
              <w:rPr>
                <w:lang w:eastAsia="en-US"/>
              </w:rPr>
              <w:t xml:space="preserve">138</w:t>
            </w:r>
            <w:r/>
          </w:p>
        </w:tc>
        <w:tc>
          <w:tcPr>
            <w:tcBorders>
              <w:top w:val="single" w:color="000000" w:sz="4" w:space="0"/>
              <w:left w:val="single" w:color="000000" w:sz="4" w:space="0"/>
              <w:bottom w:val="single" w:color="000000" w:sz="4" w:space="0"/>
            </w:tcBorders>
            <w:tcW w:w="1601" w:type="dxa"/>
            <w:textDirection w:val="lrTb"/>
            <w:noWrap w:val="false"/>
          </w:tcPr>
          <w:p>
            <w:pPr>
              <w:pStyle w:val="940"/>
              <w:ind w:right="-1" w:firstLine="0"/>
              <w:jc w:val="center"/>
              <w:spacing w:before="0" w:after="160" w:line="254" w:lineRule="auto"/>
              <w:rPr>
                <w:lang w:eastAsia="en-US"/>
              </w:rPr>
            </w:pPr>
            <w:r>
              <w:rPr>
                <w:lang w:eastAsia="en-US"/>
              </w:rPr>
              <w:t xml:space="preserve">3,2</w:t>
            </w:r>
            <w:r/>
          </w:p>
        </w:tc>
        <w:tc>
          <w:tcPr>
            <w:tcBorders>
              <w:top w:val="single" w:color="000000" w:sz="4" w:space="0"/>
              <w:left w:val="single" w:color="000000" w:sz="4" w:space="0"/>
              <w:bottom w:val="single" w:color="000000" w:sz="4" w:space="0"/>
            </w:tcBorders>
            <w:tcW w:w="160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74</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1,8</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jc w:val="center"/>
            </w:pPr>
            <w:r>
              <w:t xml:space="preserve">80</w:t>
            </w:r>
            <w:r/>
          </w:p>
        </w:tc>
        <w:tc>
          <w:tcPr>
            <w:tcBorders>
              <w:top w:val="single" w:color="000000" w:sz="4" w:space="0"/>
              <w:left w:val="single" w:color="000000" w:sz="4" w:space="0"/>
              <w:bottom w:val="single" w:color="000000" w:sz="4" w:space="0"/>
              <w:right w:val="single" w:color="000000" w:sz="4" w:space="0"/>
            </w:tcBorders>
            <w:tcW w:w="1829" w:type="dxa"/>
            <w:vAlign w:val="bottom"/>
            <w:textDirection w:val="lrTb"/>
            <w:noWrap w:val="false"/>
          </w:tcPr>
          <w:p>
            <w:pPr>
              <w:pStyle w:val="940"/>
              <w:jc w:val="center"/>
            </w:pPr>
            <w:r>
              <w:t xml:space="preserve">2,0</w:t>
            </w:r>
            <w:r/>
          </w:p>
        </w:tc>
      </w:tr>
    </w:tbl>
    <w:p>
      <w:pPr>
        <w:pStyle w:val="940"/>
        <w:contextualSpacing/>
        <w:spacing w:before="0" w:after="0"/>
        <w:rPr>
          <w:lang w:eastAsia="en-US"/>
        </w:rPr>
      </w:pPr>
      <w:r>
        <w:rPr>
          <w:lang w:eastAsia="en-US"/>
        </w:rPr>
      </w:r>
      <w:r/>
    </w:p>
    <w:p>
      <w:pPr>
        <w:pStyle w:val="940"/>
        <w:numPr>
          <w:ilvl w:val="1"/>
          <w:numId w:val="39"/>
        </w:numPr>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Процентное соотношение юношей и девушек, участвующих в ЕГЭ</w:t>
      </w:r>
      <w:r/>
    </w:p>
    <w:p>
      <w:pPr>
        <w:pStyle w:val="940"/>
        <w:jc w:val="right"/>
        <w:keepNext/>
        <w:spacing w:before="0" w:after="200"/>
        <w:rPr>
          <w:bCs/>
          <w:i/>
          <w:sz w:val="18"/>
          <w:szCs w:val="18"/>
        </w:rPr>
      </w:pPr>
      <w:r>
        <w:rPr>
          <w:bCs/>
          <w:i/>
          <w:sz w:val="18"/>
          <w:szCs w:val="18"/>
        </w:rPr>
        <w:t xml:space="preserve">Таблица 2</w:t>
        <w:noBreakHyphen/>
        <w:t xml:space="preserve">2</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242"/>
        <w:gridCol w:w="577"/>
        <w:gridCol w:w="2074"/>
        <w:gridCol w:w="695"/>
        <w:gridCol w:w="2074"/>
        <w:gridCol w:w="692"/>
        <w:gridCol w:w="2092"/>
      </w:tblGrid>
      <w:tr>
        <w:trPr/>
        <w:tc>
          <w:tcPr>
            <w:tcBorders>
              <w:top w:val="single" w:color="000000" w:sz="4" w:space="0"/>
              <w:left w:val="single" w:color="000000" w:sz="4" w:space="0"/>
              <w:bottom w:val="single" w:color="000000" w:sz="4" w:space="0"/>
            </w:tcBorders>
            <w:tcW w:w="1242"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651"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6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78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242"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57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0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42"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577" w:type="dxa"/>
            <w:textDirection w:val="lrTb"/>
            <w:noWrap w:val="false"/>
          </w:tcPr>
          <w:p>
            <w:pPr>
              <w:pStyle w:val="940"/>
              <w:jc w:val="center"/>
              <w:spacing w:before="0" w:after="160" w:line="254" w:lineRule="auto"/>
              <w:rPr>
                <w:lang w:eastAsia="en-US"/>
              </w:rPr>
            </w:pPr>
            <w:r>
              <w:rPr>
                <w:lang w:eastAsia="en-US"/>
              </w:rPr>
              <w:t xml:space="preserve">58</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42,0</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jc w:val="center"/>
              <w:spacing w:before="0" w:after="160" w:line="254" w:lineRule="auto"/>
              <w:rPr>
                <w:lang w:eastAsia="en-US"/>
              </w:rPr>
            </w:pPr>
            <w:r>
              <w:rPr>
                <w:lang w:eastAsia="en-US"/>
              </w:rPr>
              <w:t xml:space="preserve">33</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jc w:val="center"/>
              <w:spacing w:before="0" w:after="160" w:line="254" w:lineRule="auto"/>
              <w:rPr>
                <w:lang w:eastAsia="en-US"/>
              </w:rPr>
            </w:pPr>
            <w:r>
              <w:rPr>
                <w:lang w:eastAsia="en-US"/>
              </w:rPr>
              <w:t xml:space="preserve">44,6</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center"/>
            </w:pPr>
            <w:r>
              <w:t xml:space="preserve">37</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46,3</w:t>
            </w:r>
            <w:r/>
          </w:p>
        </w:tc>
      </w:tr>
      <w:tr>
        <w:trPr/>
        <w:tc>
          <w:tcPr>
            <w:tcBorders>
              <w:top w:val="single" w:color="000000" w:sz="4" w:space="0"/>
              <w:left w:val="single" w:color="000000" w:sz="4" w:space="0"/>
              <w:bottom w:val="single" w:color="000000" w:sz="4" w:space="0"/>
            </w:tcBorders>
            <w:tcW w:w="1242"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577" w:type="dxa"/>
            <w:textDirection w:val="lrTb"/>
            <w:noWrap w:val="false"/>
          </w:tcPr>
          <w:p>
            <w:pPr>
              <w:pStyle w:val="940"/>
              <w:jc w:val="center"/>
              <w:spacing w:before="0" w:after="160" w:line="254" w:lineRule="auto"/>
              <w:rPr>
                <w:lang w:eastAsia="en-US"/>
              </w:rPr>
            </w:pPr>
            <w:r>
              <w:rPr>
                <w:lang w:eastAsia="en-US"/>
              </w:rPr>
              <w:t xml:space="preserve">80</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58,0</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jc w:val="center"/>
              <w:spacing w:before="0" w:after="160" w:line="254" w:lineRule="auto"/>
              <w:rPr>
                <w:lang w:eastAsia="en-US"/>
              </w:rPr>
            </w:pPr>
            <w:r>
              <w:rPr>
                <w:lang w:eastAsia="en-US"/>
              </w:rPr>
              <w:t xml:space="preserve">41</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jc w:val="center"/>
              <w:spacing w:before="0" w:after="160" w:line="254" w:lineRule="auto"/>
              <w:rPr>
                <w:lang w:eastAsia="en-US"/>
              </w:rPr>
            </w:pPr>
            <w:r>
              <w:rPr>
                <w:lang w:eastAsia="en-US"/>
              </w:rPr>
              <w:t xml:space="preserve">55,4</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center"/>
            </w:pPr>
            <w:r>
              <w:t xml:space="preserve">43</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53,8</w:t>
            </w:r>
            <w:r/>
          </w:p>
        </w:tc>
      </w:tr>
    </w:tbl>
    <w:p>
      <w:pPr>
        <w:pStyle w:val="940"/>
        <w:numPr>
          <w:ilvl w:val="1"/>
          <w:numId w:val="39"/>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в регионе по категориям </w:t>
      </w:r>
      <w:r/>
    </w:p>
    <w:p>
      <w:pPr>
        <w:pStyle w:val="940"/>
        <w:jc w:val="right"/>
        <w:keepNext/>
        <w:spacing w:before="0" w:after="200"/>
        <w:rPr>
          <w:bCs/>
          <w:i/>
          <w:sz w:val="18"/>
          <w:szCs w:val="18"/>
        </w:rPr>
      </w:pPr>
      <w:r>
        <w:rPr>
          <w:bCs/>
          <w:i/>
          <w:sz w:val="18"/>
          <w:szCs w:val="18"/>
        </w:rPr>
        <w:t xml:space="preserve">Таблица 2</w:t>
        <w:noBreakHyphen/>
        <w:t xml:space="preserve">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91"/>
        <w:gridCol w:w="2268"/>
      </w:tblGrid>
      <w:tr>
        <w:trPr>
          <w:trHeight w:val="265"/>
        </w:trPr>
        <w:tc>
          <w:tcPr>
            <w:tcBorders>
              <w:top w:val="single" w:color="000000" w:sz="4" w:space="0"/>
              <w:left w:val="single" w:color="000000" w:sz="4" w:space="0"/>
              <w:bottom w:val="single" w:color="000000" w:sz="4" w:space="0"/>
            </w:tcBorders>
            <w:tcW w:w="7391"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80</w:t>
            </w:r>
            <w:r/>
          </w:p>
        </w:tc>
      </w:tr>
      <w:tr>
        <w:trPr>
          <w:trHeight w:val="523"/>
        </w:trPr>
        <w:tc>
          <w:tcPr>
            <w:tcBorders>
              <w:top w:val="single" w:color="000000" w:sz="4" w:space="0"/>
              <w:left w:val="single" w:color="000000" w:sz="4" w:space="0"/>
              <w:bottom w:val="single" w:color="000000" w:sz="4" w:space="0"/>
            </w:tcBorders>
            <w:tcW w:w="7391"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9"/>
              <w:t xml:space="preserve">*</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71</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6</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1</w:t>
            </w:r>
            <w:r/>
          </w:p>
        </w:tc>
      </w:tr>
      <w:tr>
        <w:trPr>
          <w:trHeight w:val="265"/>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1</w:t>
            </w:r>
            <w:r/>
          </w:p>
        </w:tc>
      </w:tr>
      <w:tr>
        <w:trPr>
          <w:trHeight w:val="27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w:t>
            </w:r>
            <w:r/>
          </w:p>
        </w:tc>
      </w:tr>
      <w:tr>
        <w:trPr>
          <w:trHeight w:val="529"/>
        </w:trPr>
        <w:tc>
          <w:tcPr>
            <w:tcBorders>
              <w:top w:val="single" w:color="000000" w:sz="4" w:space="0"/>
              <w:left w:val="single" w:color="000000" w:sz="4" w:space="0"/>
              <w:bottom w:val="single" w:color="000000" w:sz="4" w:space="0"/>
            </w:tcBorders>
            <w:tcW w:w="739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X классов, завершившие освоение программы за курс средней школы</w:t>
            </w:r>
            <w:r/>
          </w:p>
        </w:tc>
        <w:tc>
          <w:tcPr>
            <w:tcBorders>
              <w:top w:val="single" w:color="000000" w:sz="4" w:space="0"/>
              <w:left w:val="single" w:color="000000" w:sz="4" w:space="0"/>
              <w:bottom w:val="single" w:color="000000" w:sz="4" w:space="0"/>
              <w:right w:val="single" w:color="000000" w:sz="4" w:space="0"/>
            </w:tcBorders>
            <w:tcW w:w="2268" w:type="dxa"/>
            <w:textDirection w:val="lrTb"/>
            <w:noWrap w:val="false"/>
          </w:tcPr>
          <w:p>
            <w:pPr>
              <w:pStyle w:val="940"/>
              <w:contextualSpacing/>
              <w:jc w:val="both"/>
              <w:spacing w:before="0" w:after="0"/>
            </w:pPr>
            <w:r>
              <w:t xml:space="preserve">1</w:t>
            </w:r>
            <w:r/>
          </w:p>
        </w:tc>
      </w:tr>
    </w:tbl>
    <w:p>
      <w:pPr>
        <w:pStyle w:val="940"/>
        <w:contextualSpacing/>
        <w:spacing w:before="0" w:after="0"/>
        <w:rPr>
          <w:lang w:eastAsia="en-US"/>
        </w:rPr>
      </w:pPr>
      <w:r>
        <w:rPr>
          <w:lang w:eastAsia="en-US"/>
        </w:rPr>
      </w:r>
      <w:r/>
    </w:p>
    <w:p>
      <w:pPr>
        <w:pStyle w:val="940"/>
        <w:numPr>
          <w:ilvl w:val="1"/>
          <w:numId w:val="39"/>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по типам ОО </w:t>
      </w:r>
      <w:r/>
    </w:p>
    <w:p>
      <w:pPr>
        <w:pStyle w:val="940"/>
        <w:jc w:val="right"/>
        <w:keepNext/>
        <w:spacing w:before="0" w:after="200"/>
        <w:rPr>
          <w:bCs/>
          <w:i/>
          <w:sz w:val="18"/>
          <w:szCs w:val="18"/>
        </w:rPr>
      </w:pPr>
      <w:r>
        <w:rPr>
          <w:bCs/>
          <w:i/>
          <w:sz w:val="18"/>
          <w:szCs w:val="18"/>
        </w:rPr>
        <w:t xml:space="preserve">Таблица 2-4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89"/>
        <w:gridCol w:w="2270"/>
      </w:tblGrid>
      <w:tr>
        <w:trPr>
          <w:trHeight w:val="259"/>
        </w:trPr>
        <w:tc>
          <w:tcPr>
            <w:tcBorders>
              <w:top w:val="single" w:color="000000" w:sz="4" w:space="0"/>
              <w:left w:val="single" w:color="000000" w:sz="4" w:space="0"/>
              <w:bottom w:val="single" w:color="000000" w:sz="4" w:space="0"/>
            </w:tcBorders>
            <w:tcW w:w="7389"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270" w:type="dxa"/>
            <w:textDirection w:val="lrTb"/>
            <w:noWrap w:val="false"/>
          </w:tcPr>
          <w:p>
            <w:pPr>
              <w:pStyle w:val="940"/>
              <w:contextualSpacing/>
              <w:jc w:val="both"/>
              <w:spacing w:before="0" w:after="0"/>
            </w:pPr>
            <w:r>
              <w:t xml:space="preserve">71</w:t>
            </w:r>
            <w:r/>
          </w:p>
        </w:tc>
      </w:tr>
      <w:tr>
        <w:trPr>
          <w:trHeight w:val="518"/>
        </w:trPr>
        <w:tc>
          <w:tcPr>
            <w:tcBorders>
              <w:top w:val="single" w:color="000000" w:sz="4" w:space="0"/>
              <w:left w:val="single" w:color="000000" w:sz="4" w:space="0"/>
              <w:bottom w:val="single" w:color="000000" w:sz="4" w:space="0"/>
            </w:tcBorders>
            <w:tcW w:w="7389" w:type="dxa"/>
            <w:textDirection w:val="lrTb"/>
            <w:noWrap w:val="false"/>
          </w:tcPr>
          <w:p>
            <w:pPr>
              <w:pStyle w:val="940"/>
              <w:contextualSpacing/>
              <w:jc w:val="both"/>
              <w:spacing w:before="0" w:after="0"/>
            </w:pPr>
            <w:r>
              <w:t xml:space="preserve">Из них:</w:t>
            </w:r>
            <w:r/>
          </w:p>
          <w:p>
            <w:pPr>
              <w:pStyle w:val="940"/>
              <w:numPr>
                <w:ilvl w:val="0"/>
                <w:numId w:val="63"/>
              </w:numPr>
              <w:contextualSpacing/>
              <w:ind w:left="0" w:firstLine="0"/>
              <w:jc w:val="both"/>
              <w:spacing w:before="0" w:after="0"/>
              <w:rPr>
                <w:lang w:eastAsia="en-US"/>
              </w:rPr>
            </w:pPr>
            <w:r>
              <w:rPr>
                <w:lang w:eastAsia="en-US"/>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270" w:type="dxa"/>
            <w:textDirection w:val="lrTb"/>
            <w:noWrap w:val="false"/>
          </w:tcPr>
          <w:p>
            <w:pPr>
              <w:pStyle w:val="940"/>
              <w:contextualSpacing/>
              <w:jc w:val="both"/>
              <w:spacing w:before="0" w:after="0"/>
            </w:pPr>
            <w:r>
              <w:t xml:space="preserve">9</w:t>
            </w:r>
            <w:r/>
          </w:p>
        </w:tc>
      </w:tr>
      <w:tr>
        <w:trPr>
          <w:trHeight w:val="273"/>
        </w:trPr>
        <w:tc>
          <w:tcPr>
            <w:tcBorders>
              <w:top w:val="single" w:color="000000" w:sz="4" w:space="0"/>
              <w:left w:val="single" w:color="000000" w:sz="4" w:space="0"/>
              <w:bottom w:val="single" w:color="000000" w:sz="4" w:space="0"/>
            </w:tcBorders>
            <w:tcW w:w="7389" w:type="dxa"/>
            <w:textDirection w:val="lrTb"/>
            <w:noWrap w:val="false"/>
          </w:tcPr>
          <w:p>
            <w:pPr>
              <w:pStyle w:val="940"/>
              <w:numPr>
                <w:ilvl w:val="0"/>
                <w:numId w:val="63"/>
              </w:numPr>
              <w:contextualSpacing/>
              <w:ind w:left="0" w:firstLine="0"/>
              <w:jc w:val="both"/>
              <w:spacing w:before="0" w:after="0"/>
              <w:rPr>
                <w:lang w:eastAsia="en-US"/>
              </w:rPr>
            </w:pPr>
            <w:r>
              <w:rPr>
                <w:lang w:eastAsia="en-US"/>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270" w:type="dxa"/>
            <w:textDirection w:val="lrTb"/>
            <w:noWrap w:val="false"/>
          </w:tcPr>
          <w:p>
            <w:pPr>
              <w:pStyle w:val="940"/>
              <w:contextualSpacing/>
              <w:jc w:val="both"/>
              <w:spacing w:before="0" w:after="0"/>
            </w:pPr>
            <w:r>
              <w:t xml:space="preserve">58</w:t>
            </w:r>
            <w:r/>
          </w:p>
        </w:tc>
      </w:tr>
      <w:tr>
        <w:trPr>
          <w:trHeight w:val="273"/>
        </w:trPr>
        <w:tc>
          <w:tcPr>
            <w:tcBorders>
              <w:top w:val="single" w:color="000000" w:sz="4" w:space="0"/>
              <w:left w:val="single" w:color="000000" w:sz="4" w:space="0"/>
              <w:bottom w:val="single" w:color="000000" w:sz="4" w:space="0"/>
            </w:tcBorders>
            <w:tcW w:w="738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270" w:type="dxa"/>
            <w:textDirection w:val="lrTb"/>
            <w:noWrap w:val="false"/>
          </w:tcPr>
          <w:p>
            <w:pPr>
              <w:pStyle w:val="940"/>
              <w:contextualSpacing/>
              <w:jc w:val="both"/>
              <w:spacing w:before="0" w:after="0"/>
            </w:pPr>
            <w:r>
              <w:t xml:space="preserve">-</w:t>
            </w:r>
            <w:r/>
          </w:p>
        </w:tc>
      </w:tr>
      <w:tr>
        <w:trPr>
          <w:trHeight w:val="533"/>
        </w:trPr>
        <w:tc>
          <w:tcPr>
            <w:tcBorders>
              <w:top w:val="single" w:color="000000" w:sz="4" w:space="0"/>
              <w:left w:val="single" w:color="000000" w:sz="4" w:space="0"/>
              <w:bottom w:val="single" w:color="000000" w:sz="4" w:space="0"/>
            </w:tcBorders>
            <w:tcW w:w="7389"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270" w:type="dxa"/>
            <w:textDirection w:val="lrTb"/>
            <w:noWrap w:val="false"/>
          </w:tcPr>
          <w:p>
            <w:pPr>
              <w:pStyle w:val="940"/>
              <w:contextualSpacing/>
              <w:jc w:val="both"/>
              <w:spacing w:before="0" w:after="0"/>
            </w:pPr>
            <w:r>
              <w:t xml:space="preserve">4</w:t>
            </w:r>
            <w:r/>
          </w:p>
        </w:tc>
      </w:tr>
    </w:tbl>
    <w:p>
      <w:pPr>
        <w:pStyle w:val="940"/>
      </w:pPr>
      <w:r/>
      <w:r/>
    </w:p>
    <w:p>
      <w:pPr>
        <w:pStyle w:val="940"/>
        <w:numPr>
          <w:ilvl w:val="1"/>
          <w:numId w:val="39"/>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предмету по АТЕ региона</w:t>
      </w:r>
      <w:r/>
    </w:p>
    <w:p>
      <w:pPr>
        <w:pStyle w:val="940"/>
        <w:jc w:val="right"/>
        <w:keepNext/>
        <w:spacing w:before="0" w:after="200"/>
        <w:rPr>
          <w:bCs/>
          <w:i/>
          <w:sz w:val="18"/>
          <w:szCs w:val="18"/>
        </w:rPr>
      </w:pPr>
      <w:r>
        <w:rPr>
          <w:bCs/>
          <w:i/>
          <w:sz w:val="18"/>
          <w:szCs w:val="18"/>
        </w:rPr>
        <w:t xml:space="preserve">Таблица 2-5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275"/>
        <w:gridCol w:w="3402"/>
        <w:gridCol w:w="2982"/>
      </w:tblGrid>
      <w:tr>
        <w:trPr>
          <w:trHeight w:val="630"/>
        </w:trPr>
        <w:tc>
          <w:tcPr>
            <w:shd w:val="clear" w:color="auto" w:fill="ffffff"/>
            <w:tcBorders>
              <w:top w:val="single" w:color="000000" w:sz="4" w:space="0"/>
              <w:left w:val="single" w:color="000000" w:sz="4" w:space="0"/>
              <w:bottom w:val="single" w:color="000000" w:sz="4" w:space="0"/>
            </w:tcBorders>
            <w:tcW w:w="3275"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географии</w:t>
            </w:r>
            <w:r/>
          </w:p>
        </w:tc>
        <w:tc>
          <w:tcPr>
            <w:shd w:val="clear" w:color="auto" w:fill="ffffff"/>
            <w:tcBorders>
              <w:top w:val="single" w:color="000000" w:sz="4" w:space="0"/>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36</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45,0</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22,5</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3,8</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258"/>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6,3</w:t>
            </w:r>
            <w:r/>
          </w:p>
        </w:tc>
      </w:tr>
      <w:tr>
        <w:trPr>
          <w:trHeight w:val="210"/>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7,5</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1</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630"/>
        </w:trPr>
        <w:tc>
          <w:tcPr>
            <w:shd w:val="clear" w:color="auto" w:fill="ffffff"/>
            <w:tcBorders>
              <w:left w:val="single" w:color="000000" w:sz="4" w:space="0"/>
              <w:bottom w:val="single" w:color="000000" w:sz="4" w:space="0"/>
            </w:tcBorders>
            <w:tcW w:w="3275"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298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0"/>
        <w:numPr>
          <w:ilvl w:val="1"/>
          <w:numId w:val="39"/>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jc w:val="right"/>
        <w:keepNext/>
        <w:spacing w:before="0" w:after="200"/>
        <w:rPr>
          <w:bCs/>
          <w:i/>
          <w:sz w:val="18"/>
          <w:szCs w:val="18"/>
        </w:rPr>
      </w:pPr>
      <w:r>
        <w:rPr>
          <w:bCs/>
          <w:i/>
          <w:sz w:val="18"/>
          <w:szCs w:val="18"/>
        </w:rPr>
        <w:t xml:space="preserve">Таблица 2-6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66"/>
        <w:gridCol w:w="6455"/>
        <w:gridCol w:w="2638"/>
      </w:tblGrid>
      <w:tr>
        <w:trPr>
          <w:cantSplit/>
          <w:tblHeader/>
        </w:trPr>
        <w:tc>
          <w:tcPr>
            <w:tcBorders>
              <w:top w:val="single" w:color="000000" w:sz="4" w:space="0"/>
              <w:left w:val="single" w:color="000000" w:sz="4" w:space="0"/>
              <w:bottom w:val="single" w:color="000000" w:sz="4" w:space="0"/>
            </w:tcBorders>
            <w:tcW w:w="566" w:type="dxa"/>
            <w:vAlign w:val="center"/>
            <w:textDirection w:val="lrTb"/>
            <w:noWrap w:val="false"/>
          </w:tcPr>
          <w:p>
            <w:pPr>
              <w:pStyle w:val="940"/>
              <w:contextualSpacing/>
              <w:jc w:val="both"/>
              <w:spacing w:before="0" w:after="0"/>
              <w:rPr>
                <w:lang w:eastAsia="en-US"/>
              </w:rPr>
            </w:pPr>
            <w:r>
              <w:rPr>
                <w:lang w:eastAsia="en-US"/>
              </w:rPr>
              <w:t xml:space="preserve">№</w:t>
            </w:r>
            <w:r>
              <w:rPr>
                <w:rFonts w:eastAsia="Times New Roman"/>
                <w:lang w:eastAsia="en-US"/>
              </w:rPr>
              <w:t xml:space="preserve"> </w:t>
            </w:r>
            <w:r>
              <w:rPr>
                <w:lang w:eastAsia="en-US"/>
              </w:rPr>
              <w:t xml:space="preserve">п/п</w:t>
            </w:r>
            <w:r/>
          </w:p>
        </w:tc>
        <w:tc>
          <w:tcPr>
            <w:tcBorders>
              <w:top w:val="single" w:color="000000" w:sz="4" w:space="0"/>
              <w:left w:val="single" w:color="000000" w:sz="4" w:space="0"/>
              <w:bottom w:val="single" w:color="000000" w:sz="4" w:space="0"/>
            </w:tcBorders>
            <w:tcW w:w="6455" w:type="dxa"/>
            <w:vAlign w:val="center"/>
            <w:textDirection w:val="lrTb"/>
            <w:noWrap w:val="false"/>
          </w:tcPr>
          <w:p>
            <w:pPr>
              <w:pStyle w:val="940"/>
              <w:contextualSpacing/>
              <w:jc w:val="both"/>
              <w:spacing w:before="0" w:after="0"/>
              <w:rPr>
                <w:lang w:eastAsia="en-US"/>
              </w:rPr>
            </w:pPr>
            <w:r>
              <w:rPr>
                <w:lang w:eastAsia="en-US"/>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2638" w:type="dxa"/>
            <w:vAlign w:val="center"/>
            <w:textDirection w:val="lrTb"/>
            <w:noWrap w:val="false"/>
          </w:tcPr>
          <w:p>
            <w:pPr>
              <w:pStyle w:val="940"/>
              <w:contextualSpacing/>
              <w:jc w:val="both"/>
              <w:spacing w:before="0" w:after="0"/>
              <w:rPr>
                <w:lang w:eastAsia="en-US"/>
              </w:rPr>
            </w:pPr>
            <w:r>
              <w:rPr>
                <w:lang w:eastAsia="en-US"/>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b/>
                <w:lang w:eastAsia="en-US"/>
              </w:rPr>
              <w:t xml:space="preserve">Предметная линия на уровне основного общего образования (5, 6, 7, 8 и 9 классы)</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b/>
                <w:lang w:eastAsia="en-US"/>
              </w:rPr>
            </w:pPr>
            <w:r>
              <w:rPr>
                <w:b/>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Алексеев А.И., Николина В.В., Липкина Е.К. и др. География 5–6 М.: «Издательство «Просвещение». 2019 (Полярная звезда)</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t xml:space="preserve">50-60</w:t>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pPr>
            <w:r>
              <w:rPr>
                <w:lang w:eastAsia="en-US"/>
              </w:rPr>
              <w:t xml:space="preserve">Алексеев А.И., Николина В.В., Липкина Е.К. и др. География 7 М: «Издательство «Просвещение» 2019 (Полярная звезда)</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pPr>
            <w:r>
              <w:rPr>
                <w:lang w:eastAsia="en-US"/>
              </w:rPr>
              <w:t xml:space="preserve">Алексеев А.И., Николина В.В., Липкина Е.К. и др. География 8 М: «Издательство «Просвещение» 2019 (Полярная звезда)</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pPr>
            <w:r>
              <w:rPr>
                <w:lang w:eastAsia="en-US"/>
              </w:rPr>
              <w:t xml:space="preserve">Алексеев А.И., Николина В.В., Липкина Е.К. и др. География 9 М: «Издательство «Просвещение» 2019 (Полярная звезда)</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5</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Климанова О.А., Климанов В.В., Ким Э.В. и др. / Под ред. Климановой О.А. География 5–6 ООО «ДРОФА» 2018-2019</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t xml:space="preserve">20-30</w:t>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6</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Климанова О.А., Климанов В.В., Ким Э.В. и др. / Под ред. Климановой О.А. География 7 ООО «ДРОФА»2018-2019</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7</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Алексеев А.И., Низовцев В.А., Ким Э.В. и др. / Под ред. Алексеева А.И. География 8 ООО «ДРОФА»2018-2019</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8</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Алексеев А.И., Низовцев В.А., Ким Э.В. и др. / Под ред. Алексеева А.И. География 9 ООО «ДРОФА»2018-2019</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pPr>
            <w:r>
              <w:rPr>
                <w:lang w:eastAsia="en-US"/>
              </w:rPr>
              <w:t xml:space="preserve">Используются учебники линии Издательского центра «ВЕНТАНА-ГРАФ»: 5-6 классы автор, 7 класс - Душина И.В., Смоктунович Т.Л. 8-9 классы - Пятунин В.Б., Таможняя Е.А., Толкунова С.Г. 2014</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t xml:space="preserve">Небольшой процент</w:t>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b/>
                <w:lang w:eastAsia="en-US"/>
              </w:rPr>
              <w:t xml:space="preserve">Предметная линия на уровне среднего общего образования (10 и 11 классы)</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b/>
                <w:lang w:eastAsia="en-US"/>
              </w:rPr>
            </w:pPr>
            <w:r>
              <w:rPr>
                <w:b/>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Бахчиева О.А. География. Экономическая и социальная география мира (базовый и углублѐнный уровни) 10–11 ООО Издательский центр «ВЕНТАНА-ГРАФ» 2015</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Максаковский В.П. География (базовый уровень) 10–11 АО «Издательство «Просвещение»</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t xml:space="preserve">Небольшой процент</w:t>
            </w:r>
            <w:r/>
          </w:p>
        </w:tc>
      </w:tr>
      <w:tr>
        <w:trPr>
          <w:cantSplit/>
        </w:trPr>
        <w:tc>
          <w:tcPr>
            <w:tcBorders>
              <w:top w:val="single" w:color="000000" w:sz="4" w:space="0"/>
              <w:left w:val="single" w:color="000000" w:sz="4" w:space="0"/>
              <w:bottom w:val="single" w:color="000000" w:sz="4" w:space="0"/>
            </w:tcBorders>
            <w:tcW w:w="566" w:type="dxa"/>
            <w:textDirection w:val="lrTb"/>
            <w:noWrap w:val="false"/>
          </w:tcPr>
          <w:p>
            <w:pPr>
              <w:pStyle w:val="940"/>
              <w:contextualSpacing/>
              <w:jc w:val="both"/>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6455" w:type="dxa"/>
            <w:textDirection w:val="lrTb"/>
            <w:noWrap w:val="false"/>
          </w:tcPr>
          <w:p>
            <w:pPr>
              <w:pStyle w:val="940"/>
              <w:contextualSpacing/>
              <w:jc w:val="both"/>
              <w:spacing w:before="0" w:after="0"/>
              <w:rPr>
                <w:lang w:eastAsia="en-US"/>
              </w:rPr>
            </w:pPr>
            <w:r>
              <w:rPr>
                <w:lang w:eastAsia="en-US"/>
              </w:rPr>
              <w:t xml:space="preserve">Домогацких Е.М., Алексеевский Н.И. География (базовый уровень) (в 2 частях) 10–11 ООО «Русское словоучебник»</w:t>
            </w:r>
            <w:r/>
          </w:p>
        </w:tc>
        <w:tc>
          <w:tcPr>
            <w:tcBorders>
              <w:top w:val="single" w:color="000000" w:sz="4" w:space="0"/>
              <w:left w:val="single" w:color="000000" w:sz="4" w:space="0"/>
              <w:bottom w:val="single" w:color="000000" w:sz="4" w:space="0"/>
              <w:right w:val="single" w:color="000000" w:sz="4" w:space="0"/>
            </w:tcBorders>
            <w:tcW w:w="2638" w:type="dxa"/>
            <w:textDirection w:val="lrTb"/>
            <w:noWrap w:val="false"/>
          </w:tcPr>
          <w:p>
            <w:pPr>
              <w:pStyle w:val="940"/>
              <w:contextualSpacing/>
              <w:jc w:val="both"/>
              <w:spacing w:before="0" w:after="0"/>
              <w:rPr>
                <w:lang w:eastAsia="en-US"/>
              </w:rPr>
            </w:pPr>
            <w:r>
              <w:rPr>
                <w:lang w:eastAsia="en-US"/>
              </w:rPr>
              <w:t xml:space="preserve">Небольшой процент</w:t>
            </w:r>
            <w:r/>
          </w:p>
        </w:tc>
      </w:tr>
    </w:tbl>
    <w:p>
      <w:pPr>
        <w:pStyle w:val="940"/>
        <w:contextualSpacing/>
        <w:jc w:val="both"/>
        <w:spacing w:before="0" w:after="0"/>
        <w:rPr>
          <w:lang w:eastAsia="en-US"/>
        </w:rPr>
      </w:pPr>
      <w:r>
        <w:rPr>
          <w:lang w:eastAsia="en-US"/>
        </w:rPr>
      </w:r>
      <w:r/>
    </w:p>
    <w:p>
      <w:pPr>
        <w:pStyle w:val="940"/>
        <w:ind w:firstLine="708"/>
        <w:jc w:val="both"/>
        <w:rPr>
          <w:rFonts w:eastAsia="Times New Roman"/>
        </w:rPr>
      </w:pPr>
      <w:r>
        <w:rPr>
          <w:rFonts w:eastAsia="Times New Roman"/>
        </w:rPr>
        <w:t xml:space="preserve">Запланировано перейти:</w:t>
      </w:r>
      <w:r/>
    </w:p>
    <w:p>
      <w:pPr>
        <w:pStyle w:val="940"/>
        <w:ind w:firstLine="708"/>
        <w:jc w:val="both"/>
        <w:rPr>
          <w:rFonts w:eastAsia="Times New Roman"/>
        </w:rPr>
      </w:pPr>
      <w:r>
        <w:rPr>
          <w:rFonts w:eastAsia="Times New Roman"/>
        </w:rPr>
        <w:t xml:space="preserve">1. География 10-11 кл. АО "Издательство "Просвещение" Максаковский В.П.</w:t>
      </w:r>
      <w:r/>
    </w:p>
    <w:p>
      <w:pPr>
        <w:pStyle w:val="940"/>
        <w:numPr>
          <w:ilvl w:val="1"/>
          <w:numId w:val="39"/>
        </w:numPr>
        <w:ind w:left="0" w:firstLine="0"/>
        <w:jc w:val="both"/>
        <w:keepLines/>
        <w:keepNext/>
        <w:spacing w:before="200" w:after="0"/>
        <w:rPr>
          <w:rFonts w:eastAsia="SimSun;宋体"/>
          <w:b/>
          <w:bCs/>
          <w:sz w:val="28"/>
          <w:lang w:val="en-US"/>
        </w:rPr>
      </w:pPr>
      <w:r>
        <w:rPr>
          <w:rFonts w:eastAsia="SimSun;宋体"/>
          <w:b/>
          <w:bCs/>
          <w:sz w:val="28"/>
          <w:lang w:val="en-US"/>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По сравнению с 2020 годом отмечается некоторый рост количества участников ЕГЭ по географии. Однако, данный показатель (80 ч</w:t>
      </w:r>
      <w:r>
        <w:t xml:space="preserve">еловек) значительно меньше показателя 2019 года (138 человек). Процентное соотношение юношей и девушек пока остается в пользу юношей, но на протяжении трех лет мы наблюдаем увеличение доли девушек с 42,0% до 46,3% и уменьшение доли юношей с 58,0% до 53,8%.</w:t>
      </w:r>
      <w:r/>
    </w:p>
    <w:p>
      <w:pPr>
        <w:pStyle w:val="940"/>
        <w:ind w:firstLine="708"/>
        <w:jc w:val="both"/>
      </w:pPr>
      <w:r>
        <w:t xml:space="preserve">Несмотря на тот факт, что выпускники текущего года составляют менее 90% от общего числа участников, в то время как по другим предметам доля ВТГ – боле</w:t>
      </w:r>
      <w:r>
        <w:t xml:space="preserve">е 90%, мы можем сделать вывод, что наибольшую заинтересованность в данном предмете проявляют именно выпускники текущего года. Среди остальных участников ЕГЭ 5 человек – выпускники прошлых лет, 1 человек – обучающийся по программам СПО, 1 человек – экстерн.</w:t>
      </w:r>
      <w:r/>
    </w:p>
    <w:p>
      <w:pPr>
        <w:pStyle w:val="940"/>
        <w:ind w:firstLine="708"/>
        <w:jc w:val="both"/>
      </w:pPr>
      <w:r>
        <w:t xml:space="preserve">В разрезе типов образовательных организаций можно отметить изменения среди выпускников лицеев и гимназий. Их доля по сравнению с прошлым годом повысилась с 4,5% до 12,7%.</w:t>
      </w:r>
      <w:r/>
    </w:p>
    <w:p>
      <w:pPr>
        <w:pStyle w:val="940"/>
        <w:ind w:firstLine="708"/>
        <w:jc w:val="both"/>
      </w:pPr>
      <w:r>
        <w:t xml:space="preserve">Анализируя степень участия по районам Астраханской области, можно отметить следующее:</w:t>
      </w:r>
      <w:r/>
    </w:p>
    <w:p>
      <w:pPr>
        <w:pStyle w:val="940"/>
        <w:jc w:val="both"/>
      </w:pPr>
      <w:r>
        <w:rPr>
          <w:rFonts w:eastAsia="Times New Roman"/>
        </w:rPr>
        <w:t xml:space="preserve"> </w:t>
      </w:r>
      <w:r>
        <w:rPr>
          <w:rFonts w:eastAsia="Times New Roman"/>
        </w:rPr>
        <w:tab/>
      </w:r>
      <w:r>
        <w:t xml:space="preserve">- как и в прошлом году наибольший процент участия приходится на сельские районы;</w:t>
      </w:r>
      <w:r/>
    </w:p>
    <w:p>
      <w:pPr>
        <w:pStyle w:val="940"/>
        <w:jc w:val="both"/>
      </w:pPr>
      <w:r>
        <w:rPr>
          <w:rFonts w:eastAsia="Times New Roman"/>
        </w:rPr>
        <w:t xml:space="preserve"> </w:t>
      </w:r>
      <w:r>
        <w:rPr>
          <w:rFonts w:eastAsia="Times New Roman"/>
        </w:rPr>
        <w:tab/>
      </w:r>
      <w:r>
        <w:t xml:space="preserve">- значительное увеличение доли участников наблюдается в Ахтубинском районе (с 9,5% до 22,5%);</w:t>
      </w:r>
      <w:r/>
    </w:p>
    <w:p>
      <w:pPr>
        <w:pStyle w:val="940"/>
        <w:jc w:val="both"/>
      </w:pPr>
      <w:r>
        <w:rPr>
          <w:rFonts w:eastAsia="Times New Roman"/>
        </w:rPr>
        <w:t xml:space="preserve"> </w:t>
      </w:r>
      <w:r>
        <w:rPr>
          <w:rFonts w:eastAsia="Times New Roman"/>
        </w:rPr>
        <w:tab/>
      </w:r>
      <w:r>
        <w:t xml:space="preserve">- в Харабалинском районе данный предмет не выбрал ни один участник.</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spacing w:line="360" w:lineRule="auto"/>
      </w:p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rPr>
      </w:pPr>
      <w:r>
        <w:rPr>
          <w:rFonts w:eastAsia="SimSun;宋体"/>
          <w:b/>
          <w:bCs/>
          <w:sz w:val="28"/>
          <w:szCs w:val="28"/>
        </w:rPr>
      </w:r>
      <w:r/>
    </w:p>
    <w:p>
      <w:pPr>
        <w:pStyle w:val="940"/>
        <w:jc w:val="center"/>
        <w:spacing w:before="0" w:after="200" w:line="276" w:lineRule="auto"/>
        <w:rPr>
          <w:rFonts w:eastAsia="SimSun;宋体"/>
          <w:b/>
          <w:bCs/>
          <w:sz w:val="28"/>
          <w:szCs w:val="28"/>
          <w:lang w:val="en-US"/>
        </w:rPr>
      </w:pPr>
      <w:r>
        <w:rPr>
          <w:rFonts w:eastAsia="SimSun;宋体"/>
          <w:b/>
          <w:bCs/>
          <w:sz w:val="28"/>
          <w:szCs w:val="28"/>
          <w:lang w:val="en-US"/>
        </w:rPr>
        <w:t xml:space="preserve">РАЗДЕЛ 2.  ОСНОВНЫЕ РЕЗУЛЬТАТЫ ЕГЭ ПО ПРЕДМЕТУ</w:t>
      </w:r>
      <w:r/>
    </w:p>
    <w:p>
      <w:pPr>
        <w:pStyle w:val="940"/>
        <w:jc w:val="center"/>
        <w:rPr>
          <w:b/>
          <w:sz w:val="28"/>
        </w:rPr>
      </w:pPr>
      <w:r>
        <w:rPr>
          <w:b/>
          <w:sz w:val="28"/>
        </w:rPr>
        <w:t xml:space="preserve">«География»</w:t>
      </w:r>
      <w:r/>
    </w:p>
    <w:p>
      <w:pPr>
        <w:pStyle w:val="940"/>
        <w:numPr>
          <w:ilvl w:val="0"/>
          <w:numId w:val="39"/>
        </w:numPr>
        <w:ind w:left="0" w:firstLine="0"/>
        <w:keepLines/>
        <w:keepNext/>
        <w:spacing w:before="200" w:after="0"/>
        <w:rPr>
          <w:rFonts w:eastAsia="SimSun;宋体"/>
          <w:b/>
          <w:vanish/>
          <w:sz w:val="28"/>
        </w:rPr>
      </w:pPr>
      <w:r>
        <w:rPr>
          <w:rFonts w:eastAsia="SimSun;宋体"/>
          <w:b/>
          <w:vanish/>
          <w:sz w:val="28"/>
        </w:rPr>
      </w:r>
      <w:r/>
    </w:p>
    <w:p>
      <w:pPr>
        <w:pStyle w:val="940"/>
        <w:numPr>
          <w:ilvl w:val="1"/>
          <w:numId w:val="39"/>
        </w:numPr>
        <w:ind w:left="0" w:firstLine="0"/>
        <w:jc w:val="both"/>
        <w:keepLines/>
        <w:keepNext/>
        <w:spacing w:before="200" w:after="0"/>
        <w:tabs>
          <w:tab w:val="left" w:pos="142" w:leader="none"/>
          <w:tab w:val="clear" w:pos="708" w:leader="none"/>
        </w:tabs>
      </w:pPr>
      <w:r>
        <w:rPr>
          <w:rFonts w:eastAsia="SimSun;宋体"/>
          <w:b/>
          <w:bCs/>
          <w:sz w:val="28"/>
          <w:lang w:val="en-US"/>
        </w:rPr>
        <w:t xml:space="preserve">Диаграмма распределения тестовых баллов </w:t>
      </w:r>
      <w:r>
        <w:rPr>
          <w:rFonts w:eastAsia="SimSun;宋体"/>
          <w:b/>
          <w:bCs/>
          <w:sz w:val="28"/>
        </w:rPr>
        <w:t xml:space="preserve">участников ЕГЭ </w:t>
      </w:r>
      <w:r>
        <w:rPr>
          <w:rFonts w:eastAsia="SimSun;宋体"/>
          <w:b/>
          <w:bCs/>
          <w:sz w:val="28"/>
          <w:lang w:val="en-US"/>
        </w:rPr>
        <w:t xml:space="preserve">по предмету</w:t>
      </w:r>
      <w:r>
        <w:rPr>
          <w:rFonts w:eastAsia="SimSun;宋体"/>
          <w:b/>
          <w:bCs/>
          <w:sz w:val="28"/>
        </w:rPr>
        <w:t xml:space="preserve"> </w:t>
      </w:r>
      <w:r>
        <w:rPr>
          <w:rFonts w:eastAsia="SimSun;宋体"/>
          <w:b/>
          <w:bCs/>
          <w:sz w:val="28"/>
          <w:lang w:val="en-US"/>
        </w:rPr>
        <w:t xml:space="preserve">в</w:t>
      </w:r>
      <w:r>
        <w:rPr>
          <w:rFonts w:eastAsia="SimSun;宋体"/>
          <w:b/>
          <w:bCs/>
          <w:sz w:val="28"/>
        </w:rPr>
        <w:t xml:space="preserve"> </w:t>
      </w:r>
      <w:r>
        <w:rPr>
          <w:rFonts w:eastAsia="SimSun;宋体"/>
          <w:b/>
          <w:bCs/>
          <w:sz w:val="28"/>
          <w:lang w:val="en-US"/>
        </w:rPr>
        <w:t xml:space="preserve">2021</w:t>
      </w:r>
      <w:r>
        <w:rPr>
          <w:rFonts w:eastAsia="SimSun;宋体"/>
          <w:b/>
          <w:bCs/>
          <w:sz w:val="28"/>
        </w:rPr>
        <w:t xml:space="preserve"> </w:t>
      </w:r>
      <w:r>
        <w:rPr>
          <w:rFonts w:eastAsia="SimSun;宋体"/>
          <w:b/>
          <w:bCs/>
          <w:sz w:val="28"/>
          <w:lang w:val="en-US"/>
        </w:rPr>
        <w:t xml:space="preserve">г.</w:t>
      </w:r>
      <w:r>
        <w:rPr>
          <w:rFonts w:eastAsia="SimSun;宋体"/>
          <w:b/>
          <w:bCs/>
          <w:sz w:val="28"/>
        </w:rPr>
        <w:t xml:space="preserve"> </w:t>
      </w:r>
      <w:r/>
    </w:p>
    <w:p>
      <w:pPr>
        <w:pStyle w:val="940"/>
        <w:jc w:val="both"/>
        <w:keepLines/>
        <w:keepNext/>
        <w:spacing w:before="200" w:after="0"/>
        <w:tabs>
          <w:tab w:val="left" w:pos="142" w:leader="none"/>
          <w:tab w:val="clear" w:pos="708" w:leader="none"/>
        </w:tabs>
        <w:rPr>
          <w:rFonts w:eastAsia="SimSun;宋体"/>
          <w:bCs/>
          <w:i/>
          <w:lang w:val="en-US"/>
        </w:rPr>
      </w:pPr>
      <w:r>
        <w:rPr>
          <w:rFonts w:eastAsia="SimSun;宋体"/>
          <w:bCs/>
          <w:i/>
          <w:lang w:val="en-US"/>
        </w:rPr>
        <w:t xml:space="preserve">(количество участников, получивших тот или иной тестовый балл)</w:t>
      </w:r>
      <w:r/>
    </w:p>
    <w:p>
      <w:pPr>
        <w:pStyle w:val="940"/>
        <w:keepLines/>
        <w:keepNext/>
        <w:spacing w:before="200" w:after="0"/>
        <w:tabs>
          <w:tab w:val="left" w:pos="142" w:leader="none"/>
          <w:tab w:val="clear" w:pos="708" w:leader="none"/>
        </w:tabs>
        <w:rPr>
          <w:rFonts w:eastAsia="SimSun;宋体"/>
          <w:bCs/>
          <w:i/>
          <w:lang w:val="en-US"/>
        </w:rPr>
      </w:pPr>
      <w:r>
        <w:rPr>
          <w:rFonts w:eastAsia="SimSun;宋体"/>
          <w:bCs/>
          <w:i/>
          <w:lang w:val="en-US"/>
        </w:rPr>
      </w:r>
      <w:r/>
    </w:p>
    <w:p>
      <w:pPr>
        <w:pStyle w:val="940"/>
        <w:jc w:val="center"/>
        <w:rPr>
          <w:rFonts w:eastAsia="Times New Roman"/>
          <w:b/>
          <w:bCs/>
          <w:sz w:val="28"/>
        </w:rPr>
      </w:pPr>
      <w:r>
        <w:rPr>
          <w:lang w:val="en-US" w:eastAsia="en-US"/>
        </w:rPr>
        <mc:AlternateContent>
          <mc:Choice Requires="wpg">
            <w:drawing>
              <wp:inline xmlns:wp="http://schemas.openxmlformats.org/drawingml/2006/wordprocessingDrawing" distT="0" distB="0" distL="0" distR="0">
                <wp:extent cx="6096635" cy="1915795"/>
                <wp:effectExtent l="0" t="0" r="0" b="0"/>
                <wp:docPr id="15" name="Image10"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hidden="0"/>
                        <pic:cNvPicPr>
                          <a:picLocks noChangeAspect="1"/>
                        </pic:cNvPicPr>
                        <pic:nvPr isPhoto="0" userDrawn="0"/>
                      </pic:nvPicPr>
                      <pic:blipFill>
                        <a:blip r:embed="rId33"/>
                        <a:srcRect l="0" t="8477" r="0" b="0"/>
                        <a:stretch/>
                      </pic:blipFill>
                      <pic:spPr bwMode="auto">
                        <a:xfrm>
                          <a:off x="0" y="0"/>
                          <a:ext cx="6096635" cy="1915795"/>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80.0pt;height:150.8pt;" strokecolor="#000000" strokeweight="0.75pt">
                <v:path textboxrect="0,0,0,0"/>
                <v:imagedata r:id="rId33" o:title=""/>
              </v:shape>
            </w:pict>
          </mc:Fallback>
        </mc:AlternateContent>
      </w:r>
      <w:r/>
    </w:p>
    <w:p>
      <w:pPr>
        <w:pStyle w:val="940"/>
        <w:numPr>
          <w:ilvl w:val="1"/>
          <w:numId w:val="39"/>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Динамика результатов ЕГЭ по предмету за последние 3 года</w:t>
      </w:r>
      <w:r/>
    </w:p>
    <w:p>
      <w:pPr>
        <w:pStyle w:val="940"/>
        <w:jc w:val="right"/>
        <w:keepNext/>
        <w:spacing w:before="0" w:after="200"/>
        <w:rPr>
          <w:bCs/>
          <w:i/>
          <w:sz w:val="18"/>
          <w:szCs w:val="18"/>
        </w:rPr>
      </w:pPr>
      <w:r>
        <w:rPr>
          <w:bCs/>
          <w:i/>
          <w:sz w:val="18"/>
          <w:szCs w:val="18"/>
        </w:rPr>
        <w:t xml:space="preserve">Таблица 2-7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031"/>
        <w:gridCol w:w="1536"/>
        <w:gridCol w:w="1672"/>
        <w:gridCol w:w="1420"/>
      </w:tblGrid>
      <w:tr>
        <w:trPr>
          <w:cantSplit/>
          <w:trHeight w:val="348"/>
          <w:tblHeader/>
        </w:trPr>
        <w:tc>
          <w:tcPr>
            <w:tcBorders>
              <w:top w:val="single" w:color="000000" w:sz="4" w:space="0"/>
              <w:left w:val="single" w:color="000000" w:sz="4" w:space="0"/>
              <w:bottom w:val="single" w:color="000000" w:sz="4" w:space="0"/>
            </w:tcBorders>
            <w:tcW w:w="5031"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628"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9"/>
          <w:tblHeader/>
        </w:trPr>
        <w:tc>
          <w:tcPr>
            <w:tcBorders>
              <w:top w:val="single" w:color="000000" w:sz="4" w:space="0"/>
              <w:left w:val="single" w:color="000000" w:sz="4" w:space="0"/>
              <w:bottom w:val="single" w:color="000000" w:sz="4" w:space="0"/>
            </w:tcBorders>
            <w:tcW w:w="5031"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36"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672"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420"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60"/>
        </w:trPr>
        <w:tc>
          <w:tcPr>
            <w:tcBorders>
              <w:top w:val="single" w:color="000000" w:sz="4" w:space="0"/>
              <w:left w:val="single" w:color="000000" w:sz="4" w:space="0"/>
              <w:bottom w:val="single" w:color="000000" w:sz="4" w:space="0"/>
            </w:tcBorders>
            <w:tcW w:w="5031"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36" w:type="dxa"/>
            <w:vAlign w:val="center"/>
            <w:textDirection w:val="lrTb"/>
            <w:noWrap w:val="false"/>
          </w:tcPr>
          <w:p>
            <w:pPr>
              <w:pStyle w:val="940"/>
              <w:jc w:val="center"/>
              <w:rPr>
                <w:color w:val="000000"/>
              </w:rPr>
            </w:pPr>
            <w:r>
              <w:rPr>
                <w:color w:val="000000"/>
              </w:rPr>
              <w:t xml:space="preserve">7,3</w:t>
            </w:r>
            <w:r/>
          </w:p>
        </w:tc>
        <w:tc>
          <w:tcPr>
            <w:tcBorders>
              <w:top w:val="single" w:color="000000" w:sz="4" w:space="0"/>
              <w:left w:val="single" w:color="000000" w:sz="4" w:space="0"/>
              <w:bottom w:val="single" w:color="000000" w:sz="4" w:space="0"/>
            </w:tcBorders>
            <w:tcW w:w="1672" w:type="dxa"/>
            <w:vAlign w:val="center"/>
            <w:textDirection w:val="lrTb"/>
            <w:noWrap w:val="false"/>
          </w:tcPr>
          <w:p>
            <w:pPr>
              <w:pStyle w:val="940"/>
              <w:jc w:val="center"/>
              <w:rPr>
                <w:color w:val="000000"/>
              </w:rPr>
            </w:pPr>
            <w:r>
              <w:rPr>
                <w:color w:val="000000"/>
              </w:rPr>
              <w:t xml:space="preserve">10,8</w:t>
            </w:r>
            <w:r/>
          </w:p>
        </w:tc>
        <w:tc>
          <w:tcPr>
            <w:tcBorders>
              <w:top w:val="single" w:color="000000" w:sz="4" w:space="0"/>
              <w:left w:val="single" w:color="000000" w:sz="4" w:space="0"/>
              <w:bottom w:val="single" w:color="000000" w:sz="4" w:space="0"/>
              <w:right w:val="single" w:color="000000" w:sz="4" w:space="0"/>
            </w:tcBorders>
            <w:tcW w:w="1420" w:type="dxa"/>
            <w:textDirection w:val="lrTb"/>
            <w:noWrap w:val="false"/>
          </w:tcPr>
          <w:p>
            <w:pPr>
              <w:pStyle w:val="940"/>
              <w:jc w:val="center"/>
            </w:pPr>
            <w:r>
              <w:t xml:space="preserve">3,8</w:t>
            </w:r>
            <w:r/>
          </w:p>
        </w:tc>
      </w:tr>
      <w:tr>
        <w:trPr>
          <w:cantSplit/>
          <w:trHeight w:val="365"/>
        </w:trPr>
        <w:tc>
          <w:tcPr>
            <w:tcBorders>
              <w:top w:val="single" w:color="000000" w:sz="4" w:space="0"/>
              <w:left w:val="single" w:color="000000" w:sz="4" w:space="0"/>
              <w:bottom w:val="single" w:color="000000" w:sz="4" w:space="0"/>
            </w:tcBorders>
            <w:tcW w:w="5031"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36" w:type="dxa"/>
            <w:vAlign w:val="center"/>
            <w:textDirection w:val="lrTb"/>
            <w:noWrap w:val="false"/>
          </w:tcPr>
          <w:p>
            <w:pPr>
              <w:pStyle w:val="940"/>
              <w:jc w:val="center"/>
              <w:rPr>
                <w:color w:val="000000"/>
              </w:rPr>
            </w:pPr>
            <w:r>
              <w:rPr>
                <w:color w:val="000000"/>
              </w:rPr>
              <w:t xml:space="preserve">56,6</w:t>
            </w:r>
            <w:r/>
          </w:p>
        </w:tc>
        <w:tc>
          <w:tcPr>
            <w:tcBorders>
              <w:left w:val="single" w:color="000000" w:sz="4" w:space="0"/>
              <w:bottom w:val="single" w:color="000000" w:sz="4" w:space="0"/>
            </w:tcBorders>
            <w:tcW w:w="1672" w:type="dxa"/>
            <w:vAlign w:val="center"/>
            <w:textDirection w:val="lrTb"/>
            <w:noWrap w:val="false"/>
          </w:tcPr>
          <w:p>
            <w:pPr>
              <w:pStyle w:val="940"/>
              <w:jc w:val="center"/>
              <w:rPr>
                <w:color w:val="000000"/>
              </w:rPr>
            </w:pPr>
            <w:r>
              <w:rPr>
                <w:color w:val="000000"/>
              </w:rPr>
              <w:t xml:space="preserve">55,7</w:t>
            </w:r>
            <w:r/>
          </w:p>
        </w:tc>
        <w:tc>
          <w:tcPr>
            <w:tcBorders>
              <w:top w:val="single" w:color="000000" w:sz="4" w:space="0"/>
              <w:left w:val="single" w:color="000000" w:sz="4" w:space="0"/>
              <w:bottom w:val="single" w:color="000000" w:sz="4" w:space="0"/>
              <w:right w:val="single" w:color="000000" w:sz="4" w:space="0"/>
            </w:tcBorders>
            <w:tcW w:w="1420" w:type="dxa"/>
            <w:textDirection w:val="lrTb"/>
            <w:noWrap w:val="false"/>
          </w:tcPr>
          <w:p>
            <w:pPr>
              <w:pStyle w:val="940"/>
              <w:jc w:val="center"/>
            </w:pPr>
            <w:r>
              <w:t xml:space="preserve">59,0</w:t>
            </w:r>
            <w:r/>
          </w:p>
        </w:tc>
      </w:tr>
      <w:tr>
        <w:trPr>
          <w:cantSplit/>
          <w:trHeight w:val="348"/>
        </w:trPr>
        <w:tc>
          <w:tcPr>
            <w:tcBorders>
              <w:top w:val="single" w:color="000000" w:sz="4" w:space="0"/>
              <w:left w:val="single" w:color="000000" w:sz="4" w:space="0"/>
              <w:bottom w:val="single" w:color="000000" w:sz="4" w:space="0"/>
            </w:tcBorders>
            <w:tcW w:w="503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36" w:type="dxa"/>
            <w:vAlign w:val="center"/>
            <w:textDirection w:val="lrTb"/>
            <w:noWrap w:val="false"/>
          </w:tcPr>
          <w:p>
            <w:pPr>
              <w:pStyle w:val="940"/>
              <w:jc w:val="center"/>
              <w:rPr>
                <w:color w:val="000000"/>
              </w:rPr>
            </w:pPr>
            <w:r>
              <w:rPr>
                <w:color w:val="000000"/>
              </w:rPr>
              <w:t xml:space="preserve">6,5</w:t>
            </w:r>
            <w:r/>
          </w:p>
        </w:tc>
        <w:tc>
          <w:tcPr>
            <w:tcBorders>
              <w:left w:val="single" w:color="000000" w:sz="4" w:space="0"/>
              <w:bottom w:val="single" w:color="000000" w:sz="4" w:space="0"/>
            </w:tcBorders>
            <w:tcW w:w="1672" w:type="dxa"/>
            <w:vAlign w:val="center"/>
            <w:textDirection w:val="lrTb"/>
            <w:noWrap w:val="false"/>
          </w:tcPr>
          <w:p>
            <w:pPr>
              <w:pStyle w:val="940"/>
              <w:jc w:val="center"/>
              <w:rPr>
                <w:color w:val="000000"/>
              </w:rPr>
            </w:pPr>
            <w:r>
              <w:rPr>
                <w:color w:val="000000"/>
              </w:rPr>
              <w:t xml:space="preserve">6,8</w:t>
            </w:r>
            <w:r/>
          </w:p>
        </w:tc>
        <w:tc>
          <w:tcPr>
            <w:tcBorders>
              <w:top w:val="single" w:color="000000" w:sz="4" w:space="0"/>
              <w:left w:val="single" w:color="000000" w:sz="4" w:space="0"/>
              <w:bottom w:val="single" w:color="000000" w:sz="4" w:space="0"/>
              <w:right w:val="single" w:color="000000" w:sz="4" w:space="0"/>
            </w:tcBorders>
            <w:tcW w:w="1420" w:type="dxa"/>
            <w:textDirection w:val="lrTb"/>
            <w:noWrap w:val="false"/>
          </w:tcPr>
          <w:p>
            <w:pPr>
              <w:pStyle w:val="940"/>
              <w:jc w:val="center"/>
            </w:pPr>
            <w:r>
              <w:t xml:space="preserve">15,0</w:t>
            </w:r>
            <w:r/>
          </w:p>
        </w:tc>
      </w:tr>
      <w:tr>
        <w:trPr>
          <w:cantSplit/>
          <w:trHeight w:val="341"/>
        </w:trPr>
        <w:tc>
          <w:tcPr>
            <w:tcBorders>
              <w:top w:val="single" w:color="000000" w:sz="4" w:space="0"/>
              <w:left w:val="single" w:color="000000" w:sz="4" w:space="0"/>
              <w:bottom w:val="single" w:color="000000" w:sz="4" w:space="0"/>
            </w:tcBorders>
            <w:tcW w:w="503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36" w:type="dxa"/>
            <w:vAlign w:val="center"/>
            <w:textDirection w:val="lrTb"/>
            <w:noWrap w:val="false"/>
          </w:tcPr>
          <w:p>
            <w:pPr>
              <w:pStyle w:val="940"/>
              <w:jc w:val="center"/>
              <w:rPr>
                <w:color w:val="000000"/>
              </w:rPr>
            </w:pPr>
            <w:r>
              <w:rPr>
                <w:color w:val="000000"/>
              </w:rPr>
              <w:t xml:space="preserve">1</w:t>
            </w:r>
            <w:r/>
          </w:p>
        </w:tc>
        <w:tc>
          <w:tcPr>
            <w:tcBorders>
              <w:left w:val="single" w:color="000000" w:sz="4" w:space="0"/>
              <w:bottom w:val="single" w:color="000000" w:sz="4" w:space="0"/>
            </w:tcBorders>
            <w:tcW w:w="1672" w:type="dxa"/>
            <w:vAlign w:val="center"/>
            <w:textDirection w:val="lrTb"/>
            <w:noWrap w:val="false"/>
          </w:tcPr>
          <w:p>
            <w:pPr>
              <w:pStyle w:val="940"/>
              <w:jc w:val="center"/>
              <w:rPr>
                <w:color w:val="000000"/>
              </w:rPr>
            </w:pPr>
            <w:r>
              <w:rPr>
                <w:color w:val="000000"/>
              </w:rPr>
              <w:t xml:space="preserve">1</w:t>
            </w:r>
            <w:r/>
          </w:p>
        </w:tc>
        <w:tc>
          <w:tcPr>
            <w:tcBorders>
              <w:top w:val="single" w:color="000000" w:sz="4" w:space="0"/>
              <w:left w:val="single" w:color="000000" w:sz="4" w:space="0"/>
              <w:bottom w:val="single" w:color="000000" w:sz="4" w:space="0"/>
              <w:right w:val="single" w:color="000000" w:sz="4" w:space="0"/>
            </w:tcBorders>
            <w:tcW w:w="1420" w:type="dxa"/>
            <w:textDirection w:val="lrTb"/>
            <w:noWrap w:val="false"/>
          </w:tcPr>
          <w:p>
            <w:pPr>
              <w:pStyle w:val="940"/>
              <w:jc w:val="center"/>
            </w:pPr>
            <w:r>
              <w:t xml:space="preserve">0</w:t>
            </w:r>
            <w:r/>
          </w:p>
        </w:tc>
      </w:tr>
    </w:tbl>
    <w:p>
      <w:pPr>
        <w:pStyle w:val="940"/>
        <w:jc w:val="both"/>
        <w:tabs>
          <w:tab w:val="clear" w:pos="708" w:leader="none"/>
          <w:tab w:val="left" w:pos="709" w:leader="none"/>
        </w:tabs>
      </w:pPr>
      <w:r/>
      <w:r/>
    </w:p>
    <w:p>
      <w:pPr>
        <w:pStyle w:val="940"/>
        <w:numPr>
          <w:ilvl w:val="1"/>
          <w:numId w:val="39"/>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Результаты по группам участников экзамена с различным уровнем подготовки:</w:t>
      </w:r>
      <w:r/>
    </w:p>
    <w:p>
      <w:pPr>
        <w:pStyle w:val="940"/>
        <w:numPr>
          <w:ilvl w:val="2"/>
          <w:numId w:val="39"/>
        </w:numPr>
        <w:ind w:left="567" w:firstLine="0"/>
        <w:keepLines/>
        <w:keepNext/>
        <w:spacing w:before="200" w:after="0"/>
      </w:pPr>
      <w:r>
        <w:rPr>
          <w:rFonts w:eastAsia="SimSun;宋体"/>
          <w:sz w:val="28"/>
          <w:lang w:val="en-US"/>
        </w:rPr>
        <w:t xml:space="preserve">в разрезе категорий</w:t>
      </w:r>
      <w:r>
        <w:rPr>
          <w:rFonts w:eastAsia="SimSun;宋体"/>
          <w:sz w:val="28"/>
        </w:rPr>
        <w:t xml:space="preserve"> </w:t>
      </w:r>
      <w:r>
        <w:rPr>
          <w:rFonts w:eastAsia="SimSun;宋体"/>
          <w:sz w:val="28"/>
          <w:lang w:val="en-US"/>
        </w:rPr>
        <w:t xml:space="preserve">участников ЕГЭ </w:t>
      </w:r>
      <w:r/>
    </w:p>
    <w:p>
      <w:pPr>
        <w:pStyle w:val="940"/>
        <w:jc w:val="right"/>
        <w:keepNext/>
        <w:spacing w:before="0" w:after="200"/>
        <w:rPr>
          <w:bCs/>
          <w:i/>
          <w:sz w:val="18"/>
          <w:szCs w:val="18"/>
        </w:rPr>
      </w:pPr>
      <w:r>
        <w:rPr>
          <w:bCs/>
          <w:i/>
          <w:sz w:val="18"/>
          <w:szCs w:val="18"/>
        </w:rPr>
        <w:t xml:space="preserve">Таблица 2-8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91"/>
        <w:gridCol w:w="1106"/>
        <w:gridCol w:w="1203"/>
        <w:gridCol w:w="1214"/>
        <w:gridCol w:w="1095"/>
        <w:gridCol w:w="1087"/>
        <w:gridCol w:w="1222"/>
        <w:gridCol w:w="1241"/>
      </w:tblGrid>
      <w:tr>
        <w:trPr>
          <w:cantSplit/>
          <w:trHeight w:val="1052"/>
          <w:tblHeader/>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214"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095"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2,8</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16,7</w:t>
            </w:r>
            <w:r/>
          </w:p>
        </w:tc>
        <w:tc>
          <w:tcPr>
            <w:tcBorders>
              <w:top w:val="single" w:color="000000" w:sz="4" w:space="0"/>
              <w:left w:val="single" w:color="000000" w:sz="4" w:space="0"/>
              <w:bottom w:val="single" w:color="000000" w:sz="4" w:space="0"/>
            </w:tcBorders>
            <w:tcW w:w="10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49,3</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0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32,4</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121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0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15,5</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541"/>
        </w:trPr>
        <w:tc>
          <w:tcPr>
            <w:tcBorders>
              <w:top w:val="single" w:color="000000" w:sz="4" w:space="0"/>
              <w:left w:val="single" w:color="000000" w:sz="4" w:space="0"/>
              <w:bottom w:val="single" w:color="000000" w:sz="4" w:space="0"/>
            </w:tcBorders>
            <w:tcW w:w="1491"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0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0</w:t>
            </w:r>
            <w:r/>
          </w:p>
        </w:tc>
        <w:tc>
          <w:tcPr>
            <w:tcBorders>
              <w:top w:val="single" w:color="000000" w:sz="4" w:space="0"/>
              <w:left w:val="single" w:color="000000" w:sz="4" w:space="0"/>
              <w:bottom w:val="single" w:color="000000" w:sz="4" w:space="0"/>
            </w:tcBorders>
            <w:tcW w:w="1203"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09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08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2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24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jc w:val="center"/>
        <w:keepNext/>
        <w:spacing w:before="0" w:after="200"/>
        <w:rPr>
          <w:bCs/>
          <w:i/>
          <w:sz w:val="18"/>
          <w:szCs w:val="18"/>
        </w:rPr>
      </w:pPr>
      <w:r>
        <w:rPr>
          <w:bCs/>
          <w:i/>
          <w:sz w:val="18"/>
          <w:szCs w:val="18"/>
        </w:rPr>
      </w:r>
      <w:r/>
    </w:p>
    <w:p>
      <w:pPr>
        <w:pStyle w:val="940"/>
        <w:numPr>
          <w:ilvl w:val="2"/>
          <w:numId w:val="39"/>
        </w:numPr>
        <w:ind w:left="567" w:firstLine="0"/>
        <w:keepLines/>
        <w:keepNext/>
        <w:spacing w:before="200" w:after="0"/>
        <w:rPr>
          <w:rFonts w:eastAsia="SimSun;宋体"/>
          <w:sz w:val="28"/>
          <w:lang w:val="en-US"/>
        </w:rPr>
      </w:pPr>
      <w:r>
        <w:rPr>
          <w:rFonts w:eastAsia="SimSun;宋体"/>
          <w:sz w:val="28"/>
          <w:lang w:val="en-US"/>
        </w:rPr>
        <w:t xml:space="preserve">в разрезе типа ОО</w:t>
      </w:r>
      <w:r/>
    </w:p>
    <w:p>
      <w:pPr>
        <w:pStyle w:val="940"/>
        <w:jc w:val="right"/>
        <w:keepNext/>
        <w:spacing w:before="0" w:after="200"/>
        <w:rPr>
          <w:bCs/>
          <w:i/>
          <w:sz w:val="18"/>
          <w:szCs w:val="18"/>
        </w:rPr>
      </w:pPr>
      <w:r>
        <w:rPr>
          <w:bCs/>
          <w:i/>
          <w:sz w:val="18"/>
          <w:szCs w:val="18"/>
        </w:rPr>
        <w:t xml:space="preserve">Таблица 2-9</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643"/>
        <w:gridCol w:w="1681"/>
        <w:gridCol w:w="1681"/>
        <w:gridCol w:w="1654"/>
        <w:gridCol w:w="1621"/>
        <w:gridCol w:w="1379"/>
      </w:tblGrid>
      <w:tr>
        <w:trPr>
          <w:trHeight w:val="326"/>
        </w:trPr>
        <w:tc>
          <w:tcPr>
            <w:tcBorders>
              <w:top w:val="single" w:color="000000" w:sz="4" w:space="0"/>
              <w:left w:val="single" w:color="000000" w:sz="4" w:space="0"/>
              <w:bottom w:val="single" w:color="000000" w:sz="4" w:space="0"/>
            </w:tcBorders>
            <w:tcW w:w="1643"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637"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379"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26"/>
        </w:trPr>
        <w:tc>
          <w:tcPr>
            <w:tcBorders>
              <w:top w:val="single" w:color="000000" w:sz="4" w:space="0"/>
              <w:left w:val="single" w:color="000000" w:sz="4" w:space="0"/>
              <w:bottom w:val="single" w:color="000000" w:sz="4" w:space="0"/>
            </w:tcBorders>
            <w:tcW w:w="1643"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81"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8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62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379" w:type="dxa"/>
            <w:vAlign w:val="bottom"/>
            <w:vMerge w:val="continue"/>
            <w:textDirection w:val="lrTb"/>
            <w:noWrap w:val="false"/>
          </w:tcPr>
          <w:p>
            <w:pPr>
              <w:pStyle w:val="940"/>
              <w:rPr>
                <w:rFonts w:eastAsia="Times New Roman"/>
              </w:rPr>
            </w:pPr>
            <w:r>
              <w:rPr>
                <w:rFonts w:eastAsia="Times New Roman"/>
              </w:rPr>
            </w:r>
            <w:r/>
          </w:p>
        </w:tc>
      </w:tr>
      <w:tr>
        <w:trPr>
          <w:trHeight w:val="305"/>
        </w:trPr>
        <w:tc>
          <w:tcPr>
            <w:tcBorders>
              <w:left w:val="single" w:color="000000" w:sz="4" w:space="0"/>
              <w:bottom w:val="single" w:color="000000" w:sz="4" w:space="0"/>
            </w:tcBorders>
            <w:tcW w:w="1643" w:type="dxa"/>
            <w:vAlign w:val="bottom"/>
            <w:textDirection w:val="lrTb"/>
            <w:noWrap w:val="false"/>
          </w:tcPr>
          <w:p>
            <w:pPr>
              <w:pStyle w:val="940"/>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3,4</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53,4</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32,8</w:t>
            </w:r>
            <w:r/>
          </w:p>
        </w:tc>
        <w:tc>
          <w:tcPr>
            <w:tcBorders>
              <w:top w:val="single" w:color="000000" w:sz="4" w:space="0"/>
              <w:left w:val="single" w:color="000000" w:sz="4" w:space="0"/>
              <w:bottom w:val="single" w:color="000000" w:sz="4" w:space="0"/>
            </w:tcBorders>
            <w:tcW w:w="1621" w:type="dxa"/>
            <w:vAlign w:val="bottom"/>
            <w:textDirection w:val="lrTb"/>
            <w:noWrap w:val="false"/>
          </w:tcPr>
          <w:p>
            <w:pPr>
              <w:pStyle w:val="940"/>
              <w:jc w:val="center"/>
              <w:rPr>
                <w:color w:val="000000"/>
              </w:rPr>
            </w:pPr>
            <w:r>
              <w:rPr>
                <w:color w:val="000000"/>
              </w:rPr>
              <w:t xml:space="preserve">10,3</w:t>
            </w:r>
            <w:r/>
          </w:p>
        </w:tc>
        <w:tc>
          <w:tcPr>
            <w:tcBorders>
              <w:left w:val="single" w:color="000000" w:sz="4" w:space="0"/>
              <w:bottom w:val="single" w:color="000000" w:sz="4" w:space="0"/>
              <w:right w:val="single" w:color="000000" w:sz="4" w:space="0"/>
            </w:tcBorders>
            <w:tcW w:w="1379" w:type="dxa"/>
            <w:vAlign w:val="bottom"/>
            <w:textDirection w:val="lrTb"/>
            <w:noWrap w:val="false"/>
          </w:tcPr>
          <w:p>
            <w:pPr>
              <w:pStyle w:val="940"/>
              <w:jc w:val="center"/>
              <w:rPr>
                <w:rFonts w:eastAsia="Times New Roman"/>
              </w:rPr>
            </w:pPr>
            <w:r>
              <w:rPr>
                <w:rFonts w:eastAsia="Times New Roman"/>
              </w:rPr>
              <w:t xml:space="preserve">0</w:t>
            </w:r>
            <w:r/>
          </w:p>
        </w:tc>
      </w:tr>
      <w:tr>
        <w:trPr>
          <w:trHeight w:val="326"/>
        </w:trPr>
        <w:tc>
          <w:tcPr>
            <w:tcBorders>
              <w:left w:val="single" w:color="000000" w:sz="4" w:space="0"/>
              <w:bottom w:val="single" w:color="000000" w:sz="4" w:space="0"/>
            </w:tcBorders>
            <w:tcW w:w="1643"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33,3</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22,2</w:t>
            </w:r>
            <w:r/>
          </w:p>
        </w:tc>
        <w:tc>
          <w:tcPr>
            <w:tcBorders>
              <w:top w:val="single" w:color="000000" w:sz="4" w:space="0"/>
              <w:left w:val="single" w:color="000000" w:sz="4" w:space="0"/>
              <w:bottom w:val="single" w:color="000000" w:sz="4" w:space="0"/>
            </w:tcBorders>
            <w:tcW w:w="1621" w:type="dxa"/>
            <w:vAlign w:val="bottom"/>
            <w:textDirection w:val="lrTb"/>
            <w:noWrap w:val="false"/>
          </w:tcPr>
          <w:p>
            <w:pPr>
              <w:pStyle w:val="940"/>
              <w:jc w:val="center"/>
              <w:rPr>
                <w:color w:val="000000"/>
              </w:rPr>
            </w:pPr>
            <w:r>
              <w:rPr>
                <w:color w:val="000000"/>
              </w:rPr>
              <w:t xml:space="preserve">44,4</w:t>
            </w:r>
            <w:r/>
          </w:p>
        </w:tc>
        <w:tc>
          <w:tcPr>
            <w:tcBorders>
              <w:left w:val="single" w:color="000000" w:sz="4" w:space="0"/>
              <w:bottom w:val="single" w:color="000000" w:sz="4" w:space="0"/>
              <w:right w:val="single" w:color="000000" w:sz="4" w:space="0"/>
            </w:tcBorders>
            <w:tcW w:w="1379" w:type="dxa"/>
            <w:vAlign w:val="bottom"/>
            <w:textDirection w:val="lrTb"/>
            <w:noWrap w:val="false"/>
          </w:tcPr>
          <w:p>
            <w:pPr>
              <w:pStyle w:val="940"/>
              <w:jc w:val="center"/>
              <w:rPr>
                <w:rFonts w:eastAsia="Times New Roman"/>
              </w:rPr>
            </w:pPr>
            <w:r>
              <w:rPr>
                <w:rFonts w:eastAsia="Times New Roman"/>
              </w:rPr>
              <w:t xml:space="preserve">0</w:t>
            </w:r>
            <w:r/>
          </w:p>
        </w:tc>
      </w:tr>
      <w:tr>
        <w:trPr>
          <w:trHeight w:val="326"/>
        </w:trPr>
        <w:tc>
          <w:tcPr>
            <w:tcBorders>
              <w:left w:val="single" w:color="000000" w:sz="4" w:space="0"/>
              <w:bottom w:val="single" w:color="000000" w:sz="4" w:space="0"/>
            </w:tcBorders>
            <w:tcW w:w="1643" w:type="dxa"/>
            <w:vAlign w:val="bottom"/>
            <w:textDirection w:val="lrTb"/>
            <w:noWrap w:val="false"/>
          </w:tcPr>
          <w:p>
            <w:pPr>
              <w:pStyle w:val="940"/>
              <w:rPr>
                <w:rFonts w:eastAsia="Times New Roman"/>
              </w:rPr>
            </w:pPr>
            <w:r>
              <w:rPr>
                <w:rFonts w:eastAsia="Times New Roman"/>
              </w:rPr>
              <w:t xml:space="preserve">О(c)ОШ</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21" w:type="dxa"/>
            <w:vAlign w:val="bottom"/>
            <w:textDirection w:val="lrTb"/>
            <w:noWrap w:val="false"/>
          </w:tcPr>
          <w:p>
            <w:pPr>
              <w:pStyle w:val="940"/>
              <w:jc w:val="center"/>
              <w:rPr>
                <w:color w:val="000000"/>
              </w:rPr>
            </w:pPr>
            <w:r>
              <w:rPr>
                <w:color w:val="000000"/>
              </w:rPr>
              <w:t xml:space="preserve">0,0</w:t>
            </w:r>
            <w:r/>
          </w:p>
        </w:tc>
        <w:tc>
          <w:tcPr>
            <w:tcBorders>
              <w:left w:val="single" w:color="000000" w:sz="4" w:space="0"/>
              <w:bottom w:val="single" w:color="000000" w:sz="4" w:space="0"/>
              <w:right w:val="single" w:color="000000" w:sz="4" w:space="0"/>
            </w:tcBorders>
            <w:tcW w:w="1379" w:type="dxa"/>
            <w:vAlign w:val="bottom"/>
            <w:textDirection w:val="lrTb"/>
            <w:noWrap w:val="false"/>
          </w:tcPr>
          <w:p>
            <w:pPr>
              <w:pStyle w:val="940"/>
              <w:jc w:val="center"/>
              <w:rPr>
                <w:rFonts w:eastAsia="Times New Roman"/>
              </w:rPr>
            </w:pPr>
            <w:r>
              <w:rPr>
                <w:rFonts w:eastAsia="Times New Roman"/>
              </w:rPr>
              <w:t xml:space="preserve">0</w:t>
            </w:r>
            <w:r/>
          </w:p>
        </w:tc>
      </w:tr>
      <w:tr>
        <w:trPr>
          <w:trHeight w:val="326"/>
        </w:trPr>
        <w:tc>
          <w:tcPr>
            <w:tcBorders>
              <w:left w:val="single" w:color="000000" w:sz="4" w:space="0"/>
              <w:bottom w:val="single" w:color="000000" w:sz="4" w:space="0"/>
            </w:tcBorders>
            <w:tcW w:w="1643"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25,0</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621" w:type="dxa"/>
            <w:vAlign w:val="bottom"/>
            <w:textDirection w:val="lrTb"/>
            <w:noWrap w:val="false"/>
          </w:tcPr>
          <w:p>
            <w:pPr>
              <w:pStyle w:val="940"/>
              <w:jc w:val="center"/>
              <w:rPr>
                <w:color w:val="000000"/>
              </w:rPr>
            </w:pPr>
            <w:r>
              <w:rPr>
                <w:color w:val="000000"/>
              </w:rPr>
              <w:t xml:space="preserve">25,0</w:t>
            </w:r>
            <w:r/>
          </w:p>
        </w:tc>
        <w:tc>
          <w:tcPr>
            <w:tcBorders>
              <w:left w:val="single" w:color="000000" w:sz="4" w:space="0"/>
              <w:bottom w:val="single" w:color="000000" w:sz="4" w:space="0"/>
              <w:right w:val="single" w:color="000000" w:sz="4" w:space="0"/>
            </w:tcBorders>
            <w:tcW w:w="1379"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numPr>
          <w:ilvl w:val="2"/>
          <w:numId w:val="39"/>
        </w:numPr>
        <w:ind w:left="567" w:firstLine="0"/>
        <w:keepLines/>
        <w:keepNext/>
        <w:spacing w:before="200" w:after="0"/>
        <w:rPr>
          <w:rFonts w:eastAsia="SimSun;宋体"/>
          <w:sz w:val="28"/>
          <w:lang w:val="en-US"/>
        </w:rPr>
      </w:pPr>
      <w:r>
        <w:rPr>
          <w:rFonts w:eastAsia="SimSun;宋体"/>
          <w:sz w:val="28"/>
          <w:lang w:val="en-US"/>
        </w:rPr>
        <w:t xml:space="preserve">основные результаты ЕГЭ по предмету в сравнении по АТЕ</w:t>
      </w:r>
      <w:r/>
    </w:p>
    <w:p>
      <w:pPr>
        <w:pStyle w:val="940"/>
        <w:jc w:val="right"/>
        <w:keepNext/>
        <w:spacing w:before="0" w:after="200"/>
        <w:rPr>
          <w:bCs/>
          <w:i/>
          <w:sz w:val="18"/>
          <w:szCs w:val="18"/>
        </w:rPr>
      </w:pPr>
      <w:r>
        <w:rPr>
          <w:bCs/>
          <w:i/>
          <w:sz w:val="18"/>
          <w:szCs w:val="18"/>
        </w:rPr>
        <w:t xml:space="preserve">Таблица 2-10</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849"/>
        <w:gridCol w:w="1638"/>
        <w:gridCol w:w="1638"/>
        <w:gridCol w:w="1440"/>
        <w:gridCol w:w="1613"/>
        <w:gridCol w:w="1583"/>
      </w:tblGrid>
      <w:tr>
        <w:trPr>
          <w:trHeight w:val="222"/>
        </w:trPr>
        <w:tc>
          <w:tcPr>
            <w:tcBorders>
              <w:top w:val="single" w:color="000000" w:sz="4" w:space="0"/>
              <w:left w:val="single" w:color="000000" w:sz="4" w:space="0"/>
              <w:bottom w:val="single" w:color="000000" w:sz="4" w:space="0"/>
            </w:tcBorders>
            <w:tcW w:w="1849"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32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37"/>
        </w:trPr>
        <w:tc>
          <w:tcPr>
            <w:tcBorders>
              <w:top w:val="single" w:color="000000" w:sz="4" w:space="0"/>
              <w:left w:val="single" w:color="000000" w:sz="4" w:space="0"/>
              <w:bottom w:val="single" w:color="000000" w:sz="4" w:space="0"/>
            </w:tcBorders>
            <w:tcW w:w="1849"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83" w:type="dxa"/>
            <w:vAlign w:val="center"/>
            <w:textDirection w:val="lrTb"/>
            <w:noWrap w:val="false"/>
          </w:tcPr>
          <w:p>
            <w:pPr>
              <w:pStyle w:val="940"/>
              <w:rPr>
                <w:rFonts w:eastAsia="Times New Roman"/>
              </w:rPr>
            </w:pPr>
            <w:r>
              <w:rPr>
                <w:rFonts w:eastAsia="Times New Roman"/>
              </w:rPr>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52,8</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27,8</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19,4</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38,9</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38,9</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60,0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top w:val="single" w:color="000000" w:sz="4" w:space="0"/>
              <w:left w:val="single" w:color="000000" w:sz="4" w:space="0"/>
              <w:bottom w:val="single" w:color="000000" w:sz="4" w:space="0"/>
            </w:tcBorders>
            <w:tcW w:w="1849"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38"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4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3"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right w:val="single" w:color="000000" w:sz="4" w:space="0"/>
            </w:tcBorders>
            <w:tcW w:w="1583"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numPr>
          <w:ilvl w:val="1"/>
          <w:numId w:val="39"/>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Выделение перечня ОО, продемонстрировавших наиболее высокие и низкие результаты ЕГЭ по предмету</w:t>
      </w:r>
      <w:r/>
    </w:p>
    <w:p>
      <w:pPr>
        <w:pStyle w:val="943"/>
        <w:ind w:left="567" w:firstLine="0"/>
        <w:jc w:val="both"/>
      </w:pPr>
      <w:r>
        <w:rPr>
          <w:rFonts w:ascii="Times New Roman" w:hAnsi="Times New Roman" w:cs="Times New Roman"/>
          <w:bCs w:val="0"/>
          <w:lang w:val="ru-RU"/>
        </w:rPr>
        <w:t xml:space="preserve">2.4.1.</w:t>
      </w:r>
      <w:r>
        <w:rPr>
          <w:rFonts w:ascii="Times New Roman" w:hAnsi="Times New Roman" w:cs="Times New Roman"/>
          <w:b w:val="0"/>
          <w:bCs w:val="0"/>
          <w:lang w:val="ru-RU"/>
        </w:rPr>
        <w:t xml:space="preserve"> П</w:t>
      </w:r>
      <w:r>
        <w:rPr>
          <w:rFonts w:ascii="Times New Roman" w:hAnsi="Times New Roman" w:cs="Times New Roman"/>
          <w:b w:val="0"/>
          <w:bCs w:val="0"/>
        </w:rPr>
        <w:t xml:space="preserve">еречень ОО, продемонстрировавших наиболее высокие результаты ЕГЭ по предмету</w:t>
      </w:r>
      <w:r/>
    </w:p>
    <w:p>
      <w:pPr>
        <w:pStyle w:val="940"/>
        <w:keepNext/>
        <w:spacing w:before="0" w:after="200"/>
        <w:rPr>
          <w:b/>
          <w:bCs/>
        </w:rPr>
      </w:pPr>
      <w:r>
        <w:rPr>
          <w:b/>
          <w:bCs/>
        </w:rPr>
        <w:t xml:space="preserve">Менее 10 участников экзамена от ОО</w:t>
      </w:r>
      <w:r/>
    </w:p>
    <w:p>
      <w:pPr>
        <w:pStyle w:val="940"/>
        <w:numPr>
          <w:ilvl w:val="2"/>
          <w:numId w:val="48"/>
        </w:numPr>
        <w:ind w:left="567" w:firstLine="0"/>
        <w:jc w:val="both"/>
        <w:keepLines/>
        <w:keepNext/>
        <w:spacing w:before="200" w:after="0"/>
      </w:pPr>
      <w:r>
        <w:rPr>
          <w:rFonts w:eastAsia="SimSun;宋体"/>
          <w:sz w:val="28"/>
        </w:rPr>
        <w:t xml:space="preserve">П</w:t>
      </w:r>
      <w:r>
        <w:rPr>
          <w:rFonts w:eastAsia="SimSun;宋体"/>
          <w:sz w:val="28"/>
          <w:lang w:val="en-US"/>
        </w:rPr>
        <w:t xml:space="preserve">еречень ОО, продемонстрировавших низкие результаты ЕГЭ по предмету</w:t>
      </w:r>
      <w:r/>
    </w:p>
    <w:p>
      <w:pPr>
        <w:pStyle w:val="940"/>
        <w:keepNext/>
        <w:spacing w:before="0" w:after="200"/>
        <w:rPr>
          <w:b/>
          <w:bCs/>
        </w:rPr>
      </w:pPr>
      <w:r>
        <w:rPr>
          <w:b/>
          <w:bCs/>
        </w:rPr>
        <w:t xml:space="preserve">Менее 10 участников экзамена от ОО</w:t>
      </w:r>
      <w:r/>
    </w:p>
    <w:p>
      <w:pPr>
        <w:pStyle w:val="940"/>
        <w:numPr>
          <w:ilvl w:val="1"/>
          <w:numId w:val="48"/>
        </w:numPr>
        <w:ind w:left="0" w:firstLine="0"/>
        <w:keepLines/>
        <w:keepNext/>
        <w:spacing w:before="200" w:after="0"/>
      </w:pPr>
      <w:r>
        <w:rPr>
          <w:rFonts w:eastAsia="Times New Roman"/>
          <w:b/>
          <w:bCs/>
          <w:sz w:val="28"/>
        </w:rPr>
        <w:t xml:space="preserve">   </w:t>
      </w:r>
      <w:r>
        <w:rPr>
          <w:rFonts w:eastAsia="SimSun;宋体"/>
          <w:b/>
          <w:bCs/>
          <w:sz w:val="28"/>
          <w:lang w:val="en-US"/>
        </w:rPr>
        <w:t xml:space="preserve">ВЫВОДЫ о характере изменения результатов ЕГЭ по предмету</w:t>
      </w:r>
      <w:r/>
    </w:p>
    <w:p>
      <w:pPr>
        <w:pStyle w:val="940"/>
      </w:pPr>
      <w:r/>
      <w:r/>
    </w:p>
    <w:p>
      <w:pPr>
        <w:pStyle w:val="940"/>
        <w:ind w:firstLine="708"/>
      </w:pPr>
      <w:r>
        <w:t xml:space="preserve">На основе приведенных в разделе показателей:</w:t>
      </w:r>
      <w:r/>
    </w:p>
    <w:p>
      <w:pPr>
        <w:pStyle w:val="940"/>
        <w:ind w:firstLine="708"/>
        <w:jc w:val="both"/>
      </w:pPr>
      <w:r>
        <w:t xml:space="preserve">А) Анализ результатов ЕГЭ по предмету за последние 3 года показывает, что всего лишь 3,8 % учащихся не преодолели минимального балла в текущем году, что значительно ниже показаний 2020 (10,8%) и 2019 (7,3%) годов, что указывает на положительную динамику</w:t>
      </w:r>
      <w:r>
        <w:t xml:space="preserve">. Средний тестовый балл в 2021 году составил 59,4, что определенно больше результатов 2020 (55,7 баллов) и 2019 (56,6 баллов) годов. Получили от 81 до 99 баллов 15,0 % участников ЕГЭ  по географии, что также выше показаний 2020 (6,8%) и 2019 (6,5%) годов. </w:t>
      </w:r>
      <w:r/>
    </w:p>
    <w:p>
      <w:pPr>
        <w:pStyle w:val="940"/>
        <w:ind w:firstLine="708"/>
        <w:jc w:val="both"/>
      </w:pPr>
      <w:r>
        <w:t xml:space="preserve">Б) Выявленные значимые изменения в результатах ЕГЭ объясняются во-первых, вниманием, которое уделялось подготовке к экзамену по географии выпускниками, выбравшими его, и учителям</w:t>
      </w:r>
      <w:r>
        <w:t xml:space="preserve">и, преподающими географию в выпускных классах. К положительным изменениям можно отнести качество подготовки выпускников и абитуриентов: об этом свидетельствуют более высокое значение среднего балла по сравнению с предыдущим периодом и увеличение количества</w:t>
      </w:r>
      <w:r>
        <w:t xml:space="preserve"> участников экзамена, набравших 100 баллов. Уменьшение числа экзаменующихся, не сумевших набрать минимальный балл, может быть объяснено тем, что за прошедший год не произошло существенных изменений как КИМ, так и критериев оценивания экзаменационных работ.</w:t>
      </w:r>
      <w:r/>
    </w:p>
    <w:p>
      <w:pPr>
        <w:pStyle w:val="940"/>
        <w:ind w:firstLine="708"/>
        <w:jc w:val="both"/>
      </w:pPr>
      <w:r>
        <w:t xml:space="preserve">Можно также говорить и об улучшении качества работы ПК по географии, и о стремлении к неукоснительному соблюдению принципов этой работы: строгом следовании экспертов критериям, разработанным ФИПИ, и стремлении к объективности при оценивании работ.</w:t>
      </w:r>
      <w:r/>
    </w:p>
    <w:p>
      <w:pPr>
        <w:pStyle w:val="940"/>
      </w:pPr>
      <w:r/>
      <w:r/>
    </w:p>
    <w:p>
      <w:pPr>
        <w:pStyle w:val="940"/>
      </w:pPr>
      <w:r/>
      <w:r/>
    </w:p>
    <w:p>
      <w:pPr>
        <w:pStyle w:val="940"/>
      </w:pPr>
      <w:r/>
      <w:r/>
    </w:p>
    <w:p>
      <w:pPr>
        <w:pStyle w:val="940"/>
      </w:pPr>
      <w:r/>
      <w:r/>
    </w:p>
    <w:p>
      <w:pPr>
        <w:pStyle w:val="940"/>
      </w:p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rPr>
          <w:rFonts w:eastAsia="SimSun;宋体"/>
          <w:b/>
          <w:bCs/>
          <w:sz w:val="28"/>
          <w:szCs w:val="28"/>
          <w:lang w:val="en-US"/>
        </w:rPr>
      </w:pPr>
      <w:r>
        <w:rPr>
          <w:rFonts w:eastAsia="SimSun;宋体"/>
          <w:b/>
          <w:bCs/>
          <w:sz w:val="28"/>
          <w:szCs w:val="28"/>
          <w:lang w:val="en-US"/>
        </w:rPr>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940"/>
        <w:jc w:val="both"/>
        <w:rPr>
          <w:rFonts w:eastAsia="Times New Roman"/>
          <w:color w:val="000000"/>
        </w:rPr>
      </w:pPr>
      <w:r>
        <w:rPr>
          <w:rFonts w:eastAsia="Times New Roman"/>
          <w:color w:val="000000"/>
        </w:rPr>
      </w:r>
      <w:r/>
    </w:p>
    <w:p>
      <w:pPr>
        <w:pStyle w:val="940"/>
        <w:ind w:firstLine="708"/>
        <w:jc w:val="both"/>
        <w:rPr>
          <w:rFonts w:eastAsia="Times New Roman"/>
          <w:color w:val="000000"/>
        </w:rPr>
      </w:pPr>
      <w:r>
        <w:rPr>
          <w:rFonts w:eastAsia="Times New Roman"/>
          <w:color w:val="000000"/>
        </w:rPr>
        <w:t xml:space="preserve">Содержание КИМ ЕГЭ по географии определяется обязательным минимумом содержания основных образовательных программ Федерального компонента государственного стандарта среднего (полного) общего образования по географии.</w:t>
      </w:r>
      <w:r/>
    </w:p>
    <w:p>
      <w:pPr>
        <w:pStyle w:val="940"/>
        <w:ind w:firstLine="708"/>
        <w:jc w:val="both"/>
        <w:rPr>
          <w:rFonts w:eastAsia="Times New Roman"/>
          <w:color w:val="000000"/>
        </w:rPr>
      </w:pPr>
      <w:r>
        <w:rPr>
          <w:rFonts w:eastAsia="Times New Roman"/>
          <w:color w:val="000000"/>
        </w:rPr>
        <w:t xml:space="preserve">КИМ по географии позволяют более обоснованно оценивать глубину познания курса школьной географии по следующим разделам:</w:t>
      </w:r>
      <w:r/>
    </w:p>
    <w:p>
      <w:pPr>
        <w:pStyle w:val="940"/>
        <w:ind w:firstLine="708"/>
        <w:jc w:val="both"/>
      </w:pPr>
      <w:r>
        <w:t xml:space="preserve">- Источники географической информации,</w:t>
      </w:r>
      <w:r/>
    </w:p>
    <w:p>
      <w:pPr>
        <w:pStyle w:val="940"/>
        <w:ind w:firstLine="708"/>
        <w:jc w:val="both"/>
      </w:pPr>
      <w:r>
        <w:t xml:space="preserve">- Природа Земли и человек,</w:t>
      </w:r>
      <w:r/>
    </w:p>
    <w:p>
      <w:pPr>
        <w:pStyle w:val="940"/>
        <w:ind w:firstLine="708"/>
        <w:jc w:val="both"/>
      </w:pPr>
      <w:r>
        <w:t xml:space="preserve">- Население мира,</w:t>
      </w:r>
      <w:r/>
    </w:p>
    <w:p>
      <w:pPr>
        <w:pStyle w:val="940"/>
        <w:ind w:firstLine="708"/>
        <w:jc w:val="both"/>
      </w:pPr>
      <w:r>
        <w:t xml:space="preserve">- Мировое хозяйство,</w:t>
      </w:r>
      <w:r/>
    </w:p>
    <w:p>
      <w:pPr>
        <w:pStyle w:val="940"/>
        <w:ind w:firstLine="708"/>
        <w:jc w:val="both"/>
      </w:pPr>
      <w:r>
        <w:t xml:space="preserve">- Природопользование и геоэкология,</w:t>
      </w:r>
      <w:r/>
    </w:p>
    <w:p>
      <w:pPr>
        <w:pStyle w:val="940"/>
        <w:ind w:firstLine="708"/>
        <w:jc w:val="both"/>
      </w:pPr>
      <w:r>
        <w:t xml:space="preserve">- Регионы и страны мира,</w:t>
      </w:r>
      <w:r/>
    </w:p>
    <w:p>
      <w:pPr>
        <w:pStyle w:val="940"/>
        <w:ind w:firstLine="708"/>
        <w:jc w:val="both"/>
      </w:pPr>
      <w:r>
        <w:t xml:space="preserve">- География России.</w:t>
      </w:r>
      <w:r/>
    </w:p>
    <w:p>
      <w:pPr>
        <w:pStyle w:val="940"/>
        <w:ind w:firstLine="708"/>
        <w:jc w:val="both"/>
        <w:rPr>
          <w:rFonts w:eastAsia="Times New Roman"/>
          <w:color w:val="000000"/>
        </w:rPr>
      </w:pPr>
      <w:r>
        <w:rPr>
          <w:rFonts w:eastAsia="Times New Roman"/>
          <w:color w:val="000000"/>
        </w:rPr>
        <w:t xml:space="preserve">Экзаменационная работа состоит из двух частей и включает в себя 34 задания, различающихся формой и уровнем сложности.</w:t>
      </w:r>
      <w:r/>
    </w:p>
    <w:p>
      <w:pPr>
        <w:pStyle w:val="940"/>
        <w:ind w:firstLine="708"/>
        <w:jc w:val="both"/>
      </w:pPr>
      <w:r>
        <w:rPr>
          <w:rFonts w:eastAsia="Times New Roman"/>
          <w:color w:val="000000"/>
        </w:rPr>
        <w:t xml:space="preserve">Часть 1 содержит 27 заданий с кратким ответом. По сложности выделяются: </w:t>
      </w:r>
      <w:r>
        <w:rPr>
          <w:color w:val="000000"/>
        </w:rPr>
        <w:t xml:space="preserve">18 заданий базового уровня, 8 заданий повышенного уровня сложности и 1 задание высокого уровня.</w:t>
      </w:r>
      <w:r/>
    </w:p>
    <w:p>
      <w:pPr>
        <w:pStyle w:val="940"/>
        <w:ind w:firstLine="708"/>
        <w:jc w:val="both"/>
      </w:pPr>
      <w:r>
        <w:t xml:space="preserve">Данная часть экзаменационной работы представлена следующими разновидностями заданий с краткими ответами: </w:t>
      </w:r>
      <w:r/>
    </w:p>
    <w:p>
      <w:pPr>
        <w:pStyle w:val="940"/>
        <w:ind w:firstLine="708"/>
        <w:jc w:val="both"/>
      </w:pPr>
      <w:r>
        <w:t xml:space="preserve">1) задания, требующие записать ответ в виде числа; </w:t>
      </w:r>
      <w:r/>
    </w:p>
    <w:p>
      <w:pPr>
        <w:pStyle w:val="940"/>
        <w:ind w:firstLine="708"/>
        <w:jc w:val="both"/>
      </w:pPr>
      <w:r>
        <w:t xml:space="preserve">2) задания, требующие записать ответ в виде слова; </w:t>
      </w:r>
      <w:r/>
    </w:p>
    <w:p>
      <w:pPr>
        <w:pStyle w:val="940"/>
        <w:ind w:firstLine="708"/>
        <w:jc w:val="both"/>
      </w:pPr>
      <w:r>
        <w:t xml:space="preserve">3) задания на установление соответствия географических объектов и их характеристик;</w:t>
      </w:r>
      <w:r/>
    </w:p>
    <w:p>
      <w:pPr>
        <w:pStyle w:val="940"/>
        <w:ind w:firstLine="708"/>
        <w:jc w:val="both"/>
      </w:pPr>
      <w:r>
        <w:t xml:space="preserve">4) задания, требующие вписать в текст на месте пропусков ответы из предложенного списка; </w:t>
      </w:r>
      <w:r/>
    </w:p>
    <w:p>
      <w:pPr>
        <w:pStyle w:val="940"/>
        <w:ind w:firstLine="708"/>
        <w:jc w:val="both"/>
      </w:pPr>
      <w:r>
        <w:t xml:space="preserve">5) задания с выбором нескольких правильных ответов из предложенного списка; </w:t>
      </w:r>
      <w:r/>
    </w:p>
    <w:p>
      <w:pPr>
        <w:pStyle w:val="940"/>
        <w:ind w:firstLine="708"/>
        <w:jc w:val="both"/>
      </w:pPr>
      <w:r>
        <w:t xml:space="preserve">6) задания на установление правильной последовательности элементов. </w:t>
      </w:r>
      <w:r/>
    </w:p>
    <w:p>
      <w:pPr>
        <w:pStyle w:val="940"/>
        <w:ind w:firstLine="708"/>
        <w:jc w:val="both"/>
      </w:pPr>
      <w:r>
        <w:t xml:space="preserve">Ответами к заданиям части 1 являются число, последовательность цифр или слово (словосочетание).</w:t>
      </w:r>
      <w:r/>
    </w:p>
    <w:p>
      <w:pPr>
        <w:pStyle w:val="940"/>
        <w:ind w:firstLine="708"/>
        <w:jc w:val="both"/>
      </w:pPr>
      <w:r>
        <w:rPr>
          <w:rFonts w:eastAsia="Times New Roman"/>
          <w:color w:val="000000"/>
        </w:rPr>
        <w:t xml:space="preserve">Часть 2 содержит 7 заданий с развёрнутым ответом. </w:t>
      </w:r>
      <w:r>
        <w:t xml:space="preserve">По сложности выполнения выделяются: 2 задания повышенного уровня и 5 заданий высокого уровня. </w:t>
      </w:r>
      <w:r/>
    </w:p>
    <w:p>
      <w:pPr>
        <w:pStyle w:val="940"/>
        <w:ind w:firstLine="708"/>
        <w:jc w:val="both"/>
        <w:rPr>
          <w:rFonts w:eastAsia="Times New Roman"/>
          <w:color w:val="000000"/>
        </w:rPr>
      </w:pPr>
      <w:r>
        <w:rPr>
          <w:rFonts w:eastAsia="Times New Roman"/>
          <w:color w:val="000000"/>
        </w:rPr>
        <w:t xml:space="preserve">В задании 28 должен быть выполнен рисунок.</w:t>
      </w:r>
      <w:r/>
    </w:p>
    <w:p>
      <w:pPr>
        <w:pStyle w:val="940"/>
        <w:ind w:firstLine="708"/>
        <w:jc w:val="both"/>
        <w:rPr>
          <w:rFonts w:eastAsia="Times New Roman"/>
          <w:color w:val="000000"/>
        </w:rPr>
      </w:pPr>
      <w:r>
        <w:rPr>
          <w:rFonts w:eastAsia="Times New Roman"/>
          <w:color w:val="000000"/>
        </w:rPr>
        <w:t xml:space="preserve">В заданиях 29–34 необходимо предоставить полный ответ на поставленные вопросы или решение задачи.</w:t>
      </w:r>
      <w:r/>
    </w:p>
    <w:p>
      <w:pPr>
        <w:pStyle w:val="940"/>
        <w:ind w:firstLine="708"/>
        <w:jc w:val="both"/>
      </w:pPr>
      <w:r>
        <w:t xml:space="preserve">Общее количество заданий в КИМ 2021 г. не изменилось по сравнению с КИМ предыдущего года. Максимальный первичный балл сохранился на прежнем уровне и составил 47 баллов.</w:t>
      </w:r>
      <w:r/>
    </w:p>
    <w:p>
      <w:pPr>
        <w:pStyle w:val="940"/>
        <w:ind w:firstLine="708"/>
        <w:jc w:val="both"/>
      </w:pPr>
      <w:r>
        <w:t xml:space="preserve">Экзаменационная работа включала задания разных уровней сложности в том числе: 18 – базового, 10 – повышенного и 6 заданий высокого. </w:t>
      </w:r>
      <w:r/>
    </w:p>
    <w:p>
      <w:pPr>
        <w:pStyle w:val="940"/>
        <w:ind w:firstLine="708"/>
        <w:jc w:val="both"/>
      </w:pPr>
      <w:r>
        <w:t xml:space="preserve">Задания базового уровня сложности выявляют степень освоения требований Федерального компонента государственных образо</w:t>
      </w:r>
      <w:r>
        <w:t xml:space="preserve">вательных стандартов (далее – ФК ГОС) в объеме и на уровне, обеспечивающем способность выпускника ориентироваться в потоке поступающей информации (знание географической номенклатуры, основных фактов, причинно-следственных связей между географическими объек</w:t>
      </w:r>
      <w:r>
        <w:t xml:space="preserve">тами и явлениями), и владение базовыми метапредметными и предметными умениями (извлекать информацию из статистических источников, географических карт различного содержания; определять по карте направления, расстояния и географические координаты объектов). </w:t>
      </w:r>
      <w:r/>
    </w:p>
    <w:p>
      <w:pPr>
        <w:pStyle w:val="940"/>
        <w:ind w:firstLine="708"/>
        <w:jc w:val="both"/>
      </w:pPr>
      <w:r>
        <w:t xml:space="preserve">Для выполнения заданий повышенного и высокого уровней сложности требовалось глубокое владение фактического содержания учебного материала с определенным спектром умений, которые обеспечивают успешное продолжение географического образования. </w:t>
      </w:r>
      <w:r/>
    </w:p>
    <w:p>
      <w:pPr>
        <w:pStyle w:val="940"/>
        <w:ind w:firstLine="708"/>
        <w:jc w:val="both"/>
      </w:pPr>
      <w:r>
        <w:t xml:space="preserve">На задания базового уровня приходилось 47% максимального первичного балла за выполнение всей работы, на задания повышенного и высокого уровней – 30% и 23% соответственно. </w:t>
      </w:r>
      <w:r/>
    </w:p>
    <w:p>
      <w:pPr>
        <w:pStyle w:val="940"/>
        <w:ind w:firstLine="708"/>
        <w:jc w:val="both"/>
      </w:pPr>
      <w:r>
        <w:t xml:space="preserve">При выполнении экзаменационной работы разрешалось пользоваться включенными в каждый ком</w:t>
      </w:r>
      <w:r>
        <w:t xml:space="preserve">плект КИМ справочными материалами – контурными картами (политической мира и федеративного устройства России) с показанными на них государствами и субъектами РФ. Участники ЕГЭ могли пользоваться линейками, транспортирами и непрограммируемыми калькуляторами.</w:t>
      </w:r>
      <w:r/>
    </w:p>
    <w:p>
      <w:pPr>
        <w:pStyle w:val="940"/>
        <w:jc w:val="both"/>
      </w:pPr>
      <w:r>
        <w:rPr>
          <w:rFonts w:eastAsia="Times New Roman"/>
        </w:rPr>
        <w:t xml:space="preserve"> </w:t>
      </w:r>
      <w:r>
        <w:rPr>
          <w:rFonts w:eastAsia="Times New Roman"/>
        </w:rPr>
        <w:tab/>
      </w:r>
      <w:r>
        <w:t xml:space="preserve">Содержание КИМ ЕГЭ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w:t>
      </w:r>
      <w:r/>
    </w:p>
    <w:p>
      <w:pPr>
        <w:pStyle w:val="940"/>
        <w:ind w:firstLine="708"/>
        <w:jc w:val="both"/>
      </w:pPr>
      <w:r>
        <w:t xml:space="preserve">В работе проверяется как знание географических явлений и процессов в геосферах и географических особенностей природы насе</w:t>
      </w:r>
      <w:r>
        <w:t xml:space="preserve">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w:t>
      </w:r>
      <w:r/>
    </w:p>
    <w:p>
      <w:pPr>
        <w:pStyle w:val="940"/>
        <w:ind w:firstLine="708"/>
        <w:jc w:val="both"/>
      </w:pPr>
      <w:r>
        <w:t xml:space="preserve">Количество заданий, позволяющих проверить знание отдельных разделов школьного курса географии, определяются с учетом значимости ряда элементов их содержания. Для этого необходимо учитывать требования к уровню подготовки выпускников.</w:t>
      </w:r>
      <w:r/>
    </w:p>
    <w:p>
      <w:pPr>
        <w:pStyle w:val="940"/>
        <w:ind w:firstLine="708"/>
        <w:jc w:val="both"/>
      </w:pPr>
      <w:r>
        <w:t xml:space="preserve">В экзаменационной работе используются задания разных типов, формы которых обеспечивают их адекватность проверяемым умениям.</w:t>
      </w:r>
      <w:r/>
    </w:p>
    <w:p>
      <w:pPr>
        <w:pStyle w:val="940"/>
        <w:contextualSpacing/>
        <w:jc w:val="both"/>
        <w:spacing w:before="0" w:after="0"/>
        <w:rPr>
          <w:iCs/>
        </w:rPr>
      </w:pPr>
      <w:r>
        <w:rPr>
          <w:iCs/>
        </w:rPr>
      </w:r>
      <w:r/>
    </w:p>
    <w:p>
      <w:pPr>
        <w:pStyle w:val="940"/>
        <w:contextualSpacing/>
        <w:jc w:val="both"/>
        <w:spacing w:before="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jc w:val="both"/>
        <w:rPr>
          <w:b/>
          <w:iCs/>
        </w:rPr>
      </w:pPr>
      <w:r>
        <w:rPr>
          <w:b/>
          <w:iCs/>
        </w:rPr>
      </w:r>
      <w:r/>
    </w:p>
    <w:p>
      <w:pPr>
        <w:pStyle w:val="940"/>
        <w:ind w:firstLine="708"/>
        <w:jc w:val="both"/>
      </w:pPr>
      <w:r>
        <w:rPr>
          <w:b/>
          <w:iCs/>
        </w:rPr>
        <w:t xml:space="preserve">Раздел «Источники географической информации»</w:t>
      </w:r>
      <w:r>
        <w:rPr>
          <w:iCs/>
        </w:rPr>
        <w:t xml:space="preserve"> был представлен 4 заданиями разного уровня сложности: 2 – базовые, 1 – повышенной и 1 – высокой сложности. </w:t>
      </w:r>
      <w:r/>
    </w:p>
    <w:p>
      <w:pPr>
        <w:pStyle w:val="940"/>
        <w:ind w:firstLine="708"/>
        <w:jc w:val="both"/>
      </w:pPr>
      <w:r>
        <w:rPr>
          <w:iCs/>
        </w:rPr>
        <w:t xml:space="preserve">Процент выполнения п</w:t>
      </w:r>
      <w:r>
        <w:rPr>
          <w:bCs/>
          <w:iCs/>
        </w:rPr>
        <w:t xml:space="preserve">роверяемых элементов содержания / умений</w:t>
      </w:r>
      <w:r>
        <w:rPr>
          <w:iCs/>
        </w:rPr>
        <w:t xml:space="preserve"> – Географические модели. Географическая карта, план местности</w:t>
      </w:r>
      <w:r>
        <w:rPr>
          <w:bCs/>
          <w:iCs/>
        </w:rPr>
        <w:t xml:space="preserve">/Уметь определять на карте географические координаты (задание № 1) представлен в группах с разным уровнем подготовки следующим образом</w:t>
      </w:r>
      <w:r>
        <w:rPr>
          <w:iCs/>
        </w:rPr>
        <w:t xml:space="preserve">: не достигшие минимального балла – 50 %, группы с результатами от минимального балла до 60 – 61 – 71,43%, от 61 до 80 –100,00 % и от 81 до 100 т.б. – 90,91 %). </w:t>
      </w:r>
      <w:r/>
    </w:p>
    <w:p>
      <w:pPr>
        <w:pStyle w:val="940"/>
        <w:ind w:firstLine="708"/>
        <w:jc w:val="both"/>
      </w:pPr>
      <w:r>
        <w:rPr>
          <w:iCs/>
        </w:rPr>
        <w:t xml:space="preserve">Учащиеся успешно справились с заданиями № 1 (в среднем 83,10 %) и № 26 (85,92 %) </w:t>
      </w:r>
      <w:r>
        <w:rPr>
          <w:i/>
          <w:iCs/>
        </w:rPr>
        <w:t xml:space="preserve">не достигшие минимального балла – 50 %, группы с результатами от минимального балла до 60 – 61 – </w:t>
      </w:r>
      <w:r>
        <w:rPr>
          <w:b/>
          <w:i/>
          <w:iCs/>
        </w:rPr>
        <w:t xml:space="preserve">80,0</w:t>
      </w:r>
      <w:r>
        <w:rPr>
          <w:i/>
          <w:iCs/>
        </w:rPr>
        <w:t xml:space="preserve">%, от 61 до 80 –</w:t>
      </w:r>
      <w:r>
        <w:rPr>
          <w:iCs/>
        </w:rPr>
        <w:t xml:space="preserve">95,65% </w:t>
      </w:r>
      <w:r>
        <w:rPr>
          <w:i/>
          <w:iCs/>
        </w:rPr>
        <w:t xml:space="preserve">и от 81 до 100 т.б. – </w:t>
      </w:r>
      <w:r>
        <w:rPr>
          <w:b/>
          <w:i/>
          <w:iCs/>
        </w:rPr>
        <w:t xml:space="preserve">90,91</w:t>
      </w:r>
      <w:r>
        <w:rPr>
          <w:i/>
          <w:iCs/>
        </w:rPr>
        <w:t xml:space="preserve">%) </w:t>
      </w:r>
      <w:r>
        <w:rPr>
          <w:iCs/>
        </w:rPr>
        <w:t xml:space="preserve">показав высокий уровень умений определять географические координаты и расстояния на плане и карте. </w:t>
      </w:r>
      <w:r/>
    </w:p>
    <w:p>
      <w:pPr>
        <w:pStyle w:val="940"/>
        <w:ind w:firstLine="708"/>
        <w:jc w:val="both"/>
        <w:rPr>
          <w:iCs/>
        </w:rPr>
      </w:pPr>
      <w:r>
        <w:rPr>
          <w:iCs/>
        </w:rPr>
        <w:t xml:space="preserve">С определением азимута по топографической карте (задание № 27) в 2021 году справились около 57,75 % экзаменуемых, в 2020 году – 71,83 %, в 2019 году – 56,92%, и в 2018 г. – 54,2 %. Это задание повышенного уровня сложности. Отмечается отрицательн</w:t>
      </w:r>
      <w:r>
        <w:rPr>
          <w:iCs/>
        </w:rPr>
        <w:t xml:space="preserve">ая динамика у выпускников этого года при формировании данного умения. Анализ ответов подтверждает, что в двух группах от 61 до 80 и от 81 до 100 т.б. (91,30 и 81,52 % соответственно) сформировано понятие азимута и его определение по топографической карте. </w:t>
      </w:r>
      <w:r/>
    </w:p>
    <w:p>
      <w:pPr>
        <w:pStyle w:val="940"/>
        <w:ind w:firstLine="708"/>
        <w:jc w:val="both"/>
        <w:rPr>
          <w:iCs/>
        </w:rPr>
      </w:pPr>
      <w:r>
        <w:rPr>
          <w:iCs/>
        </w:rPr>
        <w:t xml:space="preserve">34,29 % выпускников группы от минимального до 60 т.б. испытывают затруднение при определении азимута, величина которого со</w:t>
      </w:r>
      <w:r>
        <w:rPr>
          <w:iCs/>
        </w:rPr>
        <w:t xml:space="preserve">ставляет более 91°–180°, а наиболее сложным для определения оказывается азимут в диапазоне 181°–360°, что требует более углубленного рассмотрения данного вопроса как в теоретическом курсе, так и отработки этого навыка эмпирически в ходе учебного процесса. </w:t>
      </w:r>
      <w:r/>
    </w:p>
    <w:p>
      <w:pPr>
        <w:pStyle w:val="940"/>
        <w:ind w:firstLine="708"/>
        <w:jc w:val="both"/>
      </w:pPr>
      <w:r>
        <w:rPr>
          <w:iCs/>
        </w:rPr>
        <w:t xml:space="preserve">При анализе работ абитуриентов, выполнивших задание 28, следует отметить, что 59,15 % справились с </w:t>
      </w:r>
      <w:r>
        <w:rPr>
          <w:iCs/>
        </w:rPr>
        <w:t xml:space="preserve">построением профиля рельефа местности по топографической карте в предлагаемом масштабе. Это на 11,27% ниже прошлогоднего результата. Только у 31,43 % абитуриентов группы от минимального до 60 т.б. отмечается сформированность умения составлять профиль, а у </w:t>
      </w:r>
      <w:r>
        <w:rPr>
          <w:i/>
          <w:iCs/>
        </w:rPr>
        <w:t xml:space="preserve">0 % абитуриентов не достигшие минимального балла не сформировано данное умение, группы с результатами от 61 до 80 – 89,13</w:t>
      </w:r>
      <w:r>
        <w:rPr>
          <w:b/>
          <w:i/>
          <w:iCs/>
        </w:rPr>
        <w:t xml:space="preserve"> </w:t>
      </w:r>
      <w:r>
        <w:rPr>
          <w:iCs/>
        </w:rPr>
        <w:t xml:space="preserve">% </w:t>
      </w:r>
      <w:r>
        <w:rPr>
          <w:i/>
          <w:iCs/>
        </w:rPr>
        <w:t xml:space="preserve">и от 81 до 100 т.б. – 95,45</w:t>
      </w:r>
      <w:r>
        <w:rPr>
          <w:b/>
          <w:i/>
          <w:iCs/>
        </w:rPr>
        <w:t xml:space="preserve"> </w:t>
      </w:r>
      <w:r>
        <w:rPr>
          <w:i/>
          <w:iCs/>
        </w:rPr>
        <w:t xml:space="preserve">%).</w:t>
      </w:r>
      <w:r/>
    </w:p>
    <w:p>
      <w:pPr>
        <w:pStyle w:val="940"/>
        <w:ind w:firstLine="708"/>
        <w:jc w:val="both"/>
        <w:rPr>
          <w:iCs/>
        </w:rPr>
      </w:pPr>
      <w:r>
        <w:rPr>
          <w:iCs/>
        </w:rPr>
        <w:t xml:space="preserve">Поэтому данное умение необходимо развивать для дальнейшего увеличения показателя качества усвоения материала.</w:t>
      </w:r>
      <w:r/>
    </w:p>
    <w:p>
      <w:pPr>
        <w:pStyle w:val="940"/>
        <w:ind w:firstLine="708"/>
        <w:jc w:val="both"/>
      </w:pPr>
      <w:r>
        <w:rPr>
          <w:b/>
          <w:iCs/>
        </w:rPr>
        <w:t xml:space="preserve">Раздел «Природа Земли и человек»</w:t>
      </w:r>
      <w:r>
        <w:rPr>
          <w:iCs/>
        </w:rPr>
        <w:t xml:space="preserve"> включал 6 заданий разного уровня сложности. </w:t>
      </w:r>
      <w:r/>
    </w:p>
    <w:p>
      <w:pPr>
        <w:pStyle w:val="940"/>
        <w:ind w:firstLine="708"/>
        <w:jc w:val="both"/>
      </w:pPr>
      <w:r>
        <w:rPr>
          <w:iCs/>
        </w:rPr>
        <w:t xml:space="preserve">Выпускники 2021 года по д</w:t>
      </w:r>
      <w:r>
        <w:rPr>
          <w:iCs/>
        </w:rPr>
        <w:t xml:space="preserve">анному разделу достигли показаний 74,65 %, что практически на 7% выше прошлогоднего результата (задание 2). Отмечаем, что большинство выпускников понимают и объясняют основные закономерности изменения температуры воздуха и атмосферного давления в зависимос</w:t>
      </w:r>
      <w:r>
        <w:rPr>
          <w:iCs/>
        </w:rPr>
        <w:t xml:space="preserve">ти от абсолютной высоты местности – (задание 2). Выпускники продемонстрировали следующие баллы - не достигшие минимального балла – 50 %, группа от минимального до 60 т.б. – 71,43 %, группы с результатами от 61 до 80 –73,91 % и от 81 до 100 т.б. – 90,91 %).</w:t>
      </w:r>
      <w:r/>
    </w:p>
    <w:p>
      <w:pPr>
        <w:pStyle w:val="940"/>
        <w:ind w:firstLine="708"/>
        <w:jc w:val="both"/>
        <w:rPr>
          <w:iCs/>
        </w:rPr>
      </w:pPr>
      <w:r>
        <w:rPr>
          <w:iCs/>
        </w:rPr>
        <w:t xml:space="preserve">Понимание географических следствий движений Земли на базовом уровне в 2021 году показали 64,79% сдавших экзамен, по сравнению с показаниями прошлого года, которые составили 66,15%, а в 2019 году всего 45,04 % сдавших эк</w:t>
      </w:r>
      <w:r>
        <w:rPr>
          <w:iCs/>
        </w:rPr>
        <w:t xml:space="preserve">замен (задание 6). Прослеживается тенденция в понимании закономерностей изменения продолжительности светового дня и ночи в зависимости от географической широты и положения Земли относительно Солнца на орбите, что отражено в процентном количестве по годам. </w:t>
      </w:r>
      <w:r/>
    </w:p>
    <w:p>
      <w:pPr>
        <w:pStyle w:val="940"/>
        <w:ind w:firstLine="708"/>
        <w:jc w:val="both"/>
        <w:rPr>
          <w:iCs/>
        </w:rPr>
      </w:pPr>
      <w:r>
        <w:rPr>
          <w:iCs/>
        </w:rPr>
        <w:t xml:space="preserve">Умение определять на карте местоположение географических объектов прослеживается следующим образом (задание 7): не достигшие минимального балл</w:t>
      </w:r>
      <w:r>
        <w:rPr>
          <w:iCs/>
        </w:rPr>
        <w:t xml:space="preserve">а – 0 %, группа от минимального до 60 т.б. – 34,23 %, группы с результатами от 61 до 80 –56,52 % и от 81 до 100 т.б. – 100,0 %), что в среднем составляет 50,70%. Это значительно ниже результатов предыдущих двух годов (2020 - 66,15%, в 2019 году - 67,94 %).</w:t>
      </w:r>
      <w:r/>
    </w:p>
    <w:p>
      <w:pPr>
        <w:pStyle w:val="940"/>
        <w:ind w:firstLine="708"/>
        <w:jc w:val="both"/>
        <w:rPr>
          <w:iCs/>
        </w:rPr>
      </w:pPr>
      <w:r>
        <w:rPr>
          <w:iCs/>
        </w:rPr>
        <w:t xml:space="preserve">Провер</w:t>
      </w:r>
      <w:r>
        <w:rPr>
          <w:iCs/>
        </w:rPr>
        <w:t xml:space="preserve">ка умения пользоваться климатической картой, информация на которой представлена способом изолиний (задание 17), показала, что у экзаменуемых данное умение сформировано следующим образом: не достигшие минимального балла – 50 %, группа от минимального до 60 </w:t>
      </w:r>
      <w:r>
        <w:rPr>
          <w:iCs/>
        </w:rPr>
        <w:t xml:space="preserve">т.б. – 65,71 %, группы с результатами от 61 до 80 – 82,61 % и от 81 до 100 т.б. – 100,00 %), что в среднем составляет 76,06 %. По сравнению с предыдущими двумя годами отмечается уменьшение результатов при анализе работ 2020 год - 89,23%, 2019 год - 80,92%.</w:t>
      </w:r>
      <w:r/>
    </w:p>
    <w:p>
      <w:pPr>
        <w:pStyle w:val="940"/>
        <w:ind w:firstLine="708"/>
        <w:jc w:val="both"/>
      </w:pPr>
      <w:r>
        <w:rPr>
          <w:iCs/>
        </w:rPr>
        <w:t xml:space="preserve">Оценивая выполнение задания 23 (задание повышенного уровня) сложности отмечаем незначительное изменение результатов в сторону уменьшения по знаниям геологической хронологии, а именно в 2021 году справились </w:t>
      </w:r>
      <w:r>
        <w:rPr>
          <w:iCs/>
        </w:rPr>
        <w:t xml:space="preserve">только 61,97%, а в 2020 году этот показатель составил 72,31%. Статистика в группах не достигших минимального балла составляет 50 %, в группе от минимального до 60 т.б. – 37,14 %, в группе с результатами от 61 до 80 –82,61 % и от 81 до 100 т.б. – 100,00 %).</w:t>
      </w:r>
      <w:r/>
    </w:p>
    <w:p>
      <w:pPr>
        <w:pStyle w:val="940"/>
        <w:ind w:firstLine="708"/>
        <w:jc w:val="both"/>
        <w:rPr>
          <w:iCs/>
        </w:rPr>
      </w:pPr>
      <w:r>
        <w:rPr>
          <w:iCs/>
        </w:rPr>
        <w:t xml:space="preserve">Наиболее сложным для экзаменуемых </w:t>
      </w:r>
      <w:r>
        <w:rPr>
          <w:iCs/>
        </w:rPr>
        <w:t xml:space="preserve">(группы уровня не достигших минимального балла – 0% и группы от минимального до 60 т.б. составил 10,0%) оказалось определение географической долготы пункта по Гринвичскому меридиану местного солнечного времени (задание 32), что в среднем составляет 42,96%.</w:t>
      </w:r>
      <w:r/>
    </w:p>
    <w:p>
      <w:pPr>
        <w:pStyle w:val="940"/>
        <w:ind w:firstLine="708"/>
        <w:jc w:val="both"/>
        <w:rPr>
          <w:iCs/>
        </w:rPr>
      </w:pPr>
      <w:r>
        <w:rPr>
          <w:iCs/>
        </w:rPr>
        <w:t xml:space="preserve">Следует отметить, что при выполнении этого задания отмечается, </w:t>
      </w:r>
      <w:r>
        <w:rPr>
          <w:iCs/>
        </w:rPr>
        <w:t xml:space="preserve">что умение применить знания о движениях Земли для вычисления географических координат в этом году имеет тенденцию к повышению, что отразилось на среднем результате, который составил в этом году 42,96%, в 2020 – 33,08%. а в 2019 году – 30,15% (задание 32). </w:t>
      </w:r>
      <w:r/>
    </w:p>
    <w:p>
      <w:pPr>
        <w:pStyle w:val="940"/>
        <w:ind w:firstLine="708"/>
        <w:jc w:val="both"/>
        <w:rPr>
          <w:iCs/>
        </w:rPr>
      </w:pPr>
      <w:r>
        <w:rPr>
          <w:iCs/>
        </w:rPr>
        <w:t xml:space="preserve">При выполнении заданий высокого уровня сложности отмечается незначительная динамика при их выполнении, что отражают полученные показатели. Подчеркиваем, что работы выпускников 2021 года отличаются высоким уровнем подготовки.</w:t>
      </w:r>
      <w:r/>
    </w:p>
    <w:p>
      <w:pPr>
        <w:pStyle w:val="940"/>
        <w:ind w:firstLine="708"/>
        <w:jc w:val="both"/>
      </w:pPr>
      <w:r>
        <w:rPr>
          <w:iCs/>
        </w:rPr>
        <w:t xml:space="preserve">Раздел </w:t>
      </w:r>
      <w:r>
        <w:rPr>
          <w:b/>
          <w:iCs/>
        </w:rPr>
        <w:t xml:space="preserve">«Население мира</w:t>
      </w:r>
      <w:r>
        <w:rPr>
          <w:iCs/>
        </w:rPr>
        <w:t xml:space="preserve">» включал 4 заданий базового уровня сложности.</w:t>
      </w:r>
      <w:r/>
    </w:p>
    <w:p>
      <w:pPr>
        <w:pStyle w:val="940"/>
        <w:ind w:firstLine="708"/>
        <w:jc w:val="both"/>
        <w:rPr>
          <w:iCs/>
        </w:rPr>
      </w:pPr>
      <w:r>
        <w:rPr>
          <w:iCs/>
        </w:rPr>
        <w:t xml:space="preserve">Результаты анализа данного задания позволяют отметить тенденцию увеличения выполнения заданий в этом году по сравнению с 2020 и 2019 годами. </w:t>
      </w:r>
      <w:r/>
    </w:p>
    <w:p>
      <w:pPr>
        <w:pStyle w:val="940"/>
        <w:ind w:firstLine="708"/>
        <w:jc w:val="both"/>
      </w:pPr>
      <w:r>
        <w:rPr>
          <w:iCs/>
        </w:rPr>
        <w:t xml:space="preserve">Уровень и качество жизн</w:t>
      </w:r>
      <w:r>
        <w:rPr>
          <w:iCs/>
        </w:rPr>
        <w:t xml:space="preserve">и населения /Знать и понимать численность и динамику населения стран мира и умение оценивать демографическую ситуацию отдельных стран и регионов мира (задание 8) демонстрируют 71,83% выпускников. В группах этот показатель распределяется следующим образом: </w:t>
      </w:r>
      <w:r>
        <w:rPr>
          <w:i/>
          <w:iCs/>
        </w:rPr>
        <w:t xml:space="preserve">не достигшие минимального балла – 50 %, группы с результатами от минимального балла до 60 – 61 – </w:t>
      </w:r>
      <w:r>
        <w:rPr>
          <w:b/>
          <w:i/>
          <w:iCs/>
        </w:rPr>
        <w:t xml:space="preserve">54,29</w:t>
      </w:r>
      <w:r>
        <w:rPr>
          <w:i/>
          <w:iCs/>
        </w:rPr>
        <w:t xml:space="preserve">%, от 61 до 80 –</w:t>
      </w:r>
      <w:r>
        <w:rPr>
          <w:b/>
          <w:i/>
          <w:iCs/>
        </w:rPr>
        <w:t xml:space="preserve">86,96%</w:t>
      </w:r>
      <w:r>
        <w:rPr>
          <w:i/>
          <w:iCs/>
        </w:rPr>
        <w:t xml:space="preserve">и от 81 до 100 т.б. – </w:t>
      </w:r>
      <w:r>
        <w:rPr>
          <w:b/>
          <w:i/>
          <w:iCs/>
        </w:rPr>
        <w:t xml:space="preserve">100 </w:t>
      </w:r>
      <w:r>
        <w:rPr>
          <w:i/>
          <w:iCs/>
        </w:rPr>
        <w:t xml:space="preserve">%). </w:t>
      </w:r>
      <w:r/>
    </w:p>
    <w:p>
      <w:pPr>
        <w:pStyle w:val="940"/>
        <w:ind w:firstLine="708"/>
        <w:jc w:val="both"/>
        <w:rPr>
          <w:iCs/>
        </w:rPr>
      </w:pPr>
      <w:r>
        <w:rPr>
          <w:iCs/>
        </w:rPr>
        <w:t xml:space="preserve">Размещение населения России</w:t>
      </w:r>
      <w:r>
        <w:rPr>
          <w:iCs/>
        </w:rPr>
        <w:t xml:space="preserve"> / Знать и понимать географические особенности населения России и уметь оценивать территориальную концентрацию населения (задание 9) продемонстрировали 70,42% абитуриентов, что на 13,5% выше по сравнению с 2020 годом и на 12,4% выше результатов 2019 года. </w:t>
      </w:r>
      <w:r/>
    </w:p>
    <w:p>
      <w:pPr>
        <w:pStyle w:val="940"/>
        <w:ind w:firstLine="708"/>
        <w:jc w:val="both"/>
      </w:pPr>
      <w:r>
        <w:rPr>
          <w:iCs/>
        </w:rPr>
        <w:t xml:space="preserve">При анализе результатов задания 10 отмечается, что умение определять географические особенности отраслевой и территориальной структуры мирового хозяйства или знание структуры занятости населения и отраслевой структуры хозяйства демонстрируют 73,24%</w:t>
      </w:r>
      <w:r>
        <w:rPr>
          <w:color w:val="000000"/>
        </w:rPr>
        <w:t xml:space="preserve"> </w:t>
      </w:r>
      <w:r>
        <w:rPr>
          <w:iCs/>
        </w:rPr>
        <w:t xml:space="preserve">абитуриентов, что в группах составляет</w:t>
      </w:r>
      <w:r>
        <w:rPr>
          <w:color w:val="000000"/>
        </w:rPr>
        <w:t xml:space="preserve">: </w:t>
      </w:r>
      <w:r>
        <w:rPr>
          <w:i/>
          <w:iCs/>
        </w:rPr>
        <w:t xml:space="preserve">не достигшие минимального балла – 0 %, группы с результатами от минимального балла до 60 – 61 – </w:t>
      </w:r>
      <w:r>
        <w:rPr>
          <w:iCs/>
        </w:rPr>
        <w:t xml:space="preserve">54,29%,</w:t>
      </w:r>
      <w:r>
        <w:rPr>
          <w:i/>
          <w:iCs/>
        </w:rPr>
        <w:t xml:space="preserve"> от 61 до 80 –95,65</w:t>
      </w:r>
      <w:r>
        <w:rPr>
          <w:b/>
          <w:i/>
          <w:iCs/>
        </w:rPr>
        <w:t xml:space="preserve">%</w:t>
      </w:r>
      <w:r>
        <w:rPr>
          <w:i/>
          <w:iCs/>
        </w:rPr>
        <w:t xml:space="preserve">и от 81 до 100 т.б. – </w:t>
      </w:r>
      <w:r>
        <w:rPr>
          <w:b/>
          <w:i/>
          <w:iCs/>
        </w:rPr>
        <w:t xml:space="preserve">100 </w:t>
      </w:r>
      <w:r>
        <w:rPr>
          <w:i/>
          <w:iCs/>
        </w:rPr>
        <w:t xml:space="preserve">%). </w:t>
      </w:r>
      <w:r/>
    </w:p>
    <w:p>
      <w:pPr>
        <w:pStyle w:val="940"/>
        <w:ind w:firstLine="708"/>
        <w:jc w:val="both"/>
      </w:pPr>
      <w:r>
        <w:rPr>
          <w:iCs/>
        </w:rPr>
        <w:t xml:space="preserve">При анализе результатов задания 15 отмечаем, что умение выделять, описывать существенные признаки географических объектов и явлений, а также знания основных направлений и типов миграций в мире демонстрируют 84,51%, что в группах составляет </w:t>
      </w:r>
      <w:r>
        <w:rPr>
          <w:i/>
          <w:iCs/>
        </w:rPr>
        <w:t xml:space="preserve">не достигшие минимального балла – 30 %, группы с результатами от минимального балла до 60 – 61 – </w:t>
      </w:r>
      <w:r>
        <w:rPr>
          <w:b/>
          <w:i/>
          <w:iCs/>
        </w:rPr>
        <w:t xml:space="preserve">72,86</w:t>
      </w:r>
      <w:r>
        <w:rPr>
          <w:i/>
          <w:iCs/>
        </w:rPr>
        <w:t xml:space="preserve">%, от 61 до 80 –</w:t>
      </w:r>
      <w:r>
        <w:rPr>
          <w:b/>
          <w:i/>
          <w:iCs/>
        </w:rPr>
        <w:t xml:space="preserve">95,86%</w:t>
      </w:r>
      <w:r>
        <w:rPr>
          <w:i/>
          <w:iCs/>
        </w:rPr>
        <w:t xml:space="preserve">и от 81 до 100 т.б. – </w:t>
      </w:r>
      <w:r>
        <w:rPr>
          <w:b/>
          <w:i/>
          <w:iCs/>
        </w:rPr>
        <w:t xml:space="preserve">100 </w:t>
      </w:r>
      <w:r>
        <w:rPr>
          <w:i/>
          <w:iCs/>
        </w:rPr>
        <w:t xml:space="preserve">%). Этот показатель значительно выше, по сравнению с 2020 годом (70%) и 2019 годом (</w:t>
      </w:r>
      <w:r>
        <w:rPr>
          <w:iCs/>
        </w:rPr>
        <w:t xml:space="preserve">83,59%).</w:t>
      </w:r>
      <w:r/>
    </w:p>
    <w:p>
      <w:pPr>
        <w:pStyle w:val="940"/>
        <w:ind w:firstLine="708"/>
        <w:jc w:val="both"/>
      </w:pPr>
      <w:r>
        <w:rPr>
          <w:iCs/>
        </w:rPr>
        <w:t xml:space="preserve">Раздел </w:t>
      </w:r>
      <w:r>
        <w:rPr>
          <w:b/>
          <w:iCs/>
        </w:rPr>
        <w:t xml:space="preserve">«Мировое хозяйство»</w:t>
      </w:r>
      <w:r>
        <w:rPr>
          <w:iCs/>
        </w:rPr>
        <w:t xml:space="preserve"> включал 3 задания: 1 базового и 2 повышенного уровня сложности.</w:t>
      </w:r>
      <w:r/>
    </w:p>
    <w:p>
      <w:pPr>
        <w:pStyle w:val="940"/>
        <w:ind w:firstLine="708"/>
        <w:jc w:val="both"/>
        <w:rPr>
          <w:iCs/>
        </w:rPr>
      </w:pPr>
      <w:r>
        <w:rPr>
          <w:iCs/>
        </w:rPr>
        <w:t xml:space="preserve">Умение определять и сравнивать по разным источникам информации географичес</w:t>
      </w:r>
      <w:r>
        <w:rPr>
          <w:iCs/>
        </w:rPr>
        <w:t xml:space="preserve">кие тенденции развития социально-экономических объектов, процессов и явлений или знание географии основных отраслей производственной и не производственной сфер демонстрируют 59,15% абитуриентов (задание 31), а именно: в группах не достигших минимального ба</w:t>
      </w:r>
      <w:r>
        <w:rPr>
          <w:iCs/>
        </w:rPr>
        <w:t xml:space="preserve">лла составляет 0 %, в группе от минимального до 60 т.б. – 28,57 %, в группе с результатами от 61 до 80 –93,48 % и от 81 до 100 т.б. – 95,45 %) в 2021 году. По сравнению с результатами 2020 года (56,15%) прослеживается незначительное увеличение показателей.</w:t>
      </w:r>
      <w:r/>
    </w:p>
    <w:p>
      <w:pPr>
        <w:pStyle w:val="940"/>
        <w:ind w:firstLine="708"/>
        <w:jc w:val="both"/>
        <w:rPr>
          <w:iCs/>
        </w:rPr>
      </w:pPr>
      <w:r>
        <w:rPr>
          <w:iCs/>
        </w:rPr>
        <w:t xml:space="preserve">В задании 19, раскрывающе</w:t>
      </w:r>
      <w:r>
        <w:rPr>
          <w:iCs/>
        </w:rPr>
        <w:t xml:space="preserve">м тему ведущих стран – экспортеров основных видов промышленной продукции, 40,85% абитуриентов в 2021 году продемонстрировали понятие специализации стран в системе международного географического разделения труда, что по сравнению с 2020 годом на 10,1% выше.</w:t>
      </w:r>
      <w:r/>
    </w:p>
    <w:p>
      <w:pPr>
        <w:pStyle w:val="940"/>
        <w:ind w:firstLine="708"/>
        <w:jc w:val="both"/>
        <w:rPr>
          <w:iCs/>
        </w:rPr>
      </w:pPr>
      <w:r>
        <w:rPr>
          <w:iCs/>
        </w:rPr>
        <w:t xml:space="preserve">Умение определять и сравнивать по разным источникам информации тенденции развития сельского хозяйства России проявили 70,42% абитуриентов, что имеет незначительную тенденцию к уменьшению (на 3,43</w:t>
      </w:r>
      <w:r>
        <w:rPr>
          <w:iCs/>
        </w:rPr>
        <w:t xml:space="preserve">%) (задание 16). В группах это значение распределяется следующим образом: в группах не достигших минимального балла составляет 0 %, в группе от минимального до 60 т.б. – 48,57 %, в группе с результатами от 61 до 80 –95,65 % и от 81 до 100 т.б. – 100,00 %).</w:t>
      </w:r>
      <w:r/>
    </w:p>
    <w:p>
      <w:pPr>
        <w:pStyle w:val="940"/>
        <w:ind w:firstLine="708"/>
        <w:jc w:val="both"/>
        <w:rPr>
          <w:iCs/>
        </w:rPr>
      </w:pPr>
      <w:r>
        <w:rPr>
          <w:iCs/>
        </w:rPr>
        <w:t xml:space="preserve">Наиболее низкие результаты данного раздела (задания 19 и 31) отмечены в группах с уровнем сложности – не преодолевших минимальный</w:t>
      </w:r>
      <w:r>
        <w:rPr>
          <w:iCs/>
        </w:rPr>
        <w:t xml:space="preserve"> балл – 0%. Отмечаем, что как правило выпускниками недостаточно проанализированы вопросы, касающиеся показателей отраслевой, функциональной и территориальной структур хозяйства нашей страны. Поэтому вопросы о факторах размещения хозяйства вызывают значител</w:t>
      </w:r>
      <w:r>
        <w:rPr>
          <w:iCs/>
        </w:rPr>
        <w:t xml:space="preserve">ьные затруднения и как следствие этого абитуриенты не могут на должном уровне выявить основные причины размещения предприятий на территории страны. Определенные затруднения вызывают у абитуриентов вопросы выделения отраслей мировой специализации хозяйства.</w:t>
      </w:r>
      <w:r/>
    </w:p>
    <w:p>
      <w:pPr>
        <w:pStyle w:val="940"/>
        <w:ind w:firstLine="708"/>
        <w:jc w:val="both"/>
      </w:pPr>
      <w:r>
        <w:rPr>
          <w:iCs/>
        </w:rPr>
        <w:t xml:space="preserve">Раздел </w:t>
      </w:r>
      <w:r>
        <w:rPr>
          <w:b/>
          <w:iCs/>
        </w:rPr>
        <w:t xml:space="preserve">«Природопользование и геоэкология»</w:t>
      </w:r>
      <w:r>
        <w:rPr>
          <w:iCs/>
        </w:rPr>
        <w:t xml:space="preserve"> включал 3 задания: 1 базового, 1 повышенного и 1 высокого уровня сложности.</w:t>
      </w:r>
      <w:r/>
    </w:p>
    <w:p>
      <w:pPr>
        <w:pStyle w:val="940"/>
        <w:ind w:firstLine="708"/>
        <w:jc w:val="both"/>
      </w:pPr>
      <w:r>
        <w:t xml:space="preserve">В задании 3 а</w:t>
      </w:r>
      <w:r>
        <w:t xml:space="preserve">битуриенты показали несколько пониженные знания природных ресурсов и рационального и нерационального природопользования. По сравнению с 2020 годом (63,08%) в 2021 году выпускники показали более низкий уровень при раскрытии поставленного вопроса (59,86%): в</w:t>
      </w:r>
      <w:r>
        <w:rPr>
          <w:iCs/>
        </w:rPr>
        <w:t xml:space="preserve"> группах не достигших минимального балла этот показатель составляет 20 %, в группе от минимального до 60 т.б. – 51,43 %, в группе с результатами от 61 до 80 –60,87 % и от 81 до 100 т.б. – 86,36 %)</w:t>
      </w:r>
      <w:r/>
    </w:p>
    <w:p>
      <w:pPr>
        <w:pStyle w:val="940"/>
        <w:ind w:firstLine="708"/>
        <w:jc w:val="both"/>
        <w:rPr>
          <w:iCs/>
        </w:rPr>
      </w:pPr>
      <w:r>
        <w:rPr>
          <w:iCs/>
        </w:rPr>
        <w:t xml:space="preserve">Следует отметить, ч</w:t>
      </w:r>
      <w:r>
        <w:rPr>
          <w:iCs/>
        </w:rPr>
        <w:t xml:space="preserve">то абитуриенты на недостаточно глубоком уровне раскрывали вопросы геоэкологических проблем на разных уровнях. Также желательно более подробно рассматривать вопросы сохранения природных ресурсов от антропогенеза, стихийных природных и техногенных процессов.</w:t>
      </w:r>
      <w:r/>
    </w:p>
    <w:p>
      <w:pPr>
        <w:pStyle w:val="940"/>
        <w:ind w:firstLine="708"/>
        <w:jc w:val="both"/>
        <w:rPr>
          <w:iCs/>
        </w:rPr>
      </w:pPr>
      <w:r>
        <w:rPr>
          <w:iCs/>
        </w:rPr>
        <w:t xml:space="preserve">При анализе выполнения задания 22 в 2021 году у 66,2% абитуриентов сформировано умение оценивать ресурсообеспеченно</w:t>
      </w:r>
      <w:r>
        <w:rPr>
          <w:iCs/>
        </w:rPr>
        <w:t xml:space="preserve">сть отдельных стран и регионов мира. По сравнению с 2020 годом отмечается незначительное уменьшение процента выполнения данного задания на 3,02%. Необходимо уделить более пристальное внимание при подготовке к сдаче экзамена по географии по данному вопросу.</w:t>
      </w:r>
      <w:r/>
    </w:p>
    <w:p>
      <w:pPr>
        <w:pStyle w:val="940"/>
        <w:ind w:firstLine="708"/>
        <w:jc w:val="both"/>
        <w:rPr>
          <w:iCs/>
        </w:rPr>
      </w:pPr>
      <w:r>
        <w:rPr>
          <w:iCs/>
        </w:rPr>
        <w:t xml:space="preserve">Результаты проверки выполнения задания 30 в 2021 году подтверждают тенденцию увеличения полученных навыков по сравнению с 2020 годом</w:t>
      </w:r>
      <w:r>
        <w:rPr>
          <w:iCs/>
        </w:rPr>
        <w:t xml:space="preserve"> на 22,31%, что позволяет оптимистически оценить уровень приобретенных знаний в разделе атмосфера, распределение тепла и влаги на Земле, погода и климат, широтная зональность, цикличность и ритмичность процессов. Для групп не достигших минимального балла э</w:t>
      </w:r>
      <w:r>
        <w:rPr>
          <w:iCs/>
        </w:rPr>
        <w:t xml:space="preserve">то показатель составляет 0 %, в группе от минимального до 60 т.б. – 24,29 %, в группе с результатами от 61 до 80 –71,74 % и от 81 до 100 т.б. – 94,45 %). Следует обратить внимание при подготовке к ЕГЭ по географии на группу не достигших минимального балла.</w:t>
      </w:r>
      <w:r/>
    </w:p>
    <w:p>
      <w:pPr>
        <w:pStyle w:val="940"/>
        <w:ind w:firstLine="708"/>
        <w:jc w:val="both"/>
      </w:pPr>
      <w:r>
        <w:rPr>
          <w:iCs/>
        </w:rPr>
        <w:t xml:space="preserve">Раздел </w:t>
      </w:r>
      <w:r>
        <w:rPr>
          <w:b/>
          <w:iCs/>
        </w:rPr>
        <w:t xml:space="preserve">«Регионы и страны мира»</w:t>
      </w:r>
      <w:r>
        <w:rPr>
          <w:iCs/>
        </w:rPr>
        <w:t xml:space="preserve"> включал 3 задания, из которых 1 базовый, 1 повышенного и 1 высокого уровня сложности.</w:t>
      </w:r>
      <w:r/>
    </w:p>
    <w:p>
      <w:pPr>
        <w:pStyle w:val="940"/>
        <w:ind w:firstLine="708"/>
        <w:jc w:val="both"/>
        <w:rPr>
          <w:iCs/>
        </w:rPr>
      </w:pPr>
      <w:r>
        <w:rPr>
          <w:iCs/>
        </w:rPr>
        <w:t xml:space="preserve">Знание и понимание географической специфики отдельных стран и регионов; их различия по уровню социально-экономического развития, специализации в системе международного ге</w:t>
      </w:r>
      <w:r>
        <w:rPr>
          <w:iCs/>
        </w:rPr>
        <w:t xml:space="preserve">ографического разделения труда (задание 11) отмечено у 59,15% выпускников, а в 2020 году это показатель составил 49,23%, что позволяет отметить более высокий уровень абитуриентов при характеристике особенностей природно-ресурсного потенциала, населения, хо</w:t>
      </w:r>
      <w:r>
        <w:rPr>
          <w:iCs/>
        </w:rPr>
        <w:t xml:space="preserve">зяйства и культуры крупных стран мира. Прослеживаем, что в группах не достигших минимального балла этот показатель составляет 10 %, в группе от минимального до 60 т.б. – 42,86 %, в группе с результатами от 61 до 80 – 76,09 % и от 81 до 100 т.б. – 81,82 %).</w:t>
      </w:r>
      <w:r/>
    </w:p>
    <w:p>
      <w:pPr>
        <w:pStyle w:val="940"/>
        <w:ind w:firstLine="708"/>
        <w:jc w:val="both"/>
        <w:rPr>
          <w:iCs/>
        </w:rPr>
      </w:pPr>
      <w:r>
        <w:rPr>
          <w:iCs/>
        </w:rPr>
        <w:t xml:space="preserve">Анализ задания 24 позволяет сделать следующие выводы, что у абитуриентов 2021 года умение выделять существенные признаки географических объектов и явлени</w:t>
      </w:r>
      <w:r>
        <w:rPr>
          <w:iCs/>
        </w:rPr>
        <w:t xml:space="preserve">й / знания особенностей природно-ресурсного потенциала, населения, хозяйства и культуры крупных стран мира оказались недостаточно сформированными по сравнению с предыдущими годами: в среднем в 2021 году у 39,44%, в 2020 году - 53,85%, в 2019 году - 51,15%.</w:t>
      </w:r>
      <w:r/>
    </w:p>
    <w:p>
      <w:pPr>
        <w:pStyle w:val="940"/>
        <w:ind w:firstLine="708"/>
        <w:jc w:val="both"/>
        <w:rPr>
          <w:iCs/>
        </w:rPr>
      </w:pPr>
      <w:r>
        <w:rPr>
          <w:iCs/>
        </w:rPr>
        <w:t xml:space="preserve">Прослеживаем, что в группах не достигших минимального балла этот показатель составляет 0 %, в группе от минимального до 60 т.б. – 14,29 %, в группе с результатами от 61 до 80 – 56,52 % и от 81 до 100 т.б. – 90,91 %).</w:t>
      </w:r>
      <w:r/>
    </w:p>
    <w:p>
      <w:pPr>
        <w:pStyle w:val="940"/>
        <w:ind w:firstLine="708"/>
        <w:jc w:val="both"/>
        <w:rPr>
          <w:iCs/>
        </w:rPr>
      </w:pPr>
      <w:r>
        <w:rPr>
          <w:iCs/>
        </w:rPr>
        <w:t xml:space="preserve">При выполнении задания 29 48,59% абитуриентов смогли объяснить осно</w:t>
      </w:r>
      <w:r>
        <w:rPr>
          <w:iCs/>
        </w:rPr>
        <w:t xml:space="preserve">вные факторы и явления географических объектов, а также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w:t>
      </w:r>
      <w:r>
        <w:rPr>
          <w:iCs/>
        </w:rPr>
        <w:t xml:space="preserve"> территорий; смогли объяснить следствие явлений в окружающей среде на основе географической и геоэкологической экспертиз. В 2020 году с выполнением этого задания смогли справиться 33,08%, а в 2019 только 32%, что подтверждает серьезную подготовку учащихся.</w:t>
      </w:r>
      <w:r/>
    </w:p>
    <w:p>
      <w:pPr>
        <w:pStyle w:val="940"/>
        <w:ind w:firstLine="708"/>
        <w:jc w:val="both"/>
        <w:rPr>
          <w:iCs/>
        </w:rPr>
      </w:pPr>
      <w:r>
        <w:rPr>
          <w:iCs/>
        </w:rPr>
        <w:t xml:space="preserve">Прослеживаем, что в группах не достигших минимального балла этот показатель составляет 0 %, в группе от минимального до 60 т.б. – 24,29 %, в группе с результатами от 61 до 80 – 69,57 % и от 81 до 100 т.б. – 90,91 %.</w:t>
      </w:r>
      <w:r/>
    </w:p>
    <w:p>
      <w:pPr>
        <w:pStyle w:val="940"/>
        <w:ind w:firstLine="708"/>
        <w:jc w:val="both"/>
      </w:pPr>
      <w:r>
        <w:rPr>
          <w:iCs/>
        </w:rPr>
        <w:t xml:space="preserve">Раздел «</w:t>
      </w:r>
      <w:r>
        <w:rPr>
          <w:b/>
          <w:iCs/>
        </w:rPr>
        <w:t xml:space="preserve">География России»</w:t>
      </w:r>
      <w:r>
        <w:rPr>
          <w:iCs/>
        </w:rPr>
        <w:t xml:space="preserve"> включал 11 заданий разного уровня сложности.</w:t>
      </w:r>
      <w:r/>
    </w:p>
    <w:p>
      <w:pPr>
        <w:pStyle w:val="940"/>
        <w:ind w:firstLine="708"/>
        <w:jc w:val="both"/>
        <w:rPr>
          <w:iCs/>
        </w:rPr>
      </w:pPr>
      <w:r>
        <w:rPr>
          <w:iCs/>
        </w:rPr>
        <w:t xml:space="preserve">Абитуриенты 2021 </w:t>
      </w:r>
      <w:r>
        <w:rPr>
          <w:iCs/>
        </w:rPr>
        <w:t xml:space="preserve">года при ответе на задание 4 показали низкий уровень понимания и освоения процессов, происходящих в атмосфере, который составляет 45,7%, что подтверждено групповыми данными: в группах не достигших минимального балла этот показатель составляет 20 %, в групп</w:t>
      </w:r>
      <w:r>
        <w:rPr>
          <w:iCs/>
        </w:rPr>
        <w:t xml:space="preserve">е от минимального до 60 т.б. – 35,71 %, в группе с результатами от 61 до 80 – 34,78 % и от 81 до 100 т.б. – 95,45 %). Следует отметить, что не была раскрыта роль климатообразующих процессов при формировании климата Земли, следовательно на недостаточном уро</w:t>
      </w:r>
      <w:r>
        <w:rPr>
          <w:iCs/>
        </w:rPr>
        <w:t xml:space="preserve">вне раскрыты причинно-следственные связи географических явлений и процессов в геосферах. Не выявлено степень влияния антропогенеза на природно-территориальные комплексы. Это привело к неправильной трактовке учения о географической зональности и поясности. </w:t>
      </w:r>
      <w:r/>
    </w:p>
    <w:p>
      <w:pPr>
        <w:pStyle w:val="940"/>
        <w:ind w:firstLine="708"/>
        <w:jc w:val="both"/>
        <w:rPr>
          <w:iCs/>
        </w:rPr>
      </w:pPr>
      <w:r>
        <w:rPr>
          <w:iCs/>
        </w:rPr>
        <w:t xml:space="preserve">Анализ выполненных работ задания 5 позволяет отметить, ч</w:t>
      </w:r>
      <w:r>
        <w:rPr>
          <w:iCs/>
        </w:rPr>
        <w:t xml:space="preserve">то абитуриенты в основном справились и объективно раскрыли закономерности формирования и распространения тепла и влаги на Земле. Раскрыты особенности планетарного климатообразования и выделение климатических поясов, что подтверждает хорошую подготовку по д</w:t>
      </w:r>
      <w:r>
        <w:rPr>
          <w:iCs/>
        </w:rPr>
        <w:t xml:space="preserve">анному вопросу абитуриентами. Отмечаем, что в группах не достигших минимального балла усвоение фактического материала составил 0 %, в группе от минимального до 60 т.б. – 28,57 %, в группе с результатами от 61 до 80 – 82,61 % и от 81 до 100 т.б. – 100,00 %.</w:t>
      </w:r>
      <w:r/>
    </w:p>
    <w:p>
      <w:pPr>
        <w:pStyle w:val="940"/>
        <w:ind w:firstLine="708"/>
        <w:jc w:val="both"/>
        <w:rPr>
          <w:iCs/>
        </w:rPr>
      </w:pPr>
      <w:r>
        <w:rPr>
          <w:iCs/>
        </w:rPr>
        <w:t xml:space="preserve">Абитуриенты, выполняя задание 12, продемонстрировали полное понимание географических особенностей населения России (76,06%), чт</w:t>
      </w:r>
      <w:r>
        <w:rPr>
          <w:iCs/>
        </w:rPr>
        <w:t xml:space="preserve">о подтверждается следующими результатами: в группах не достигших минимального балла усвоение фактического материала составил 50 %, в группе от минимального до 60 т.б. – 54,29 %, в группе с результатами от 61 до 80 – 100,00 % и от 81 до 100 т.б. – 100,00 %.</w:t>
      </w:r>
      <w:r/>
    </w:p>
    <w:p>
      <w:pPr>
        <w:pStyle w:val="940"/>
        <w:ind w:firstLine="708"/>
        <w:jc w:val="both"/>
        <w:rPr>
          <w:iCs/>
        </w:rPr>
      </w:pPr>
      <w:r>
        <w:rPr>
          <w:iCs/>
        </w:rPr>
        <w:t xml:space="preserve">В процессе проверки экзаменационных работ было выявлено, что знание и понимание гео</w:t>
      </w:r>
      <w:r>
        <w:rPr>
          <w:iCs/>
        </w:rPr>
        <w:t xml:space="preserve">графических особенностей основных отраслей хозяйства России продемонстрировали всего лишь 25,35% выпускников, что ниже показаний 2020 года (29,23%) (задание 13), хотя в 2019 году эти показали составили 47,33%, что говорит о недостаточном уровне подготовки </w:t>
      </w:r>
      <w:r>
        <w:rPr>
          <w:iCs/>
        </w:rPr>
        <w:t xml:space="preserve">абитуриентов по данному разделу. Полученные результаты распределяются следующим образом: у группы уровня сложности не преодолевших минимальный балл – 0%, от минимального до 60 т.б. – 17,14%, у группы – 61-80 т.б. – 39,13%, а у группы 80-100 т.б. – 27,27%. </w:t>
      </w:r>
      <w:r/>
    </w:p>
    <w:p>
      <w:pPr>
        <w:pStyle w:val="940"/>
        <w:ind w:firstLine="708"/>
        <w:jc w:val="both"/>
      </w:pPr>
      <w:r>
        <w:t xml:space="preserve">Глубина знаний природно-хозяйственного районирования России, особенностей географического положения, природы, населения, хозяйства и история развития Юга Европейской части страны выявлена у 47,89% выпускник</w:t>
      </w:r>
      <w:r>
        <w:t xml:space="preserve">ов, что ниже результатов 2020 года на 11,34% Абитуриенты демонстрируют недостаточный уровень знаний и понимания особенностей природно-хозяйственных зон и географических районов России (задание 14). Отмечаем, что в группах не достигших минимального балла эт</w:t>
      </w:r>
      <w:r>
        <w:t xml:space="preserve">от показатель составляет 0 %, в группе от минимального до 60 т.б. – 32,86 %, в группе с результатами от 61 до 80 – 54,35 % и от 81 до 100 т.б. – 90,91 %), что подтверждает относительно низкий уровень подготовки абитуриентов по сравнению с предыдущим годом.</w:t>
      </w:r>
      <w:r/>
    </w:p>
    <w:p>
      <w:pPr>
        <w:pStyle w:val="940"/>
        <w:ind w:firstLine="708"/>
        <w:jc w:val="both"/>
      </w:pPr>
      <w:r>
        <w:t xml:space="preserve">Участники ЕГЭ по географии 2021 года успешно справились с заданием № 18 (70,42%). Они продемонстрировали хороший уровень знаний и понимание административно-территориального устройства Российской Федерации.</w:t>
      </w:r>
      <w:r/>
    </w:p>
    <w:p>
      <w:pPr>
        <w:pStyle w:val="940"/>
        <w:ind w:firstLine="708"/>
        <w:jc w:val="both"/>
        <w:rPr>
          <w:iCs/>
        </w:rPr>
      </w:pPr>
      <w:r>
        <w:rPr>
          <w:iCs/>
        </w:rPr>
        <w:t xml:space="preserve">Отмечаем, что в группах не достигших минимального балла этот показатель составляет 10 %, в группе от минимального до 60 т.б. – 45,71 %, в группе с результатами от 61 до 80 – 97,83 % и от 81 до 100 т.б. – 100,00 %).</w:t>
      </w:r>
      <w:r/>
    </w:p>
    <w:p>
      <w:pPr>
        <w:pStyle w:val="940"/>
        <w:ind w:firstLine="708"/>
        <w:jc w:val="both"/>
        <w:rPr>
          <w:iCs/>
        </w:rPr>
      </w:pPr>
      <w:r>
        <w:rPr>
          <w:iCs/>
        </w:rPr>
        <w:t xml:space="preserve">Использование приобретенных знаний и умений в практической деятельности и повсед</w:t>
      </w:r>
      <w:r>
        <w:rPr>
          <w:iCs/>
        </w:rPr>
        <w:t xml:space="preserve">невной жизни для определения различий во времени демонстрирует 74,65% абитуриентов в задании 20. Это меньше чем результаты прошлого года 83,08% и 2019 года (80,92%). Данное умение объективно сформировано в трех группах, что можно считать вполне допустимым.</w:t>
      </w:r>
      <w:r/>
    </w:p>
    <w:p>
      <w:pPr>
        <w:pStyle w:val="940"/>
        <w:ind w:firstLine="708"/>
        <w:jc w:val="both"/>
        <w:rPr>
          <w:iCs/>
        </w:rPr>
      </w:pPr>
      <w:r>
        <w:rPr>
          <w:iCs/>
        </w:rPr>
        <w:t xml:space="preserve">Умение определять и сравнивать по имеющимся источникам информации основные географические тенденции развития социально-экономических объектов, процессов и явлений продемонстрировали 73,24% выпускников (задание 21), что практически совпа</w:t>
      </w:r>
      <w:r>
        <w:rPr>
          <w:iCs/>
        </w:rPr>
        <w:t xml:space="preserve">дает с результатами 2020 года (73,31 %). Отмечаем, что в группах не достигших минимального балла этот показатель составляет 100 %, в группе от минимального до 60 т.б. – 57,14 %, в группе с результатами от 61 до 80 – 82,61 % и от 81 до 100 т.б. – 100,00 %).</w:t>
      </w:r>
      <w:r/>
    </w:p>
    <w:p>
      <w:pPr>
        <w:pStyle w:val="940"/>
        <w:ind w:firstLine="708"/>
        <w:jc w:val="both"/>
      </w:pPr>
      <w:r>
        <w:rPr>
          <w:iCs/>
        </w:rPr>
        <w:t xml:space="preserve">Знание природно-экономического потенциала регионов России и умение выделять существенные признаки географических объектов и явлений отмечено у </w:t>
      </w:r>
      <w:r>
        <w:rPr>
          <w:color w:val="000000"/>
          <w:sz w:val="22"/>
          <w:szCs w:val="22"/>
        </w:rPr>
        <w:t xml:space="preserve">61,97% </w:t>
      </w:r>
      <w:r>
        <w:rPr>
          <w:iCs/>
        </w:rPr>
        <w:t xml:space="preserve">выпускников в задании 25 по сра</w:t>
      </w:r>
      <w:r>
        <w:rPr>
          <w:iCs/>
        </w:rPr>
        <w:t xml:space="preserve">внению с результатами 2020 года (41,54%). В группе не преодолевших минимальный балл этот показатель составил 50 %, в группе от минимального до 60 т.б. – 40,00%, в группе от 61 до 80 т.б. – 78,26%, а в группе от 80 до 100 т.б. этот показатель составил 100%.</w:t>
      </w:r>
      <w:r/>
    </w:p>
    <w:p>
      <w:pPr>
        <w:pStyle w:val="940"/>
        <w:ind w:firstLine="708"/>
        <w:jc w:val="both"/>
        <w:rPr>
          <w:iCs/>
        </w:rPr>
      </w:pPr>
      <w:r>
        <w:rPr>
          <w:iCs/>
        </w:rPr>
        <w:t xml:space="preserve">Умение рассчитывать и анализировать показатели при характеристике естественного и миграционного движения населения регионов нашей страны подтверждается у 68,31 % (задание 34) выпускников, что выше результатов 2020 года (58,46%). </w:t>
      </w:r>
      <w:r/>
    </w:p>
    <w:p>
      <w:pPr>
        <w:pStyle w:val="940"/>
        <w:ind w:firstLine="708"/>
        <w:jc w:val="both"/>
        <w:rPr>
          <w:iCs/>
        </w:rPr>
      </w:pPr>
      <w:r>
        <w:rPr>
          <w:iCs/>
        </w:rPr>
        <w:t xml:space="preserve">Отмечаем, что в группах не достигших минимального балла этот показатель составляет 0 %, в группе от минимального до 60 т.б. – 41,43 %, в группе с результатами от 61 до 80 – 89,13 % и от 81 до 100 т.б. – 100,00 %).</w:t>
      </w:r>
      <w:r/>
    </w:p>
    <w:p>
      <w:pPr>
        <w:pStyle w:val="940"/>
        <w:ind w:firstLine="567"/>
        <w:jc w:val="both"/>
        <w:rPr>
          <w:iCs/>
        </w:rPr>
      </w:pPr>
      <w:r>
        <w:rPr>
          <w:iCs/>
        </w:rPr>
        <w:t xml:space="preserve">Численность населения России и уметь находить и анализировать информацию, необходимую для изучения обеспеченности территорий человеческими ресу</w:t>
      </w:r>
      <w:r>
        <w:rPr>
          <w:iCs/>
        </w:rPr>
        <w:t xml:space="preserve">рсами сформировано у 64,79% абитуриентов. Отмечаем, что в группах не достигших минимального балла этот показатель составляет 0 %, в группе от минимального до 60 т.б. – 44,29 %, в группе с результатами от 61 до 80 – 95,65 % и от 81 до 100 т.б. – 100,00 %). </w:t>
      </w:r>
      <w:r/>
    </w:p>
    <w:p>
      <w:pPr>
        <w:pStyle w:val="940"/>
        <w:numPr>
          <w:ilvl w:val="2"/>
          <w:numId w:val="38"/>
        </w:numPr>
        <w:ind w:left="567" w:firstLine="0"/>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contextualSpacing/>
        <w:jc w:val="both"/>
        <w:spacing w:before="0" w:after="0"/>
        <w:rPr>
          <w:rFonts w:eastAsia="SimSun;宋体"/>
          <w:i/>
          <w:iCs/>
          <w:sz w:val="28"/>
        </w:rPr>
      </w:pPr>
      <w:r>
        <w:rPr>
          <w:rFonts w:eastAsia="SimSun;宋体"/>
          <w:i/>
          <w:iCs/>
          <w:sz w:val="28"/>
        </w:rPr>
      </w:r>
      <w:r/>
    </w:p>
    <w:p>
      <w:pPr>
        <w:pStyle w:val="940"/>
        <w:contextualSpacing/>
        <w:jc w:val="both"/>
        <w:spacing w:before="0" w:after="0"/>
        <w:rPr>
          <w:rFonts w:eastAsia="SimSun;宋体"/>
          <w:i/>
          <w:iCs/>
          <w:sz w:val="28"/>
        </w:rPr>
      </w:pPr>
      <w:r>
        <w:rPr>
          <w:rFonts w:eastAsia="SimSun;宋体"/>
          <w:i/>
          <w:iCs/>
          <w:sz w:val="28"/>
        </w:rPr>
      </w:r>
      <w:r/>
    </w:p>
    <w:p>
      <w:pPr>
        <w:pStyle w:val="940"/>
        <w:contextualSpacing/>
        <w:jc w:val="both"/>
        <w:spacing w:before="0" w:after="0"/>
        <w:rPr>
          <w:rFonts w:eastAsia="SimSun;宋体"/>
          <w:i/>
          <w:iCs/>
          <w:sz w:val="28"/>
        </w:rPr>
      </w:pPr>
      <w:r>
        <w:rPr>
          <w:rFonts w:eastAsia="SimSun;宋体"/>
          <w:i/>
          <w:iCs/>
          <w:sz w:val="28"/>
        </w:rPr>
      </w:r>
      <w:r/>
    </w:p>
    <w:p>
      <w:pPr>
        <w:pStyle w:val="940"/>
        <w:contextualSpacing/>
        <w:jc w:val="both"/>
        <w:spacing w:before="0" w:after="0"/>
        <w:rPr>
          <w:rFonts w:eastAsia="SimSun;宋体"/>
          <w:i/>
          <w:iCs/>
          <w:sz w:val="28"/>
        </w:rPr>
      </w:pPr>
      <w:r>
        <w:rPr>
          <w:rFonts w:eastAsia="SimSun;宋体"/>
          <w:i/>
          <w:iCs/>
          <w:sz w:val="28"/>
        </w:rPr>
      </w:r>
      <w:r/>
    </w:p>
    <w:p>
      <w:pPr>
        <w:pStyle w:val="1409"/>
        <w:keepNext/>
      </w:pPr>
      <w:r>
        <w:t xml:space="preserve">Таблица 2-13</w:t>
      </w:r>
      <w:r/>
    </w:p>
    <w:tbl>
      <w:tblPr>
        <w:tblW w:w="9679" w:type="dxa"/>
        <w:tblInd w:w="26" w:type="dxa"/>
        <w:tblLayout w:type="fixed"/>
        <w:tblCellMar>
          <w:left w:w="57" w:type="dxa"/>
          <w:top w:w="0" w:type="dxa"/>
          <w:right w:w="57" w:type="dxa"/>
          <w:bottom w:w="0" w:type="dxa"/>
        </w:tblCellMar>
        <w:tblLook w:val="04A0" w:firstRow="1" w:lastRow="0" w:firstColumn="1" w:lastColumn="0" w:noHBand="0" w:noVBand="1"/>
      </w:tblPr>
      <w:tblGrid>
        <w:gridCol w:w="939"/>
        <w:gridCol w:w="2136"/>
        <w:gridCol w:w="1204"/>
        <w:gridCol w:w="940"/>
        <w:gridCol w:w="1337"/>
        <w:gridCol w:w="831"/>
        <w:gridCol w:w="820"/>
        <w:gridCol w:w="1472"/>
      </w:tblGrid>
      <w:tr>
        <w:trPr>
          <w:cantSplit/>
          <w:trHeight w:val="313"/>
          <w:tblHeader/>
        </w:trPr>
        <w:tc>
          <w:tcPr>
            <w:tcBorders>
              <w:top w:val="single" w:color="000000" w:sz="8" w:space="0"/>
              <w:left w:val="single" w:color="000000" w:sz="8" w:space="0"/>
            </w:tcBorders>
            <w:tcW w:w="939"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2136"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204"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5400" w:type="dxa"/>
            <w:textDirection w:val="lrTb"/>
            <w:noWrap w:val="false"/>
          </w:tcPr>
          <w:p>
            <w:pPr>
              <w:pStyle w:val="940"/>
              <w:jc w:val="center"/>
            </w:pPr>
            <w:r>
              <w:t xml:space="preserve">Процент выполнения задания </w:t>
              <w:br/>
              <w:t xml:space="preserve">в субъекте Российской Федерации</w:t>
            </w:r>
            <w:r/>
          </w:p>
        </w:tc>
      </w:tr>
      <w:tr>
        <w:trPr>
          <w:cantSplit/>
          <w:trHeight w:val="635"/>
          <w:tblHeader/>
        </w:trPr>
        <w:tc>
          <w:tcPr>
            <w:tcBorders>
              <w:top w:val="single" w:color="000000" w:sz="8" w:space="0"/>
              <w:left w:val="single" w:color="000000" w:sz="8" w:space="0"/>
            </w:tcBorders>
            <w:tcW w:w="93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2136"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204"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средний</w:t>
            </w:r>
            <w:r/>
          </w:p>
        </w:tc>
        <w:tc>
          <w:tcPr>
            <w:tcBorders>
              <w:top w:val="single" w:color="000000" w:sz="8" w:space="0"/>
              <w:left w:val="single" w:color="000000" w:sz="8" w:space="0"/>
              <w:bottom w:val="single" w:color="000000" w:sz="8" w:space="0"/>
            </w:tcBorders>
            <w:tcW w:w="1337" w:type="dxa"/>
            <w:textDirection w:val="lrTb"/>
            <w:noWrap w:val="false"/>
          </w:tcPr>
          <w:p>
            <w:pPr>
              <w:pStyle w:val="940"/>
              <w:jc w:val="center"/>
              <w:rPr>
                <w:bCs/>
              </w:rPr>
            </w:pPr>
            <w:r>
              <w:rPr>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bCs/>
              </w:rPr>
            </w:pPr>
            <w:r>
              <w:rPr>
                <w:bCs/>
              </w:rPr>
              <w:t xml:space="preserve">в группе от минимального до 60 т.б.</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bCs/>
              </w:rPr>
            </w:pPr>
            <w:r>
              <w:rPr>
                <w:bCs/>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bCs/>
              </w:rPr>
            </w:pPr>
            <w:r>
              <w:rPr>
                <w:bCs/>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bCs/>
              </w:rPr>
            </w:pPr>
            <w:r>
              <w:rPr>
                <w:bCs/>
              </w:rPr>
              <w:t xml:space="preserve">Географические модели. Географическая карта, план местности./Уметь определять на карте географические координаты</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83,10</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71,43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Атмосфера. Состав, строение, циркуляция. Распределение тепла и влаги на Земле. Погода и климат  /Знать и понимать географические явления и процессы в геосферах, взаимосвязи между ними; географическую зональность и поясность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74,65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71,43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73,91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Природные ресурсы. Рациональное и нерациональное природопользование. Особенности воздействия на окружающую среду различн</w:t>
            </w:r>
            <w:r>
              <w:t xml:space="preserve">ых сфер и отраслей хозяйства  /Знать и понимать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59,86</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20,00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51,43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60,87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86,36</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Атмосфера. Соста</w:t>
            </w:r>
            <w:r>
              <w:t xml:space="preserve">в, строение, циркуляция. Распределение тепла и влаги на Земле. Погода и климат /Знать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45,07</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20,00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34,78</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95,45</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5</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Типы климата, факторы их формирования, климатические пояса России. Климат и хозяйственная деятельность людей/ Знать и понимать географические особенности природы России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56,34</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28,57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82,61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6</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Земля как планета. Движение Земли. /Знать и понимать географические следствия движений Земли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64,79</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86,96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7</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Мировой океан и его части. / Уметь определять на карте местоположение географических объектов.</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50,70</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56,52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8</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rFonts w:eastAsia="Times New Roman"/>
                <w:bCs/>
              </w:rPr>
              <w:t xml:space="preserve">Уровень и качество жизни населения /Знать и понимать численность и динамику населения стран мира и умение оценивать демографическую ситуацию </w:t>
            </w:r>
            <w:r>
              <w:rPr>
                <w:rFonts w:eastAsia="Times New Roman"/>
              </w:rPr>
              <w:t xml:space="preserve">о</w:t>
            </w:r>
            <w:r>
              <w:rPr>
                <w:rFonts w:eastAsia="Times New Roman"/>
                <w:bCs/>
              </w:rPr>
              <w:t xml:space="preserve">тдельных стран и регионов мира.</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71,83</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54,29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86,96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9</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rFonts w:eastAsia="Times New Roman"/>
                <w:color w:val="000000"/>
              </w:rPr>
            </w:pPr>
            <w:r>
              <w:rPr>
                <w:rFonts w:eastAsia="Times New Roman"/>
                <w:color w:val="000000"/>
              </w:rPr>
              <w:t xml:space="preserve">Размещение населения России / Знать и понимать географические особенности населения России и уметь оценивать  территориальную концентрацию населения</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70,42</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10</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rFonts w:eastAsia="Times New Roman"/>
                <w:color w:val="000000"/>
              </w:rPr>
            </w:pPr>
            <w:r>
              <w:rPr>
                <w:rFonts w:eastAsia="Times New Roman"/>
                <w:color w:val="000000"/>
              </w:rPr>
              <w:t xml:space="preserve">Структура занятости населения. Отраслевая структура хозяйства /Умение географические особенности отраслевой и территориальной структуры мирового хозяйства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73,24</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54,29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95,65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11</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bCs/>
              </w:rPr>
            </w:pPr>
            <w:r>
              <w:rPr>
                <w:bCs/>
              </w:rPr>
              <w:t xml:space="preserve">Особенности природно-ресурсного потенц</w:t>
            </w:r>
            <w:r>
              <w:rPr>
                <w:bCs/>
              </w:rPr>
              <w:t xml:space="preserve">иала, населения, хозяйства, культуры крупных стран мира / Знать и понимать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59,15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10,00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76,09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81,82</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12</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bCs/>
              </w:rPr>
            </w:pPr>
            <w:r>
              <w:rPr>
                <w:bCs/>
              </w:rPr>
              <w:t xml:space="preserve">Городское и сельское население. Города /Знать и понимать географические особенности населения России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76,06</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54,29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13</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bCs/>
              </w:rPr>
            </w:pPr>
            <w:r>
              <w:rPr>
                <w:bCs/>
              </w:rPr>
              <w:t xml:space="preserve">География отраслей промышленности России / Знать и понимать географические особенности основных отраслей хозяйства России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25,35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17,14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39,13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27,27</w:t>
            </w:r>
            <w:r/>
          </w:p>
        </w:tc>
      </w:tr>
      <w:tr>
        <w:trPr>
          <w:cantSplit/>
          <w:trHeight w:val="3092"/>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14</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Природно-хо</w:t>
            </w:r>
            <w:r>
              <w:t xml:space="preserve">зяйственное районирование России. Регионы России. Особенности географического положения, природы, населения, хозяйства и история развития Юга Европейской части страны / Знать и понимать особенности природно-хозяйственных зон и географических районов России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47,89</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54,35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15</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Миграция. Основные направления и типы миграций в мире / Умение выделять, описывать существенные признаки географических объектов и явлений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84,51</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30,00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72,86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95,65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16</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Мировое хозяйство. Хозяйство России. Регионы России/</w:t>
            </w:r>
            <w:r>
              <w:rPr>
                <w:rFonts w:eastAsia="TimesNewRomanPSMT;Times New Roman"/>
              </w:rPr>
              <w:t xml:space="preserve"> Уметь определять и сравнивать по разным источникам информации о тенденции развития сельского хозяйства России.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70,42</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48,57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95,65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17</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rFonts w:eastAsia="TimesNewRomanPSMT;Times New Roman"/>
              </w:rPr>
            </w:pPr>
            <w:r>
              <w:rPr>
                <w:rFonts w:eastAsia="TimesNewRomanPSMT;Times New Roman"/>
              </w:rPr>
              <w:t xml:space="preserve">Погода и климат. Распределение тепла на Земле / Использовать приобретенные знания для чтения и анализа климатических карт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76,06</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65,71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82,61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18</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Административно-территориальное устройство России. Столицы и крупные города</w:t>
            </w:r>
            <w:r>
              <w:rPr>
                <w:b/>
                <w:bCs/>
              </w:rPr>
              <w:t xml:space="preserve"> / </w:t>
            </w:r>
            <w:r>
              <w:t xml:space="preserve">Знать и понимать административно-территориальное устройство Российской Федерации.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70,42</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10,00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97,83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19</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Ведущие страны – экспортеры основных видов промышленной продукции/ Знать и понимать специализацию стран в системе международного географического разделения труда (производители природного газа) </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40,85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22,86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47,83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20</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color w:val="000000"/>
              </w:rPr>
              <w:t xml:space="preserve">Часовые зоны</w:t>
            </w:r>
            <w:r>
              <w:t xml:space="preserve"> / Использовать приобретенные знания и умения в практической деятельности и повседневной жизни для определения различий во времени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74,65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68,57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78,26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21</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Природно-хозяйственное районирование России. Регионы России / Уметь определять и сравнивать по имеющимся источникам информации основные географические тенденции развития социально -экономических объектов, процессов и явлений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73,24</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57,14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82,61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22</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bCs/>
              </w:rPr>
              <w:t xml:space="preserve">Природные ресурсы / </w:t>
            </w:r>
            <w:r>
              <w:t xml:space="preserve">Уметь оценивать ресурсообеспеченность отдельных стран и регионов мира</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66,20</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91,30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23</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color w:val="000000"/>
              </w:rPr>
              <w:t xml:space="preserve">Этапы геологической истории земной коры. Геологическая хронология./ </w:t>
            </w:r>
            <w:r>
              <w:t xml:space="preserve">Знать и понимать смысл основных теоретических категорий и понятий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61,97</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37,14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82,61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24</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Особенности природно-ресурсного потенциала, населения, хозяйства, культуры крупных стран мира./ Уметь выделять существенные признаки географических объектов и явлений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39,44</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14,29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56,52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25</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Природно-хозяйственное районирование России. Регионы России./ Уметь выделять существенные признаки географических объектов и явлений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61,97</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78,26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26</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color w:val="000000"/>
              </w:rPr>
              <w:t xml:space="preserve">Географические модели. Географическая карта, план местности/ </w:t>
            </w:r>
            <w:r>
              <w:rPr>
                <w:bCs/>
              </w:rPr>
              <w:t xml:space="preserve">Уметь определять на плане и карте расстояние</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Б</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85,92</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80,00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95,65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27</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color w:val="000000"/>
              </w:rPr>
              <w:t xml:space="preserve">Географические модели. Географическая карта, план местности/ </w:t>
            </w:r>
            <w:r>
              <w:rPr>
                <w:bCs/>
              </w:rPr>
              <w:t xml:space="preserve">Уметь определять на плане и  карте направление.</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57,75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91,30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81,82</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28</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rFonts w:eastAsia="TimesNewRomanPSMT;Times New Roman"/>
              </w:rPr>
              <w:t xml:space="preserve">Географические модели. Географическая карта, план местности</w:t>
            </w:r>
            <w:r>
              <w:t xml:space="preserve"> / </w:t>
            </w:r>
            <w:r>
              <w:rPr>
                <w:spacing w:val="-1"/>
              </w:rPr>
              <w:t xml:space="preserve">Уметь составлять картосхемы, модели, простейшие карты и профили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59,15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31,43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89,13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95,45</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29</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Литосфера. Гидросфера. Атмосфера. Биосфера. Пр</w:t>
            </w:r>
            <w:r>
              <w:t xml:space="preserve">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w:t>
            </w:r>
            <w:r>
              <w:t xml:space="preserve">бенности воздействия на окружающую среду различных сфер и отраслей хозяйств /Уметь объяснять существенные признаки географических объектов и явлений. Объяснять демографическую ситуацию отдельных стран и регионов мира, уровни урбанизации и территориальной к</w:t>
            </w:r>
            <w:r>
              <w:t xml:space="preserve">онцентрации населения и производства; степень природных, антропогенных и техногенных изменений отдельных территорий. объяснения разнообразных явлений (текущих событий и ситуаций) в окружающей среде на основе их географической и геоэкологической экспертизы.</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48,59</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24,29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69,57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30</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Атмосфера. Распределение тепла и влаги на Земле. Погода и климат. Широтная зональность, цикличность и ритмичность процессов. /Использовать приобрет</w:t>
            </w:r>
            <w:r>
              <w:t xml:space="preserve">енные знания и умения в практической деятельности и повседневной жизни для анализа и оценки разных территорий с точки зрения взаимосвязей природных, социально-экономических, техногенных объектов и процессов, исходя из пространственно-временнόго их развития</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50,00</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24,29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71,74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95,45</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31</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rPr>
                <w:color w:val="000000"/>
              </w:rPr>
              <w:t xml:space="preserve">География основных отраслей производственной и не производственной сфер</w:t>
            </w:r>
            <w:r>
              <w:t xml:space="preserve"> / Уметь определять и сравнивать по разным источникам информации географические тенденции развития социально-экономических объектов, процессов и явлений</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59,15</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28,57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93,48</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95,45</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32</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Земля, как планета, современный облик планеты Земля. Форма, размеры и движение Земли./ Знать и понимать географические следствия движений Земли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42,96</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10,00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73,91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90,91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33</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pPr>
            <w:r>
              <w:t xml:space="preserve">Численность населения России/ Уметь находить и анализировать информацию, необходимую для изучения обеспеченности территорий человеческими ресурсами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П</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64,79</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89,13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34</w:t>
            </w:r>
            <w:r/>
          </w:p>
        </w:tc>
        <w:tc>
          <w:tcPr>
            <w:tcBorders>
              <w:top w:val="single" w:color="000000" w:sz="8" w:space="0"/>
              <w:left w:val="single" w:color="000000" w:sz="8" w:space="0"/>
              <w:bottom w:val="single" w:color="000000" w:sz="8" w:space="0"/>
            </w:tcBorders>
            <w:tcW w:w="2136" w:type="dxa"/>
            <w:vAlign w:val="center"/>
            <w:textDirection w:val="lrTb"/>
            <w:noWrap w:val="false"/>
          </w:tcPr>
          <w:p>
            <w:pPr>
              <w:pStyle w:val="940"/>
              <w:jc w:val="both"/>
              <w:rPr>
                <w:color w:val="000000"/>
              </w:rPr>
            </w:pPr>
            <w:r>
              <w:rPr>
                <w:color w:val="000000"/>
              </w:rPr>
              <w:t xml:space="preserve">Направление и типы миграции./ Уметь анализировать информацию, необходимую для изучения обеспеченности территорий человеческими ресурсами</w:t>
            </w:r>
            <w:r/>
          </w:p>
        </w:tc>
        <w:tc>
          <w:tcPr>
            <w:tcBorders>
              <w:top w:val="single" w:color="000000" w:sz="8" w:space="0"/>
              <w:left w:val="single" w:color="000000" w:sz="8" w:space="0"/>
              <w:bottom w:val="single" w:color="000000" w:sz="8" w:space="0"/>
            </w:tcBorders>
            <w:tcW w:w="1204" w:type="dxa"/>
            <w:vAlign w:val="center"/>
            <w:textDirection w:val="lrTb"/>
            <w:noWrap w:val="false"/>
          </w:tcPr>
          <w:p>
            <w:pPr>
              <w:pStyle w:val="940"/>
              <w:jc w:val="center"/>
            </w:pPr>
            <w:r>
              <w:t xml:space="preserve">В</w:t>
            </w:r>
            <w:r/>
          </w:p>
        </w:tc>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rPr>
                <w:color w:val="000000"/>
              </w:rPr>
            </w:pPr>
            <w:r>
              <w:rPr>
                <w:color w:val="000000"/>
              </w:rPr>
              <w:t xml:space="preserve">68,31</w:t>
            </w:r>
            <w:r/>
          </w:p>
        </w:tc>
        <w:tc>
          <w:tcPr>
            <w:tcBorders>
              <w:top w:val="single" w:color="000000" w:sz="8" w:space="0"/>
              <w:left w:val="single" w:color="000000" w:sz="8" w:space="0"/>
              <w:bottom w:val="single" w:color="000000" w:sz="8" w:space="0"/>
            </w:tcBorders>
            <w:tcW w:w="1337"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831" w:type="dxa"/>
            <w:vAlign w:val="center"/>
            <w:textDirection w:val="lrTb"/>
            <w:noWrap w:val="false"/>
          </w:tcPr>
          <w:p>
            <w:pPr>
              <w:pStyle w:val="940"/>
              <w:jc w:val="center"/>
              <w:rPr>
                <w:color w:val="000000"/>
              </w:rPr>
            </w:pPr>
            <w:r>
              <w:rPr>
                <w:color w:val="000000"/>
              </w:rPr>
              <w:t xml:space="preserve">44,29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95,65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100,00</w:t>
            </w:r>
            <w:r/>
          </w:p>
        </w:tc>
      </w:tr>
    </w:tbl>
    <w:p>
      <w:pPr>
        <w:pStyle w:val="940"/>
        <w:jc w:val="both"/>
        <w:rPr>
          <w:rFonts w:eastAsia="Times New Roman"/>
        </w:rPr>
      </w:pPr>
      <w:r>
        <w:rPr>
          <w:rFonts w:eastAsia="Times New Roman"/>
        </w:rPr>
        <w:t xml:space="preserve"> </w:t>
      </w:r>
      <w:r/>
    </w:p>
    <w:p>
      <w:pPr>
        <w:pStyle w:val="940"/>
        <w:ind w:firstLine="708"/>
        <w:jc w:val="both"/>
        <w:rPr>
          <w:iCs/>
        </w:rPr>
      </w:pPr>
      <w:r>
        <w:rPr>
          <w:iCs/>
        </w:rPr>
        <w:t xml:space="preserve">При анализе заданий базового ур</w:t>
      </w:r>
      <w:r>
        <w:rPr>
          <w:iCs/>
        </w:rPr>
        <w:t xml:space="preserve">овня с наименьшими процентами выполнения, выделяется задание 4 (45,7%), которое показывает уровень понимания и освоения процессов, происходящих в атмосфере. Роль климатообразующих процессов при формировании климата Земли не была раскрыта. Поэтому не достат</w:t>
      </w:r>
      <w:r>
        <w:rPr>
          <w:iCs/>
        </w:rPr>
        <w:t xml:space="preserve">очно раскрыты причинно-следственные связи географических явлений и процессов в геосферах. Не выявлена степень влияния антропогенеза на природно-территориальные комплексы. Это привело к неправильной трактовке учения о географической зональности и поясности.</w:t>
      </w:r>
      <w:r/>
    </w:p>
    <w:p>
      <w:pPr>
        <w:pStyle w:val="940"/>
        <w:ind w:firstLine="708"/>
        <w:jc w:val="both"/>
        <w:rPr>
          <w:iCs/>
        </w:rPr>
      </w:pPr>
      <w:r>
        <w:rPr>
          <w:iCs/>
        </w:rPr>
        <w:t xml:space="preserve">Задание 14 (47,89%) раскрывает усвоение элемента содержания природно-хозяйственного районирования России, регионов России, а</w:t>
      </w:r>
      <w:r>
        <w:rPr>
          <w:iCs/>
        </w:rPr>
        <w:t xml:space="preserve"> также особенностей географического положения, природы, населения, хозяйства и история развития Юга Европейской части страны при этом освоенными знаниями и умениями являются понимание особенностей природно-хозяйственных зон и географических районов России.</w:t>
      </w:r>
      <w:r/>
    </w:p>
    <w:p>
      <w:pPr>
        <w:pStyle w:val="940"/>
        <w:ind w:firstLine="708"/>
        <w:jc w:val="both"/>
        <w:rPr>
          <w:iCs/>
        </w:rPr>
      </w:pPr>
      <w:r>
        <w:rPr>
          <w:iCs/>
        </w:rPr>
        <w:t xml:space="preserve">Анализ заданий базового уровня сложности показывает, что в среднем учащиеся достаточно усвоили следующие элементы содержания: географические модели, географическую карту, план ме</w:t>
      </w:r>
      <w:r>
        <w:rPr>
          <w:iCs/>
        </w:rPr>
        <w:t xml:space="preserve">стности; природные ресурсы, рациональное и нерациональное природопользование, особенности воздействия на окружающую среду различных сфер и отраслей хозяйства; типы климата, факторы их формирования, климатические пояса России; климат и хозяйственную деятель</w:t>
      </w:r>
      <w:r>
        <w:rPr>
          <w:iCs/>
        </w:rPr>
        <w:t xml:space="preserve">ность людей; Земля как планета, движение Земли; Мировой океан и его части; уровень и качество жизни населения; размещение населения России; структуру занятости населения; отраслевую структуру хозяйства; особенности природно-ресурсного потенциала, населения</w:t>
      </w:r>
      <w:r>
        <w:rPr>
          <w:iCs/>
        </w:rPr>
        <w:t xml:space="preserve">, хозяйства, культуры крупных стран мира; городское и сельское население, города; миграцию и ее основные направления и типы в мире; мировое хозяйство, хозяйство и регионы России; административно-территориальное устройство России, столицы и крупные города. </w:t>
      </w:r>
      <w:r/>
    </w:p>
    <w:p>
      <w:pPr>
        <w:pStyle w:val="940"/>
        <w:ind w:firstLine="708"/>
        <w:jc w:val="both"/>
      </w:pPr>
      <w:r>
        <w:t xml:space="preserve">Достаточно освоенными видами деятельности среди выполненных заданий базового </w:t>
      </w:r>
      <w:r>
        <w:rPr>
          <w:iCs/>
        </w:rPr>
        <w:t xml:space="preserve">уровня сложности можно отнести: умение определять на карте географические координаты; знание и понимание природных и антр</w:t>
      </w:r>
      <w:r>
        <w:rPr>
          <w:iCs/>
        </w:rPr>
        <w:t xml:space="preserve">опогенных причин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знание и понимание географических явлений и процессов в геосфер</w:t>
      </w:r>
      <w:r>
        <w:rPr>
          <w:iCs/>
        </w:rPr>
        <w:t xml:space="preserve">ах, взаимосвязи между ними, их изменение в результате деятельности человека; географической зональности и поясности; знание и понимание географических особенностей природы России; знание и понимание географических следствий движений Земли; умение определят</w:t>
      </w:r>
      <w:r>
        <w:rPr>
          <w:iCs/>
        </w:rPr>
        <w:t xml:space="preserve">ь на карте местоположение географических объектов; знание и понимание численности и динамики населения стран мира и умение оценивать демографическую ситуацию отдельных стран и регионов мира; знание и понимание географических особенностей населения России и</w:t>
      </w:r>
      <w:r>
        <w:rPr>
          <w:iCs/>
        </w:rPr>
        <w:t xml:space="preserve"> умение оценивать территориальную концентрацию населения; умение анализировать географические особенности отраслевой и территориальной структуры мирового хозяйства; знание и понимание географической специфики отдельных стран и регионов; их различия по уров</w:t>
      </w:r>
      <w:r>
        <w:rPr>
          <w:iCs/>
        </w:rPr>
        <w:t xml:space="preserve">ню социально-экономического развития, специализации в системе международного географического разделения труда; умение выделять и описывать существенные признаки географических объектов и явлений; умение определять и сравнивать по разным источникам информац</w:t>
      </w:r>
      <w:r>
        <w:rPr>
          <w:iCs/>
        </w:rPr>
        <w:t xml:space="preserve">ии тенденции развития сельского хозяйства России; умение определять на плане и карте расстояние; использовать приобретенные знания для чтения и анализа климатических карт; знание и понимание административно-территориального устройства Российской Федерации.</w:t>
      </w:r>
      <w:r/>
    </w:p>
    <w:p>
      <w:pPr>
        <w:pStyle w:val="940"/>
        <w:ind w:firstLine="708"/>
        <w:jc w:val="both"/>
      </w:pPr>
      <w:r>
        <w:rPr>
          <w:iCs/>
        </w:rPr>
        <w:t xml:space="preserve">Среди заданий повышенного и высокого уровней сложности средний процент выполнения составляет более 15 %, что свидетельствует об успешном усвоении следующих элементов содержания: </w:t>
      </w:r>
      <w:r>
        <w:t xml:space="preserve">Ведущие страны – экспортеры основных видов промышленной продукции;</w:t>
      </w:r>
      <w:r>
        <w:rPr>
          <w:color w:val="000000"/>
        </w:rPr>
        <w:t xml:space="preserve"> Часовые зоны;</w:t>
      </w:r>
      <w:r>
        <w:t xml:space="preserve"> Природно-хозяйственное районирование России. Регионы России; </w:t>
      </w:r>
      <w:r>
        <w:rPr>
          <w:bCs/>
        </w:rPr>
        <w:t xml:space="preserve">Природные ресурсы; </w:t>
      </w:r>
      <w:r>
        <w:rPr>
          <w:color w:val="000000"/>
        </w:rPr>
        <w:t xml:space="preserve">Этапы геологической истории земной коры. Геологическая хронология;  Особенности природно-ресурсного потенциала, населения, хозяйства, культуры крупных стран мира; Природно-хозяйственное районирование России. Регионы России</w:t>
      </w:r>
      <w:r>
        <w:rPr>
          <w:rFonts w:eastAsia="TimesNewRomanPSMT;Times New Roman"/>
        </w:rPr>
        <w:t xml:space="preserve">; Географические модели. Географическая карта, план местности;</w:t>
      </w:r>
      <w:r>
        <w:t xml:space="preserve">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w:t>
      </w:r>
      <w:r>
        <w:t xml:space="preserve">Рациональное и нерациональное природопользование. Особенности воздействия на окружающую среду различных сфер и отраслей хозяйств;  Атмосфера. Распределение тепла и влаги на Земле. Погода и климат. Широтная зональность, цикличность и ритмичность процессов; </w:t>
      </w:r>
      <w:r>
        <w:rPr>
          <w:color w:val="000000"/>
        </w:rPr>
        <w:t xml:space="preserve">География основных отраслей производственной и не производственной сфер;</w:t>
      </w:r>
      <w:r>
        <w:t xml:space="preserve"> </w:t>
      </w:r>
      <w:r>
        <w:rPr>
          <w:color w:val="000000"/>
        </w:rPr>
        <w:t xml:space="preserve">Земля, как планета, современный облик планеты Земля. Форма, размеры и движение Земли</w:t>
      </w:r>
      <w:r>
        <w:t xml:space="preserve">; Численность населения России;</w:t>
      </w:r>
      <w:r>
        <w:rPr>
          <w:color w:val="000000"/>
        </w:rPr>
        <w:t xml:space="preserve"> Направление и типы миграции.</w:t>
      </w:r>
      <w:r/>
    </w:p>
    <w:p>
      <w:pPr>
        <w:pStyle w:val="940"/>
        <w:ind w:firstLine="708"/>
        <w:jc w:val="both"/>
      </w:pPr>
      <w:r>
        <w:t xml:space="preserve">К успешно освоенным видам деятельности среди выполненных заданий повышенного и высокого уровней сложности можно отнести: знание и понимание специализации стран в системе международного географического разделения труда (производители природного газа); н</w:t>
      </w:r>
      <w:r>
        <w:t xml:space="preserve">авыки использования приобретенных знаний и умений в практической деятельности и повседневной жизни для определения различий во времени; умение определять и сравнивать по имеющимся источникам информации основные географические тенденции развития социально -</w:t>
      </w:r>
      <w:r>
        <w:t xml:space="preserve">экономических объектов, процессов и явлений; умение оценивать ресурсообеспеченность отдельных стран и регионов мира; знание и понимание смысла основных теоретических категорий и понятий; умение выделять существенные признаки географических объектов и явлен</w:t>
      </w:r>
      <w:r>
        <w:t xml:space="preserve">ий; умение определять на плане и  карте направление; умение составлять картосхемы, модели, простейшие карты и профили; умение объяснять существенные признаки географических объектов и явлений, объяснять демографическую ситуацию отдельных стран и регионов м</w:t>
      </w:r>
      <w:r>
        <w:t xml:space="preserve">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объяснения разнообразных явлений (текущих событий и ситуаций) в окружающей среде на основе их ге</w:t>
      </w:r>
      <w:r>
        <w:t xml:space="preserve">ографической и геоэкологической экспертизы; навыки использования приобретенных знаний и умений в практической деятельности и повседневной жизни для анализа и оценки разных территорий с точки зрения взаимосвязей природных, социально-экономических, техногенн</w:t>
      </w:r>
      <w:r>
        <w:t xml:space="preserve">ых объектов и процессов, исходя из пространственно-временнόго их развития; знание и понимание географического следствия движения Земли; умение находить и анализировать информацию, необходимую для изучения обеспеченности территорий человеческими ресурсами. </w:t>
      </w:r>
      <w:r/>
    </w:p>
    <w:p>
      <w:pPr>
        <w:pStyle w:val="940"/>
        <w:numPr>
          <w:ilvl w:val="2"/>
          <w:numId w:val="38"/>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contextualSpacing/>
        <w:jc w:val="both"/>
        <w:spacing w:before="0" w:after="0"/>
        <w:rPr>
          <w:rFonts w:eastAsia="Times New Roman"/>
          <w:bCs/>
          <w:iCs/>
        </w:rPr>
      </w:pPr>
      <w:r>
        <w:rPr>
          <w:rFonts w:eastAsia="Times New Roman"/>
          <w:bCs/>
          <w:iCs/>
        </w:rPr>
      </w:r>
      <w:r/>
    </w:p>
    <w:p>
      <w:pPr>
        <w:pStyle w:val="940"/>
        <w:contextualSpacing/>
        <w:ind w:firstLine="708"/>
        <w:jc w:val="both"/>
        <w:spacing w:before="0" w:after="0"/>
        <w:rPr>
          <w:rFonts w:eastAsia="Times New Roman"/>
          <w:bCs/>
          <w:iCs/>
        </w:rPr>
      </w:pPr>
      <w:r>
        <w:rPr>
          <w:rFonts w:eastAsia="Times New Roman"/>
          <w:bCs/>
          <w:iCs/>
        </w:rPr>
        <w:t xml:space="preserve">Наиболее сложными для участников ЕГЭ оказались задания:</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3 - Природные ресурсы. Рациональное и нерациональное природопользование. Особенности воздействия на окружающую среду различн</w:t>
      </w:r>
      <w:r>
        <w:rPr>
          <w:rFonts w:eastAsia="Times New Roman"/>
          <w:bCs/>
          <w:iCs/>
        </w:rPr>
        <w:t xml:space="preserve">ых сфер и отраслей хозяйства /Знать и понимать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r/>
    </w:p>
    <w:p>
      <w:pPr>
        <w:pStyle w:val="940"/>
        <w:contextualSpacing/>
        <w:ind w:firstLine="708"/>
        <w:jc w:val="both"/>
        <w:spacing w:before="0" w:after="0"/>
        <w:rPr>
          <w:rFonts w:eastAsia="Times New Roman"/>
          <w:bCs/>
          <w:iCs/>
        </w:rPr>
      </w:pPr>
      <w:r>
        <w:rPr>
          <w:rFonts w:eastAsia="Times New Roman"/>
          <w:bCs/>
          <w:iCs/>
        </w:rPr>
        <w:t xml:space="preserve">Не полностью усвоены знания о причинах возникновения геоэкологических проблем и об основах рационально природопользования (задание 3). Более половины участников ЕГЭ знают, что одной из</w:t>
      </w:r>
      <w:r>
        <w:rPr>
          <w:rFonts w:eastAsia="Times New Roman"/>
          <w:bCs/>
          <w:iCs/>
        </w:rPr>
        <w:t xml:space="preserve"> основных причин глобальных изменений климата считается увеличение содержания углекислого газа в составе атмосферы, но при этом не признают примером рационального природопользования рекультивацию земель на месте карьеров и терриконов в районах добычи угля.</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5 - Типы климата, факторы их формирования, климатические пояса России. Климат и хозяйственная деятельность людей/ Знать и понимать географические особенности природы России </w:t>
      </w:r>
      <w:r/>
    </w:p>
    <w:p>
      <w:pPr>
        <w:pStyle w:val="940"/>
        <w:contextualSpacing/>
        <w:ind w:firstLine="708"/>
        <w:jc w:val="both"/>
        <w:spacing w:before="0" w:after="0"/>
        <w:rPr>
          <w:rFonts w:eastAsia="Times New Roman"/>
          <w:bCs/>
          <w:iCs/>
        </w:rPr>
      </w:pPr>
      <w:r>
        <w:rPr>
          <w:rFonts w:eastAsia="Times New Roman"/>
          <w:bCs/>
          <w:iCs/>
        </w:rPr>
        <w:t xml:space="preserve">Знают и понимают географические особенности природы России и основные закономерности распределения тепла и влаги по ее территории только 33 % участников ЕГЭ. </w:t>
      </w:r>
      <w:r/>
    </w:p>
    <w:p>
      <w:pPr>
        <w:pStyle w:val="940"/>
        <w:contextualSpacing/>
        <w:ind w:firstLine="708"/>
        <w:jc w:val="both"/>
        <w:spacing w:before="0" w:after="0"/>
        <w:rPr>
          <w:rFonts w:eastAsia="Times New Roman"/>
          <w:bCs/>
          <w:iCs/>
        </w:rPr>
      </w:pPr>
      <w:r>
        <w:rPr>
          <w:rFonts w:eastAsia="Times New Roman"/>
          <w:bCs/>
          <w:iCs/>
        </w:rPr>
        <w:t xml:space="preserve">Существенным недостатком подготовки участников экзамена является слабое владение понятийным аппаратом физической географии и недостаточное понимание географических явлений и процессов в геосферах. Многие экзаменуемые механически применяют знания </w:t>
      </w:r>
      <w:r>
        <w:rPr>
          <w:rFonts w:eastAsia="Times New Roman"/>
          <w:bCs/>
          <w:iCs/>
        </w:rPr>
        <w:t xml:space="preserve">о зональных закономерностях распределения тепла и влаги, смены природных комплексов, что приводит к ложным представлениям (например, участники ошибочно утверждали, что Мурманск – замерзающий порт, что в Забайкалье зима теплее, чем в Ленинградской области).</w:t>
      </w:r>
      <w:r/>
    </w:p>
    <w:p>
      <w:pPr>
        <w:pStyle w:val="940"/>
        <w:contextualSpacing/>
        <w:ind w:firstLine="708"/>
        <w:jc w:val="both"/>
        <w:spacing w:before="0" w:after="0"/>
        <w:rPr>
          <w:rFonts w:eastAsia="Times New Roman"/>
          <w:bCs/>
          <w:iCs/>
        </w:rPr>
      </w:pPr>
      <w:r>
        <w:rPr>
          <w:rFonts w:eastAsia="Times New Roman"/>
          <w:bCs/>
          <w:iCs/>
        </w:rPr>
        <w:t xml:space="preserve">Неуверенное владение географической терминологией, неполное знание признаков географических процессов и явлений ведут к искаженному восприятию этих процессов, затрудняют успешное продви</w:t>
      </w:r>
      <w:r>
        <w:rPr>
          <w:rFonts w:eastAsia="Times New Roman"/>
          <w:bCs/>
          <w:iCs/>
        </w:rPr>
        <w:t xml:space="preserve">жение обучающихся по образовательной траектории и препятствуют формированию научной картины мира. Необходимо обязательный промежуточный и входной контроль знаний и умений, полученных в предыдущие годы. После выявления пробелов – работа по их устранению.   </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6 - Земля как планета. Движение Земли. /Знать и понимать географические следствия движений Земли.</w:t>
      </w:r>
      <w:r/>
    </w:p>
    <w:p>
      <w:pPr>
        <w:pStyle w:val="940"/>
        <w:contextualSpacing/>
        <w:ind w:firstLine="708"/>
        <w:jc w:val="both"/>
        <w:spacing w:before="0" w:after="0"/>
        <w:rPr>
          <w:rFonts w:eastAsia="Times New Roman"/>
          <w:bCs/>
          <w:iCs/>
        </w:rPr>
      </w:pPr>
      <w:r>
        <w:rPr>
          <w:rFonts w:eastAsia="Times New Roman"/>
          <w:bCs/>
          <w:iCs/>
        </w:rPr>
        <w:t xml:space="preserve">Задания, проверявшие содержан</w:t>
      </w:r>
      <w:r>
        <w:rPr>
          <w:rFonts w:eastAsia="Times New Roman"/>
          <w:bCs/>
          <w:iCs/>
        </w:rPr>
        <w:t xml:space="preserve">ие раздела «Природа Земли и человек», традиционно вызывают затруднения у участников ЕГЭ. Понимание закономерностей изменения продолжительности дня и ночи по временам года в зависимости от широты места (задание 6) успешно выполнили около 40% участников ЕГЭ.</w:t>
      </w:r>
      <w:r/>
    </w:p>
    <w:p>
      <w:pPr>
        <w:pStyle w:val="940"/>
        <w:contextualSpacing/>
        <w:ind w:firstLine="708"/>
        <w:jc w:val="both"/>
        <w:spacing w:before="0" w:after="0"/>
        <w:rPr>
          <w:rFonts w:eastAsia="Times New Roman"/>
          <w:bCs/>
          <w:iCs/>
        </w:rPr>
      </w:pPr>
      <w:r>
        <w:rPr>
          <w:rFonts w:eastAsia="Times New Roman"/>
          <w:bCs/>
          <w:iCs/>
        </w:rPr>
        <w:t xml:space="preserve">Теоретические знания о пространственных, причинно-следственных связях между географическими объектами и явлениями усвоены выпускниками значительно хуже, что заметно на примере задания 6. </w:t>
      </w:r>
      <w:r/>
    </w:p>
    <w:p>
      <w:pPr>
        <w:pStyle w:val="940"/>
        <w:contextualSpacing/>
        <w:ind w:firstLine="708"/>
        <w:jc w:val="both"/>
        <w:spacing w:before="0" w:after="0"/>
      </w:pPr>
      <w:r>
        <w:rPr>
          <w:rFonts w:eastAsia="Times New Roman"/>
          <w:bCs/>
          <w:iCs/>
        </w:rPr>
        <w:t xml:space="preserve">Понимание географических следствий формы, размеров и движений Земли являются базовыми для понимания всех географических закономерностей. Об отсутствии понимания географических следствий годового движения Земли при наклонном положении ее оси 36% участн</w:t>
      </w:r>
      <w:r>
        <w:rPr>
          <w:rFonts w:eastAsia="Times New Roman"/>
          <w:bCs/>
          <w:iCs/>
        </w:rPr>
        <w:t xml:space="preserve">иков экзамена свидетельствует то, что они не могут применить знания о положении Солнца над горизонтом на разных параллелях в течение года для сравнения продолжительности светового дня, высоты Солнца над горизонтом. Причинами ошибок является наличие у некот</w:t>
      </w:r>
      <w:r>
        <w:rPr>
          <w:rFonts w:eastAsia="Times New Roman"/>
          <w:bCs/>
          <w:iCs/>
        </w:rPr>
        <w:t xml:space="preserve">орых из них неверных представлений о прямой взаимосвязи между высотой Солнца над горизонтом и продолжительностью дня на разных широтах (связаны с непониманием географической сущности понятий «тропик», «полярный круг»). Сложности с выполнением этих заданий </w:t>
      </w:r>
      <w:r>
        <w:rPr>
          <w:rFonts w:eastAsia="Times New Roman"/>
          <w:bCs/>
          <w:iCs/>
        </w:rPr>
        <w:t xml:space="preserve">связаны с тем, что обучающиеся не понимают, какие из изученных закономерностей им следует применить для решения данной задачи, что свидетельствует о неглубоком усвоении данных знаний даже на репродуктивном уровне. Знают и понимают географические следствия.</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8 - Уровень и качество жизни населения /Знать и понимать численность и динамику населения стран мира и умение оценивать демографическую ситуацию отдельных стран и регионов мира.</w:t>
      </w:r>
      <w:r/>
    </w:p>
    <w:p>
      <w:pPr>
        <w:pStyle w:val="940"/>
        <w:contextualSpacing/>
        <w:ind w:firstLine="708"/>
        <w:jc w:val="both"/>
        <w:spacing w:before="0" w:after="0"/>
        <w:rPr>
          <w:rFonts w:eastAsia="Times New Roman"/>
          <w:bCs/>
          <w:iCs/>
        </w:rPr>
      </w:pPr>
      <w:r>
        <w:rPr>
          <w:rFonts w:eastAsia="Times New Roman"/>
          <w:bCs/>
          <w:iCs/>
        </w:rPr>
        <w:t xml:space="preserve">Недостаточ</w:t>
      </w:r>
      <w:r>
        <w:rPr>
          <w:rFonts w:eastAsia="Times New Roman"/>
          <w:bCs/>
          <w:iCs/>
        </w:rPr>
        <w:t xml:space="preserve">но полно продемонстрировали умения применять математические знания для расчетов, наличие которых является четким критерием в оценивании задания. Типичные ошибки при выполнении подобных заданий связаны, главным образом, с неверным пониманием взаимозависимос</w:t>
      </w:r>
      <w:r>
        <w:rPr>
          <w:rFonts w:eastAsia="Times New Roman"/>
          <w:bCs/>
          <w:iCs/>
        </w:rPr>
        <w:t xml:space="preserve">тей между показателями рождаемости населения, возрастной структурой и смертностью, продолжительностью жизни и возрастной структурой населения. Многие выпускники пытаются объяснить сравнительно высокую смертность в развитых странах экологическими причинами.</w:t>
      </w:r>
      <w:r/>
    </w:p>
    <w:p>
      <w:pPr>
        <w:pStyle w:val="940"/>
        <w:contextualSpacing/>
        <w:ind w:firstLine="708"/>
        <w:jc w:val="both"/>
        <w:spacing w:before="0" w:after="0"/>
        <w:rPr>
          <w:rFonts w:eastAsia="Times New Roman"/>
          <w:bCs/>
          <w:iCs/>
        </w:rPr>
      </w:pPr>
      <w:r>
        <w:rPr>
          <w:rFonts w:eastAsia="Times New Roman"/>
          <w:bCs/>
          <w:iCs/>
        </w:rPr>
        <w:t xml:space="preserve">Существенно повысить уровень подготовки выпускников по экономической и социальной географии можно, оказав им помощь в систематизации их знаний о типологических особенностях населения групп стран, выделяемых внутри групп р</w:t>
      </w:r>
      <w:r>
        <w:rPr>
          <w:rFonts w:eastAsia="Times New Roman"/>
          <w:bCs/>
          <w:iCs/>
        </w:rPr>
        <w:t xml:space="preserve">азвитых и развивающихся стран. Можно рекомендовать обучающимся, используя статистические данные, самостоятельно сравнить показатели рождаемости и естественного прироста населения в развитых странах Африки, с одной стороны, и Латинской Америки – с другой. О</w:t>
      </w:r>
      <w:r>
        <w:rPr>
          <w:rFonts w:eastAsia="Times New Roman"/>
          <w:bCs/>
          <w:iCs/>
        </w:rPr>
        <w:t xml:space="preserve">дин из недостатков подготовки выпускников из этой группы – неумение сопоставлять и интерпретировать географическую информацию, поэтому, кроме общих выводов по результатам сравнения, рекомендуется также предложить обучающимся объяснять выявленные различия. </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9 - </w:t>
      </w:r>
      <w:r>
        <w:rPr>
          <w:rFonts w:eastAsia="Times New Roman"/>
          <w:bCs/>
          <w:iCs/>
        </w:rPr>
        <w:t xml:space="preserve">Размещение населения России / Знать и понимать географические особенности населения России и уметь оценивать территориальную концентрацию населения. Задание базового уровня сложности, где проверялось умение оценивать территориальную концентрацию населения.</w:t>
      </w:r>
      <w:r/>
    </w:p>
    <w:p>
      <w:pPr>
        <w:pStyle w:val="940"/>
        <w:contextualSpacing/>
        <w:ind w:firstLine="708"/>
        <w:jc w:val="both"/>
        <w:spacing w:before="0" w:after="0"/>
        <w:rPr>
          <w:rFonts w:eastAsia="Times New Roman"/>
          <w:bCs/>
          <w:iCs/>
        </w:rPr>
      </w:pPr>
      <w:r>
        <w:rPr>
          <w:rFonts w:eastAsia="Times New Roman"/>
          <w:bCs/>
          <w:iCs/>
        </w:rPr>
        <w:t xml:space="preserve">Типичные ошибки участников экзамена по теме «Население России» обусловлены ложным представлением о том, что в Азиат</w:t>
      </w:r>
      <w:r>
        <w:rPr>
          <w:rFonts w:eastAsia="Times New Roman"/>
          <w:bCs/>
          <w:iCs/>
        </w:rPr>
        <w:t xml:space="preserve">ской части страны повсеместно плотность населения очень низкая. Причины формирования таких представлений могут быть связаны тем, что при изучении географических районов Азиатской части страны обращается внимание на то, что значение показателя средней плотн</w:t>
      </w:r>
      <w:r>
        <w:rPr>
          <w:rFonts w:eastAsia="Times New Roman"/>
          <w:bCs/>
          <w:iCs/>
        </w:rPr>
        <w:t xml:space="preserve">ости населения в этих районах ниже среднего по стране. При изучении всех географических районов рекомендуется выделять для каждого из них входящие в них регионы с максимальной и минимальной плотностью населения. Это будет способствовать формированию предст</w:t>
      </w:r>
      <w:r>
        <w:rPr>
          <w:rFonts w:eastAsia="Times New Roman"/>
          <w:bCs/>
          <w:iCs/>
        </w:rPr>
        <w:t xml:space="preserve">авлений о том, что и в Европейской части страны есть регионы с низкой (ниже средней по стране) плотностью населения (Архангельская и Мурманская области, Республики Карелия, Коми и Калмыкия), а также о том, что и за Уралом есть достаточно густонаселенные ре</w:t>
      </w:r>
      <w:r>
        <w:rPr>
          <w:rFonts w:eastAsia="Times New Roman"/>
          <w:bCs/>
          <w:iCs/>
        </w:rPr>
        <w:t xml:space="preserve">гионы. В целях профилактики таких ошибок, связанных с непониманием особенностей компонентов природных зон России, рекомендуется проводить сравнение природных зон по определенным параметрам (количеству гумуса в почве, плодородию почвы, степени увлажнения). </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10 - Структура занятости населения. Отраслевая структура хозяйства /Умение географические особенности отраслевой и территориальной структуры мирового хозяйства</w:t>
      </w:r>
      <w:r/>
    </w:p>
    <w:p>
      <w:pPr>
        <w:pStyle w:val="940"/>
        <w:contextualSpacing/>
        <w:jc w:val="both"/>
        <w:spacing w:before="0" w:after="0"/>
        <w:rPr>
          <w:rFonts w:eastAsia="Times New Roman"/>
          <w:bCs/>
          <w:iCs/>
        </w:rPr>
      </w:pPr>
      <w:r>
        <w:rPr>
          <w:rFonts w:eastAsia="Times New Roman"/>
          <w:bCs/>
          <w:iCs/>
        </w:rPr>
        <w:t xml:space="preserve">При изучении курса «Экономическая и социальная география мира» необходимо провести предусмотренную программой практическую работу по определению ресурсообеспеченности какой-либо страны с разными видами природных ресурсов. На п</w:t>
      </w:r>
      <w:r>
        <w:rPr>
          <w:rFonts w:eastAsia="Times New Roman"/>
          <w:bCs/>
          <w:iCs/>
        </w:rPr>
        <w:t xml:space="preserve">римере США, Канады или Китая обучающимся можно предложить рассчитать показатель ресурсообеспеченности водными, лесными и земельными ресурсами, нефтью и каменным углем. Обязательно следует провести анализ результатов работы с индивидуальным разбором ошибок.</w:t>
      </w:r>
      <w:r/>
    </w:p>
    <w:p>
      <w:pPr>
        <w:pStyle w:val="940"/>
        <w:contextualSpacing/>
        <w:ind w:firstLine="708"/>
        <w:jc w:val="both"/>
        <w:spacing w:before="0" w:after="0"/>
      </w:pPr>
      <w:r>
        <w:rPr>
          <w:rFonts w:eastAsia="Times New Roman"/>
          <w:bCs/>
          <w:iCs/>
        </w:rPr>
        <w:t xml:space="preserve">№ </w:t>
      </w:r>
      <w:r>
        <w:rPr>
          <w:rFonts w:eastAsia="Times New Roman"/>
          <w:bCs/>
          <w:iCs/>
        </w:rPr>
        <w:t xml:space="preserve">14 - Природно-хоз</w:t>
      </w:r>
      <w:r>
        <w:rPr>
          <w:rFonts w:eastAsia="Times New Roman"/>
          <w:bCs/>
          <w:iCs/>
        </w:rPr>
        <w:t xml:space="preserve">яйственное районирование России. Регионы России. Особенности географического положения, природы, населения, хозяйства и история развития Юга Европейской части страны / Знать и понимать особенности природно-хозяйственных зон и географических районов России.</w:t>
      </w:r>
      <w:r/>
    </w:p>
    <w:p>
      <w:pPr>
        <w:pStyle w:val="940"/>
        <w:contextualSpacing/>
        <w:ind w:firstLine="708"/>
        <w:jc w:val="both"/>
        <w:spacing w:before="0" w:after="0"/>
        <w:rPr>
          <w:rFonts w:eastAsia="Times New Roman"/>
          <w:bCs/>
          <w:iCs/>
        </w:rPr>
      </w:pPr>
      <w:r>
        <w:rPr>
          <w:rFonts w:eastAsia="Times New Roman"/>
          <w:bCs/>
          <w:iCs/>
        </w:rPr>
        <w:t xml:space="preserve">Анализ выполнения задания 14 свидетельствует о не высоких результатах большинством экзаменуемых требованиям стандарта о знании основных особенностей географии сельского хозяйства, промышленности и транспортной системы России, о роли, месте на</w:t>
      </w:r>
      <w:r>
        <w:rPr>
          <w:rFonts w:eastAsia="Times New Roman"/>
          <w:bCs/>
          <w:iCs/>
        </w:rPr>
        <w:t xml:space="preserve">шей страны в международном географическом разделении труда. 20% участников продемонстрировали знания о России, о городах, производителей черных металлов, об особенностях структуры хозяйства страны, о демографической ситуации в сравнении с другими странами.</w:t>
      </w:r>
      <w:r/>
    </w:p>
    <w:p>
      <w:pPr>
        <w:pStyle w:val="940"/>
        <w:contextualSpacing/>
        <w:ind w:firstLine="708"/>
        <w:jc w:val="both"/>
        <w:spacing w:before="0" w:after="0"/>
        <w:rPr>
          <w:rFonts w:eastAsia="Times New Roman"/>
          <w:bCs/>
          <w:iCs/>
        </w:rPr>
      </w:pPr>
      <w:r>
        <w:rPr>
          <w:rFonts w:eastAsia="Times New Roman"/>
          <w:bCs/>
          <w:iCs/>
        </w:rPr>
        <w:t xml:space="preserve">Участники ЕГЭ по географии по-прежнему с трудом видят «маркеры» территорий, природно-хозяйственных районов, уникальность сочетания географических характеристик, как следствие не могут определить страну или субъект РФ. </w:t>
      </w:r>
      <w:r/>
    </w:p>
    <w:p>
      <w:pPr>
        <w:pStyle w:val="940"/>
        <w:contextualSpacing/>
        <w:ind w:firstLine="708"/>
        <w:jc w:val="both"/>
        <w:spacing w:before="0" w:after="0"/>
        <w:rPr>
          <w:rFonts w:eastAsia="Times New Roman"/>
          <w:bCs/>
          <w:iCs/>
        </w:rPr>
      </w:pPr>
      <w:r>
        <w:rPr>
          <w:rFonts w:eastAsia="Times New Roman"/>
          <w:bCs/>
          <w:iCs/>
        </w:rPr>
        <w:t xml:space="preserve">Экзаменуемые не знают, что на бό</w:t>
      </w:r>
      <w:r>
        <w:rPr>
          <w:rFonts w:eastAsia="Times New Roman"/>
          <w:bCs/>
          <w:iCs/>
        </w:rPr>
        <w:t xml:space="preserve">льшей части территории Европейского Севера России распространена тайга, но при этом считают, что бόльшая часть его территории находится в пределах зоны вечной (многолетней) мерзлоты. Почти половина участников экзамена не знают, что Восточная Сибирь являетс</w:t>
      </w:r>
      <w:r>
        <w:rPr>
          <w:rFonts w:eastAsia="Times New Roman"/>
          <w:bCs/>
          <w:iCs/>
        </w:rPr>
        <w:t xml:space="preserve">я крупным районом производства таких цветных металлов, как медь и алюминий; почти треть экзаменуемых не знают, что огромные территории в этом районе практически не заселены. Складывается представление, что отмеченные выше недостатки подготовки связаны с те</w:t>
      </w:r>
      <w:r>
        <w:rPr>
          <w:rFonts w:eastAsia="Times New Roman"/>
          <w:bCs/>
          <w:iCs/>
        </w:rPr>
        <w:t xml:space="preserve">м, что обучающиеся просто не знают состава территории географических районов страны, имеют весьма смутные пространственные представления об их границах и положении на карте. Недостаточно сформированы знания о размещении основных отраслей промышленности Рос</w:t>
      </w:r>
      <w:r>
        <w:rPr>
          <w:rFonts w:eastAsia="Times New Roman"/>
          <w:bCs/>
          <w:iCs/>
        </w:rPr>
        <w:t xml:space="preserve">сии. В первую очередь это касается таких отраслей промышленности, как цветная металлургия, электроэнергетика, добыча каменного угля, химическая промышленность: лишь 20% участников ЕГЭ знают, что крупнейшим центром цветной металлургии России является Нориль</w:t>
      </w:r>
      <w:r>
        <w:rPr>
          <w:rFonts w:eastAsia="Times New Roman"/>
          <w:bCs/>
          <w:iCs/>
        </w:rPr>
        <w:t xml:space="preserve">ск, имеют представления о главных центрах алюминиевой промышленности страны. Значительная часть экзаменуемых ошибочно полагают, что крупным районом добычи каменного угля в России является Поволжье, а атомная энергетика получила развитие в Восточной Сибири.</w:t>
      </w:r>
      <w:r/>
    </w:p>
    <w:p>
      <w:pPr>
        <w:pStyle w:val="940"/>
        <w:contextualSpacing/>
        <w:ind w:firstLine="708"/>
        <w:jc w:val="both"/>
        <w:spacing w:before="0" w:after="0"/>
        <w:rPr>
          <w:rFonts w:eastAsia="Times New Roman"/>
          <w:bCs/>
          <w:iCs/>
        </w:rPr>
      </w:pPr>
      <w:r>
        <w:rPr>
          <w:rFonts w:eastAsia="Times New Roman"/>
          <w:bCs/>
          <w:iCs/>
        </w:rPr>
        <w:t xml:space="preserve">Широко распространенное в практике обучения простое заучивание состава территорий районов и нанесение на контурную карту их границ не дост</w:t>
      </w:r>
      <w:r>
        <w:rPr>
          <w:rFonts w:eastAsia="Times New Roman"/>
          <w:bCs/>
          <w:iCs/>
        </w:rPr>
        <w:t xml:space="preserve">игают желаемого результата. Сформированность этого знания возможна только при условии его использования на практике, когда это знание для учащихся из категории цели переходит в категорию средства решения учебной задачи (деятельность). Для реализации этого </w:t>
      </w:r>
      <w:r>
        <w:rPr>
          <w:rFonts w:eastAsia="Times New Roman"/>
          <w:bCs/>
          <w:iCs/>
        </w:rPr>
        <w:t xml:space="preserve">приема рекомендуется при изучении каждого из географических районов предусматривать самостоятельную работу обучающихся с тематическими картами России (а не отдельных районов) для составления кратких характеристик природы и населения географических районов.</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24 - Особенности природно-ресурсного потенциала, населения, хозяйства, культуры крупных стран мира./Уметь выделять существенные признаки географических объектов и явлений.</w:t>
      </w:r>
      <w:r/>
    </w:p>
    <w:p>
      <w:pPr>
        <w:pStyle w:val="940"/>
        <w:contextualSpacing/>
        <w:ind w:firstLine="708"/>
        <w:jc w:val="both"/>
        <w:spacing w:before="0" w:after="0"/>
        <w:rPr>
          <w:rFonts w:eastAsia="Times New Roman"/>
          <w:bCs/>
          <w:iCs/>
        </w:rPr>
      </w:pPr>
      <w:r>
        <w:rPr>
          <w:rFonts w:eastAsia="Times New Roman"/>
          <w:bCs/>
          <w:iCs/>
        </w:rPr>
        <w:t xml:space="preserve">Задание повышенного уровня – определить страну по краткому описанию.</w:t>
      </w:r>
      <w:r/>
    </w:p>
    <w:p>
      <w:pPr>
        <w:pStyle w:val="940"/>
        <w:contextualSpacing/>
        <w:ind w:firstLine="708"/>
        <w:jc w:val="both"/>
        <w:spacing w:before="0" w:after="0"/>
        <w:rPr>
          <w:rFonts w:eastAsia="Times New Roman"/>
          <w:bCs/>
          <w:iCs/>
        </w:rPr>
      </w:pPr>
      <w:r>
        <w:rPr>
          <w:rFonts w:eastAsia="Times New Roman"/>
          <w:bCs/>
          <w:iCs/>
        </w:rPr>
        <w:t xml:space="preserve">Ошибки выпускников могут быть связаны с простым незнанием географической номенклатуры, типов стран по уровню социально-экономического развития. </w:t>
      </w:r>
      <w:r/>
    </w:p>
    <w:p>
      <w:pPr>
        <w:pStyle w:val="940"/>
        <w:contextualSpacing/>
        <w:ind w:firstLine="708"/>
        <w:jc w:val="both"/>
        <w:spacing w:before="0" w:after="0"/>
        <w:rPr>
          <w:rFonts w:eastAsia="Times New Roman"/>
          <w:bCs/>
          <w:iCs/>
        </w:rPr>
      </w:pPr>
      <w:r>
        <w:rPr>
          <w:rFonts w:eastAsia="Times New Roman"/>
          <w:bCs/>
          <w:iCs/>
        </w:rPr>
        <w:t xml:space="preserve">Для устранения этой проблемы в их подготовке можно рекомендовать</w:t>
      </w:r>
      <w:r>
        <w:rPr>
          <w:rFonts w:eastAsia="Times New Roman"/>
          <w:bCs/>
          <w:iCs/>
        </w:rPr>
        <w:t xml:space="preserve"> им провести работу по классификации по группам стран, указанных в приложении учебника, а для закрепления – дать задания по разделению списка стран на две группы. При наличии времени желательно дополнить эту работу нанесением этих стран на контурную карту.</w:t>
      </w:r>
      <w:r/>
    </w:p>
    <w:p>
      <w:pPr>
        <w:pStyle w:val="940"/>
        <w:contextualSpacing/>
        <w:jc w:val="both"/>
        <w:spacing w:before="0" w:after="0"/>
      </w:pPr>
      <w:r>
        <w:rPr>
          <w:rFonts w:eastAsia="Times New Roman"/>
          <w:bCs/>
          <w:iCs/>
        </w:rPr>
        <w:t xml:space="preserve"> </w:t>
      </w:r>
      <w:r>
        <w:rPr>
          <w:rFonts w:eastAsia="Times New Roman"/>
          <w:bCs/>
          <w:iCs/>
        </w:rPr>
        <w:tab/>
        <w:t xml:space="preserve">Существенно повысить уровень подготовки выпускников по экономической и социальной географии можно, оказав им помощь в систематизации их знаний о типологических особенностях населения групп стран, выделяемых внутри групп р</w:t>
      </w:r>
      <w:r>
        <w:rPr>
          <w:rFonts w:eastAsia="Times New Roman"/>
          <w:bCs/>
          <w:iCs/>
        </w:rPr>
        <w:t xml:space="preserve">азвитых и развивающихся стран. Можно рекомендовать обучающимся, используя статистические данные, самостоятельно сравнить показатели рождаемости и естественного прироста населения в развитых странах Африки, с одной стороны, и Латинской Америки – с другой. О</w:t>
      </w:r>
      <w:r>
        <w:rPr>
          <w:rFonts w:eastAsia="Times New Roman"/>
          <w:bCs/>
          <w:iCs/>
        </w:rPr>
        <w:t xml:space="preserve">дин из недостатков подготовки выпускников из этой группы – неумение сопоставлять и интерпретировать географическую информацию, поэтому, кроме общих выводов по результатам сравнения, рекомендуется также предложить обучающимся объяснять выявленные различия. </w:t>
      </w:r>
      <w:r/>
    </w:p>
    <w:p>
      <w:pPr>
        <w:pStyle w:val="940"/>
        <w:contextualSpacing/>
        <w:ind w:firstLine="708"/>
        <w:jc w:val="both"/>
        <w:spacing w:before="0" w:after="0"/>
        <w:rPr>
          <w:rFonts w:eastAsia="Times New Roman"/>
          <w:bCs/>
          <w:iCs/>
        </w:rPr>
      </w:pPr>
      <w:r>
        <w:rPr>
          <w:rFonts w:eastAsia="Times New Roman"/>
          <w:bCs/>
          <w:iCs/>
        </w:rPr>
        <w:t xml:space="preserve">При изучении курса «Экономическая и социальная география мира» необходимо провести предусмотренную программой практическую работу по определению ресурсообеспеченности какой-либо страны с разными видами природных ресурсов. На п</w:t>
      </w:r>
      <w:r>
        <w:rPr>
          <w:rFonts w:eastAsia="Times New Roman"/>
          <w:bCs/>
          <w:iCs/>
        </w:rPr>
        <w:t xml:space="preserve">римере США, Канады или Китая обучающимся можно предложить рассчитать показатель ресурсообеспеченности водными, лесными и земельными ресурсами, нефтью и каменным углем. Обязательно следует провести анализ результатов работы с индивидуальным разбором ошибок.</w:t>
      </w:r>
      <w:r/>
    </w:p>
    <w:p>
      <w:pPr>
        <w:pStyle w:val="940"/>
        <w:contextualSpacing/>
        <w:ind w:firstLine="708"/>
        <w:jc w:val="both"/>
        <w:spacing w:before="0" w:after="0"/>
        <w:rPr>
          <w:rFonts w:eastAsia="Times New Roman"/>
          <w:bCs/>
          <w:iCs/>
        </w:rPr>
      </w:pPr>
      <w:r>
        <w:rPr>
          <w:rFonts w:eastAsia="Times New Roman"/>
          <w:bCs/>
          <w:iCs/>
        </w:rPr>
        <w:t xml:space="preserve">При изучении страноведческого материала о</w:t>
      </w:r>
      <w:r>
        <w:rPr>
          <w:rFonts w:eastAsia="Times New Roman"/>
          <w:bCs/>
          <w:iCs/>
        </w:rPr>
        <w:t xml:space="preserve">собенно в старших классах можно порекомендовать использовать получающую в последнее время распространение в практике технологию «перевернутого учебного процесса». Такая технология вместо традиционных домашних заданий предполагает опережающее самостоятельно</w:t>
      </w:r>
      <w:r>
        <w:rPr>
          <w:rFonts w:eastAsia="Times New Roman"/>
          <w:bCs/>
          <w:iCs/>
        </w:rPr>
        <w:t xml:space="preserve">е изучение обучающимися дома материла учебника, составление характеристик стран по типовому плану с последующей отработкой этого материала в классе в процессе проведения сравнения стран, проведения практических работ, базирующихся на изученном содержании. </w:t>
      </w:r>
      <w:r/>
    </w:p>
    <w:p>
      <w:pPr>
        <w:pStyle w:val="940"/>
        <w:contextualSpacing/>
        <w:ind w:firstLine="708"/>
        <w:jc w:val="both"/>
        <w:spacing w:before="0" w:after="0"/>
        <w:rPr>
          <w:rFonts w:eastAsia="Times New Roman"/>
          <w:bCs/>
          <w:iCs/>
        </w:rPr>
      </w:pPr>
      <w:r>
        <w:rPr>
          <w:rFonts w:eastAsia="Times New Roman"/>
          <w:bCs/>
          <w:iCs/>
        </w:rPr>
        <w:t xml:space="preserve">Повышению степени сформированности представлений о регионах будет способствовать проведение самостоятельных работ обучающихся с т</w:t>
      </w:r>
      <w:r>
        <w:rPr>
          <w:rFonts w:eastAsia="Times New Roman"/>
          <w:bCs/>
          <w:iCs/>
        </w:rPr>
        <w:t xml:space="preserve">ематическими картами атласа по сравнению и объяснению различий природных условий регионов, при отработке знаний о закономерностях изменения природных условий на территории страны, при сравнении особенностей населения и хозяйственной специализации регионов.</w:t>
      </w:r>
      <w:r/>
    </w:p>
    <w:p>
      <w:pPr>
        <w:pStyle w:val="940"/>
        <w:contextualSpacing/>
        <w:ind w:firstLine="708"/>
        <w:jc w:val="both"/>
        <w:spacing w:before="0" w:after="0"/>
        <w:rPr>
          <w:rFonts w:eastAsia="Times New Roman"/>
          <w:bCs/>
          <w:iCs/>
        </w:rPr>
      </w:pPr>
      <w:r>
        <w:rPr>
          <w:rFonts w:eastAsia="Times New Roman"/>
          <w:bCs/>
          <w:iCs/>
        </w:rPr>
        <w:t xml:space="preserve">№ </w:t>
      </w:r>
      <w:r>
        <w:rPr>
          <w:rFonts w:eastAsia="Times New Roman"/>
          <w:bCs/>
          <w:iCs/>
        </w:rPr>
        <w:t xml:space="preserve">32 - Земля, как планета, современный облик планеты Земля. Форма, размеры и движение Земли./ Знать и понимать географические следствия движений Земли</w:t>
      </w:r>
      <w:r/>
    </w:p>
    <w:p>
      <w:pPr>
        <w:pStyle w:val="940"/>
        <w:contextualSpacing/>
        <w:ind w:firstLine="708"/>
        <w:jc w:val="both"/>
        <w:spacing w:before="0" w:after="0"/>
        <w:rPr>
          <w:rFonts w:eastAsia="Times New Roman"/>
          <w:bCs/>
          <w:iCs/>
        </w:rPr>
      </w:pPr>
      <w:r>
        <w:rPr>
          <w:rFonts w:eastAsia="Times New Roman"/>
          <w:bCs/>
          <w:iCs/>
        </w:rPr>
        <w:t xml:space="preserve">В заданиях 32 проверяется знание и понимание географических следствий движений Земли, умение применять данные знания для решения задач. </w:t>
      </w:r>
      <w:r/>
    </w:p>
    <w:p>
      <w:pPr>
        <w:pStyle w:val="940"/>
        <w:contextualSpacing/>
        <w:ind w:firstLine="708"/>
        <w:jc w:val="both"/>
        <w:spacing w:before="0" w:after="0"/>
        <w:rPr>
          <w:rFonts w:eastAsia="Times New Roman"/>
          <w:bCs/>
          <w:iCs/>
        </w:rPr>
      </w:pPr>
      <w:r>
        <w:rPr>
          <w:rFonts w:eastAsia="Times New Roman"/>
          <w:bCs/>
          <w:iCs/>
        </w:rPr>
        <w:t xml:space="preserve">Знания географических следствий формы, размеров и движений Земли являются базовыми для понимания всех географических закономерностей. О непонимании географических следствий движений годового движения Земли</w:t>
      </w:r>
      <w:r>
        <w:rPr>
          <w:rFonts w:eastAsia="Times New Roman"/>
          <w:bCs/>
          <w:iCs/>
        </w:rPr>
        <w:t xml:space="preserve"> при наклонном положении ее оси 17% участников экзамена свидетельствует то, что они не могут применить знания о положении Солнца над горизонтом на разных параллелях в течение года для сравнения продолжительности светового дня, высоты Солнца над горизонтом.</w:t>
      </w:r>
      <w:r/>
    </w:p>
    <w:p>
      <w:pPr>
        <w:pStyle w:val="940"/>
        <w:contextualSpacing/>
        <w:ind w:firstLine="708"/>
        <w:jc w:val="both"/>
        <w:spacing w:before="0" w:after="0"/>
      </w:pPr>
      <w:r>
        <w:rPr>
          <w:rFonts w:eastAsia="Times New Roman"/>
          <w:bCs/>
          <w:iCs/>
        </w:rPr>
        <w:t xml:space="preserve">Пример из КИМ: Определите географическую долготу пункта, если известно, что в 23 часа по солнечному времени Гринвичского меридиана местное солнечное время в нем 0 часов 40 минут следующих суток. </w:t>
      </w:r>
      <w:r/>
    </w:p>
    <w:p>
      <w:pPr>
        <w:pStyle w:val="940"/>
        <w:contextualSpacing/>
        <w:ind w:firstLine="708"/>
        <w:jc w:val="both"/>
        <w:spacing w:before="0" w:after="0"/>
      </w:pPr>
      <w:r>
        <w:rPr>
          <w:rFonts w:eastAsia="Times New Roman"/>
          <w:bCs/>
          <w:iCs/>
        </w:rPr>
        <w:t xml:space="preserve">О не у</w:t>
      </w:r>
      <w:r>
        <w:rPr>
          <w:rFonts w:eastAsia="Times New Roman"/>
          <w:bCs/>
          <w:iCs/>
        </w:rPr>
        <w:t xml:space="preserve">спешности выполнения данного задания говорит тот факт, что изучение темы «Земля планета Солнечной системы» осуществляется в 6 классе, при 1 часе в неделю и более детально не повторяется. Это задание имеет стабильно низкую решаемость. Это говорит о влиянии </w:t>
      </w:r>
      <w:r>
        <w:rPr>
          <w:rFonts w:eastAsia="Times New Roman"/>
          <w:bCs/>
          <w:iCs/>
        </w:rPr>
        <w:t xml:space="preserve">таких факторов, как несформированность географического (пространственного) мышления, слабое владение математическим аппаратом для решения географических задач.   Ответы демонстрируют непонимание следствия направления осевого вращения Земли с запада на вост</w:t>
      </w:r>
      <w:r>
        <w:rPr>
          <w:rFonts w:eastAsia="Times New Roman"/>
          <w:bCs/>
          <w:iCs/>
        </w:rPr>
        <w:t xml:space="preserve">ок и неумение определить положение заданной точки в западном или восточном полушарии. Подводило участников ЕГЭ и невнимание к расчёту времени: указанное в задании время в часах и минутах, при решении считалось как целое число с десятыми долями. Среди ответ</w:t>
      </w:r>
      <w:r>
        <w:rPr>
          <w:rFonts w:eastAsia="Times New Roman"/>
          <w:bCs/>
          <w:iCs/>
        </w:rPr>
        <w:t xml:space="preserve">ов был и такой вариант решения: «Различие во времени между искомым пунктом и Гринвичем составляет ….. часа ».  Ответ неверный, поскольку неверно указано полушарие (правильный ответ «в.д.»). Это наиболее типичные ошибки при выполнении подобных заданий. При </w:t>
      </w:r>
      <w:r>
        <w:rPr>
          <w:rFonts w:eastAsia="Times New Roman"/>
          <w:bCs/>
          <w:iCs/>
        </w:rPr>
        <w:t xml:space="preserve">этом ряд участников ЕГЭ, приступивших к выполнению задания, пытались построить меридиональную сетку. Несмотря на то, что разрешено использовать карты КИМ и была возможность лишний раз «включить» воображение не для только для работы с цифрами, решаемость ок</w:t>
      </w:r>
      <w:r>
        <w:rPr>
          <w:rFonts w:eastAsia="Times New Roman"/>
          <w:bCs/>
          <w:iCs/>
        </w:rPr>
        <w:t xml:space="preserve">азалась низкой. Кроме того, отмечается ежегодное усложнение в КИМ именно этого типа заданий, причем, в этом году подобных предоставленных на экзамене вариантов заданий не было в тренировочных пособиях ФИПИ. Также отмечу, что разбор решений именно этого зад</w:t>
      </w:r>
      <w:r>
        <w:rPr>
          <w:rFonts w:eastAsia="Times New Roman"/>
          <w:bCs/>
          <w:iCs/>
        </w:rPr>
        <w:t xml:space="preserve">ания (а оно вызывает наибольшие затруднения не только среди учеников, но и среди учителей), на курсах представлено не было. Нужно создать четкий алгоритм решения данного типа задач в разных вариациях, чтобы выпускники и учителя хорошо могли подготовиться. </w:t>
      </w:r>
      <w:r/>
    </w:p>
    <w:p>
      <w:pPr>
        <w:pStyle w:val="940"/>
        <w:contextualSpacing/>
        <w:ind w:firstLine="708"/>
        <w:jc w:val="both"/>
        <w:spacing w:before="0" w:after="0"/>
        <w:rPr>
          <w:rFonts w:eastAsia="Times New Roman"/>
          <w:bCs/>
          <w:iCs/>
        </w:rPr>
      </w:pPr>
      <w:r>
        <w:rPr>
          <w:rFonts w:eastAsia="Times New Roman"/>
          <w:bCs/>
          <w:iCs/>
        </w:rPr>
        <w:t xml:space="preserve">Основными причинами затруднений выпускников при ответе на задание 32 является их неспособность выбрать подход к ее решению; непонимание того, что высота Солнца над горизонтом зависит не только от географической</w:t>
      </w:r>
      <w:r>
        <w:rPr>
          <w:rFonts w:eastAsia="Times New Roman"/>
          <w:bCs/>
          <w:iCs/>
        </w:rPr>
        <w:t xml:space="preserve"> широты, но и от времени суток; неспособность осуществить перенос имеющихся знаний в новую ситуацию (если точки по условию задания находятся в Южном, а не в Северном полушарии), а также затруднения возникают, если в задании указано время в часах и минутах.</w:t>
      </w:r>
      <w:r/>
    </w:p>
    <w:p>
      <w:pPr>
        <w:pStyle w:val="940"/>
        <w:contextualSpacing/>
        <w:ind w:firstLine="708"/>
        <w:jc w:val="both"/>
        <w:spacing w:before="0" w:after="0"/>
        <w:rPr>
          <w:rFonts w:eastAsia="Times New Roman"/>
          <w:bCs/>
          <w:iCs/>
        </w:rPr>
      </w:pPr>
      <w:r>
        <w:rPr>
          <w:rFonts w:eastAsia="Times New Roman"/>
          <w:bCs/>
          <w:iCs/>
        </w:rPr>
        <w:t xml:space="preserve">Данное задание традиционно вызывает затруднение у учащихся, так как требуется применить свои знания в новых условиях, произвести необходимые расчеты. Часть выпускников совершают ошибки из-за ошибок уже на репродукти</w:t>
      </w:r>
      <w:r>
        <w:rPr>
          <w:rFonts w:eastAsia="Times New Roman"/>
          <w:bCs/>
          <w:iCs/>
        </w:rPr>
        <w:t xml:space="preserve">вном уровне: не знают особенностей движения земли, следствий. Другие совершают и арифметические ошибки, а также не знают, какие величины используются в картографии для определения координат произвольной точки земной поверхности: градусы, минуты, секунды...</w:t>
      </w:r>
      <w:r/>
    </w:p>
    <w:p>
      <w:pPr>
        <w:pStyle w:val="940"/>
        <w:contextualSpacing/>
        <w:ind w:firstLine="708"/>
        <w:jc w:val="both"/>
        <w:spacing w:before="0" w:after="0"/>
        <w:rPr>
          <w:rFonts w:eastAsia="Times New Roman"/>
          <w:bCs/>
          <w:iCs/>
        </w:rPr>
      </w:pPr>
      <w:r>
        <w:rPr>
          <w:rFonts w:eastAsia="Times New Roman"/>
          <w:bCs/>
          <w:iCs/>
        </w:rPr>
        <w:t xml:space="preserve">Выяв</w:t>
      </w:r>
      <w:r>
        <w:rPr>
          <w:rFonts w:eastAsia="Times New Roman"/>
          <w:bCs/>
          <w:iCs/>
        </w:rPr>
        <w:t xml:space="preserve">ленные недостатки подготовки выпускников, вероятно, могут быть связаны с различными факторами, в значительной степени с недостатком времени на изучение географии в базисном учебном плане, и, как следствие этого, перегруженностью действующих программ и неко</w:t>
      </w:r>
      <w:r>
        <w:rPr>
          <w:rFonts w:eastAsia="Times New Roman"/>
          <w:bCs/>
          <w:iCs/>
        </w:rPr>
        <w:t xml:space="preserve">торых учебников. По мере реализации ФГОС эта проблема должна быть постепенно решена. На основании анализа результатов экзамена можно предложить некоторые меры по совершенствованию преподавания географии в школе. Для профилактики недостатков подготовки буду</w:t>
      </w:r>
      <w:r>
        <w:rPr>
          <w:rFonts w:eastAsia="Times New Roman"/>
          <w:bCs/>
          <w:iCs/>
        </w:rPr>
        <w:t xml:space="preserve">щих выпускников, повышения системности их знаний большое значение имеет своевременное выявление существующих пробелов в знаниях обучающихся. Рекомендуется при планировании образовательного процесса предусмотреть перед началом изучения каждого раздела курса</w:t>
      </w:r>
      <w:r>
        <w:rPr>
          <w:rFonts w:eastAsia="Times New Roman"/>
          <w:bCs/>
          <w:iCs/>
        </w:rPr>
        <w:t xml:space="preserve"> время на диагностику аспектов подготовки, являющихся опорными при изучении той или иной темы. Полезными при составлении соответствующих диагностических работ могут быть задания из различных сборников, предназначенных для проведения тематического контроля.</w:t>
      </w:r>
      <w:r/>
    </w:p>
    <w:p>
      <w:pPr>
        <w:pStyle w:val="940"/>
        <w:contextualSpacing/>
        <w:ind w:firstLine="708"/>
        <w:jc w:val="both"/>
        <w:spacing w:before="0" w:after="0"/>
        <w:rPr>
          <w:rFonts w:eastAsia="Times New Roman"/>
          <w:bCs/>
          <w:iCs/>
        </w:rPr>
      </w:pPr>
      <w:r>
        <w:rPr>
          <w:rFonts w:eastAsia="Times New Roman"/>
          <w:bCs/>
          <w:iCs/>
        </w:rPr>
        <w:t xml:space="preserve">ВЫВОД: Исходя из этого, при подготовке учащихся к итоговой аттестации  (в течение всего периода изучения предмета) необходимо обратить внимание на следую</w:t>
      </w:r>
      <w:r>
        <w:rPr>
          <w:rFonts w:eastAsia="Times New Roman"/>
          <w:bCs/>
          <w:iCs/>
        </w:rPr>
        <w:t xml:space="preserve">щие направления работы на уроке и во внеурочное время: 1) Активно развивать навыки устной и письменной географической речи; 2) Больше времени уделять чтению карты (знанию и пониманию картографического содержания) 3) Значительную часть учебного времени удел</w:t>
      </w:r>
      <w:r>
        <w:rPr>
          <w:rFonts w:eastAsia="Times New Roman"/>
          <w:bCs/>
          <w:iCs/>
        </w:rPr>
        <w:t xml:space="preserve">ять работе с таблицами, схемами, работе со статистическим материалом; 4) Обучать подходам и умениям моделирования ситуации в соответствии с заданными условиями; 5) Обучать умению составлять и решать географические задачи, формулировать и выполнять учебные </w:t>
      </w:r>
      <w:r>
        <w:rPr>
          <w:rFonts w:eastAsia="Times New Roman"/>
          <w:bCs/>
          <w:iCs/>
        </w:rPr>
        <w:t xml:space="preserve">задания на основе географического содержания, в том числе и на основе собственного жизненного опыта; 6) Приводить учащихся к пониманию основных географических следствий, определению основных и второстепенных причин, факторов. 7) Учить анализировать географ</w:t>
      </w:r>
      <w:r>
        <w:rPr>
          <w:rFonts w:eastAsia="Times New Roman"/>
          <w:bCs/>
          <w:iCs/>
        </w:rPr>
        <w:t xml:space="preserve">ические проблемы и ситуации, процессы и явления; 8) Формировать и развивать у обучающихся навыки взаимоконтроля и самоконтроля; 9) Формировать умение проверять свой ответ или ответ товарища на правдоподобие, соответствие реальности в предлагаемой ситуации.</w:t>
      </w:r>
      <w:r/>
    </w:p>
    <w:p>
      <w:pPr>
        <w:pStyle w:val="940"/>
        <w:contextualSpacing/>
        <w:ind w:firstLine="708"/>
        <w:jc w:val="both"/>
        <w:spacing w:before="0" w:after="0"/>
      </w:pPr>
      <w:r>
        <w:rPr>
          <w:rFonts w:eastAsia="Times New Roman"/>
          <w:bCs/>
          <w:iCs/>
        </w:rPr>
        <w:t xml:space="preserve">Соотнесение результатов </w:t>
      </w:r>
      <w:r>
        <w:rPr>
          <w:rFonts w:eastAsia="Times New Roman"/>
          <w:bCs/>
          <w:iCs/>
        </w:rPr>
        <w:t xml:space="preserve">выполнения заданий с учебными программами, УМК и иными особенностями региональной системы образования показывает, географические знания в целом освоены большинством экзаменуемых. Однако выделяются определенные пробелы в формировании предметных и надпредмет</w:t>
      </w:r>
      <w:r>
        <w:rPr>
          <w:rFonts w:eastAsia="Times New Roman"/>
          <w:bCs/>
          <w:iCs/>
        </w:rPr>
        <w:t xml:space="preserve">ных умений, навыков и видов деятельности. В практике применения учебных программ, УМК и ФГОС по географии в школе следует уделять большее внимание организации активной познавательной деятельности учащихся, акцентировать внимание на формировании умения прим</w:t>
      </w:r>
      <w:r>
        <w:rPr>
          <w:rFonts w:eastAsia="Times New Roman"/>
          <w:bCs/>
          <w:iCs/>
        </w:rPr>
        <w:t xml:space="preserve">енять географические знания для анализа явлений и процессов как природных, так и социально-экономических. Результаты выполнения заданий свидетельствуют о необходимости повторения и обобщения материалов на заключительном этапе географического образования по</w:t>
      </w:r>
      <w:r>
        <w:rPr>
          <w:rFonts w:eastAsia="Times New Roman"/>
          <w:bCs/>
          <w:iCs/>
        </w:rPr>
        <w:t xml:space="preserve"> разделам: «Регионы и страны мира», «Природопользование и геоэкология», «Природы Земли и человек», «Население мира», «География России». Учитывая типичные ошибки выпускников при выполнении заданий, следует обратить внимание на закрепление со школьниками сл</w:t>
      </w:r>
      <w:r>
        <w:rPr>
          <w:rFonts w:eastAsia="Times New Roman"/>
          <w:bCs/>
          <w:iCs/>
        </w:rPr>
        <w:t xml:space="preserve">едующего материала, указанного в учебных программах и отраженного в УМК: особенности отраслевой и территориальной структуры хозяйства России, географическая оболочка Земли, рациональное и нерациональное природопользование, факторы размещения производства. </w:t>
      </w:r>
      <w:r/>
    </w:p>
    <w:p>
      <w:pPr>
        <w:pStyle w:val="940"/>
        <w:contextualSpacing/>
        <w:ind w:firstLine="708"/>
        <w:jc w:val="both"/>
        <w:spacing w:before="0" w:after="0"/>
        <w:rPr>
          <w:rFonts w:eastAsia="Times New Roman"/>
          <w:bCs/>
          <w:iCs/>
        </w:rPr>
      </w:pPr>
      <w:r>
        <w:rPr>
          <w:rFonts w:eastAsia="Times New Roman"/>
          <w:bCs/>
          <w:iCs/>
        </w:rPr>
        <w:t xml:space="preserve">Анализ результатов выполненных заданий свидетельствует о том, что выпускник должен не просто знать информацию, изложенную в УМК (площадь и нас</w:t>
      </w:r>
      <w:r>
        <w:rPr>
          <w:rFonts w:eastAsia="Times New Roman"/>
          <w:bCs/>
          <w:iCs/>
        </w:rPr>
        <w:t xml:space="preserve">еление стран, уровень урбанизации, ВВП на душу населения стран и т.п.), но и уметь применять знания в конкретных ситуациях (например, знания о типологических чертах стран, климатообразующих факторах, о географических закономерностях для выявления и объясне</w:t>
      </w:r>
      <w:r>
        <w:rPr>
          <w:rFonts w:eastAsia="Times New Roman"/>
          <w:bCs/>
          <w:iCs/>
        </w:rPr>
        <w:t xml:space="preserve">ния особенностей разных территорий). Этому нельзя научиться за короткое время.  Поэтому структура и содержание рабочих программ и УМК должны выстроены таким образом, чтобы базовые умения, приобретаемые при прохождении определенного курса, были актуализиров</w:t>
      </w:r>
      <w:r>
        <w:rPr>
          <w:rFonts w:eastAsia="Times New Roman"/>
          <w:bCs/>
          <w:iCs/>
        </w:rPr>
        <w:t xml:space="preserve">аны в следующих классах. С целью такой актуализации необходимо, например, при изучении курса географии России предусматривать включение в образовательный процесс соответствующих видов деятельности учащихся: при определении по картам промышленной специализа</w:t>
      </w:r>
      <w:r>
        <w:rPr>
          <w:rFonts w:eastAsia="Times New Roman"/>
          <w:bCs/>
          <w:iCs/>
        </w:rPr>
        <w:t xml:space="preserve">ции городов сначала найти эти города по их географическим координатам; при сравнении размеров территорий или расстояний грузоперевозок между пунктами не ограничиваться оценками «больше - меньше», а делать количественные сравнения, используя масштаб карты. </w:t>
      </w:r>
      <w:r/>
    </w:p>
    <w:p>
      <w:pPr>
        <w:pStyle w:val="940"/>
        <w:contextualSpacing/>
        <w:ind w:firstLine="708"/>
        <w:jc w:val="both"/>
        <w:spacing w:before="0" w:after="0"/>
        <w:rPr>
          <w:rFonts w:eastAsia="Times New Roman"/>
          <w:bCs/>
          <w:iCs/>
        </w:rPr>
      </w:pPr>
      <w:r>
        <w:rPr>
          <w:rFonts w:eastAsia="Times New Roman"/>
          <w:bCs/>
          <w:iCs/>
        </w:rPr>
        <w:t xml:space="preserve">Соотнесение результатов выполнения заданий с учебными программами и УМК показывает, что в 10-11 классах необходимо изучение вопросов географии сельского хозяйства, размещения природных р</w:t>
      </w:r>
      <w:r>
        <w:rPr>
          <w:rFonts w:eastAsia="Times New Roman"/>
          <w:bCs/>
          <w:iCs/>
        </w:rPr>
        <w:t xml:space="preserve">есурсов проводить с опорой на анализ карт, отражающих особенности природы территории - физических, климатических, почвенных, геологических и тектонических. Умение работать с географическими картами различного содержания должно стать объектом особого вниман</w:t>
      </w:r>
      <w:r>
        <w:rPr>
          <w:rFonts w:eastAsia="Times New Roman"/>
          <w:bCs/>
          <w:iCs/>
        </w:rPr>
        <w:t xml:space="preserve">ия при проверке и оценке образовательных достижений учащихся. Этим следует руководствоваться как при выборе пособий для проведения тематической и итоговой проверки знаний и умений учащихся, так и при самостоятельной разработке учителями проверочных работ. </w:t>
      </w:r>
      <w:r/>
    </w:p>
    <w:p>
      <w:pPr>
        <w:pStyle w:val="940"/>
        <w:contextualSpacing/>
        <w:ind w:firstLine="708"/>
        <w:jc w:val="both"/>
        <w:spacing w:before="0" w:after="0"/>
        <w:rPr>
          <w:rFonts w:eastAsia="Times New Roman"/>
          <w:bCs/>
          <w:iCs/>
        </w:rPr>
      </w:pPr>
      <w:r>
        <w:rPr>
          <w:rFonts w:eastAsia="Times New Roman"/>
          <w:bCs/>
          <w:iCs/>
        </w:rPr>
        <w:t xml:space="preserve">Сравнительный анализ результатов выполнения заданий с структурно-содержательными особенностями используемых учебных программ и УМК свидетельствует, что некоторые затруднения выпускников вызывают задания, опирающиеся на материалы средств массовой инфо</w:t>
      </w:r>
      <w:r>
        <w:rPr>
          <w:rFonts w:eastAsia="Times New Roman"/>
          <w:bCs/>
          <w:iCs/>
        </w:rPr>
        <w:t xml:space="preserve">рмации и проверяющие умение использовать полученные в школе знания для объяснения реальных жизненных событий и ситуаций. При организации учебного процесса следует, в соответствии с требованиями стандарта к уровню подготовки выпускников, формировать у учащи</w:t>
      </w:r>
      <w:r>
        <w:rPr>
          <w:rFonts w:eastAsia="Times New Roman"/>
          <w:bCs/>
          <w:iCs/>
        </w:rPr>
        <w:t xml:space="preserve">хся умения «использовать приобретенные знания и умения в повседневной жизни для выявления и объяснения географических аспектов различных текущих событий и ситуаций; анализа и оценки разных территорий с точки зрения взаимосвязей природных, социально-экономи</w:t>
      </w:r>
      <w:r>
        <w:rPr>
          <w:rFonts w:eastAsia="Times New Roman"/>
          <w:bCs/>
          <w:iCs/>
        </w:rPr>
        <w:t xml:space="preserve">ческих, техногенных объектов и процессов». С этой целью необходимо более широкое использование на уроках анализа событий, являющихся предметом пристального внимания общественности, средств массовой информации. Обсуждение реальных экологических проблем, воз</w:t>
      </w:r>
      <w:r>
        <w:rPr>
          <w:rFonts w:eastAsia="Times New Roman"/>
          <w:bCs/>
          <w:iCs/>
        </w:rPr>
        <w:t xml:space="preserve">можных положительных и отрицательных последствий для окружающей среды принимаемых управленческих решений также будет способствовать развитию умения применять географические знания в реальных жизненных ситуациях. Время, необходимое для включения в образоват</w:t>
      </w:r>
      <w:r>
        <w:rPr>
          <w:rFonts w:eastAsia="Times New Roman"/>
          <w:bCs/>
          <w:iCs/>
        </w:rPr>
        <w:t xml:space="preserve">ельный процесс названных выше видов деятельности, рекомендуется выделять за счет сокращения времени, отводимого на репродуктивные виды деятельности учащихся, в том числе на пересказ изученного ранее материала., теряющий свою актуальность в старших классах.</w:t>
      </w:r>
      <w:r/>
    </w:p>
    <w:p>
      <w:pPr>
        <w:pStyle w:val="940"/>
        <w:contextualSpacing/>
        <w:ind w:firstLine="708"/>
        <w:jc w:val="both"/>
        <w:spacing w:before="0" w:after="0"/>
        <w:rPr>
          <w:rFonts w:eastAsia="Times New Roman"/>
          <w:bCs/>
          <w:iCs/>
        </w:rPr>
      </w:pPr>
      <w:r>
        <w:rPr>
          <w:rFonts w:eastAsia="Times New Roman"/>
          <w:bCs/>
          <w:iCs/>
        </w:rPr>
        <w:t xml:space="preserve">Существенным резервом улучшения результатов выполнения заданий является повышение уровня сформированности умений использовать статистические показатели (ресурсообеспеченност</w:t>
      </w:r>
      <w:r>
        <w:rPr>
          <w:rFonts w:eastAsia="Times New Roman"/>
          <w:bCs/>
          <w:iCs/>
        </w:rPr>
        <w:t xml:space="preserve">ь, рождаемость, смертность, естественный прирост, миграционная убыль, миграционный прирост и др.). Это может быть достигнуто путем дополнения УМК соответствующей информацией и найти отражение в разрабатываемых рабочих программах и содержательной части УМК.</w:t>
      </w:r>
      <w:r/>
    </w:p>
    <w:p>
      <w:pPr>
        <w:pStyle w:val="1409"/>
        <w:keepNext/>
      </w:pPr>
      <w:r/>
      <w:r/>
    </w:p>
    <w:p>
      <w:pPr>
        <w:pStyle w:val="940"/>
        <w:numPr>
          <w:ilvl w:val="2"/>
          <w:numId w:val="38"/>
        </w:numPr>
        <w:ind w:left="567"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jc w:val="both"/>
      </w:pPr>
      <w:r/>
      <w:r/>
    </w:p>
    <w:p>
      <w:pPr>
        <w:pStyle w:val="940"/>
        <w:ind w:firstLine="708"/>
        <w:jc w:val="both"/>
        <w:rPr>
          <w:i/>
        </w:rPr>
      </w:pPr>
      <w:r>
        <w:rPr>
          <w:i/>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pPr>
      <w:r>
        <w:t xml:space="preserve">Анализ результатов ЕГЭ по географии 2021 г. показал, что большинство выпускников с разным уровнем подготовки овладели базовыми знаниями по географии, предусмотренными стандартом. Общий средний балл решения заданий КИМ по сто балльной шкал</w:t>
      </w:r>
      <w:r>
        <w:t xml:space="preserve">е ГИА-11 в форме ЕГЭ по географии в Астраханской области оказался выше предыдущего года и составил 59,4. Большинство абитуриентов обладают необходимыми базовыми умениями –чтением географических карт различного содержания, определением по картам  расстояний</w:t>
      </w:r>
      <w:r>
        <w:t xml:space="preserve">, методикой построения физико-географических профилей, анализом демографических ситуаций на региональном и глобальном уровнях, решением типовых задач, позволяющим обосновать особенности природы, хозяйства и населения как отдельных территорий, так  и стран.</w:t>
      </w:r>
      <w:r/>
    </w:p>
    <w:p>
      <w:pPr>
        <w:pStyle w:val="940"/>
        <w:ind w:firstLine="708"/>
        <w:jc w:val="both"/>
      </w:pPr>
      <w:r>
        <w:t xml:space="preserve">В целом можно считать достаточным уровень усвоения выпускниками разделов «Природа Земли и человек», «Источники географической информации», «Население мира», «Мировое хозяйство», «Природопользование и геоэкология», «Регионы и страны мира».</w:t>
      </w:r>
      <w:r/>
    </w:p>
    <w:p>
      <w:pPr>
        <w:pStyle w:val="940"/>
        <w:ind w:firstLine="708"/>
        <w:jc w:val="both"/>
        <w:rPr>
          <w:i/>
        </w:rPr>
      </w:pPr>
      <w:r>
        <w:rPr>
          <w:i/>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pPr>
      <w:r>
        <w:t xml:space="preserve">Недостаточен уровень овладения выпускниками региона темой «География России» (природно-хозяйственное районирование России, особенности географического положения, природы, населения, хозяйства и истории развития крупных географических регионов). </w:t>
      </w:r>
      <w:r/>
    </w:p>
    <w:p>
      <w:pPr>
        <w:pStyle w:val="940"/>
        <w:ind w:firstLine="708"/>
        <w:jc w:val="both"/>
      </w:pPr>
      <w:r>
        <w:t xml:space="preserve">Абитуриенты 2021 </w:t>
      </w:r>
      <w:r>
        <w:t xml:space="preserve">года при ответе на задание 4 показали низкий уровень понимания и освоения процессов, происходящих в атмосфере, который составляет 45,7%, что подтверждено групповыми данными: в группах не достигших минимального балла этот показатель составляет 20 %, в групп</w:t>
      </w:r>
      <w:r>
        <w:t xml:space="preserve">е от минимального до 60 т.б. – 35,71 %, в группе с результатами от 61 до 80 – 34,78 % и от 81 до 100 т.б. – 95,45 %). Следует отметить, что не была раскрыта роль климатообразующих процессов при формировании климата Земли, следовательно, на недостаточном ур</w:t>
      </w:r>
      <w:r>
        <w:t xml:space="preserve">овне раскрыты причинно-следственные связи географических явлений и процессов в геосферах. Не выявлено степень влияния антропогенеза на природно-территориальные комплексы. Это привело к неправильной трактовке учения о географической зональности и поясности.</w:t>
      </w:r>
      <w:r/>
    </w:p>
    <w:p>
      <w:pPr>
        <w:pStyle w:val="940"/>
        <w:jc w:val="both"/>
      </w:p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362"/>
        <w:gridCol w:w="5816"/>
        <w:gridCol w:w="1481"/>
      </w:tblGrid>
      <w:tr>
        <w:trPr/>
        <w:tc>
          <w:tcPr>
            <w:tcBorders>
              <w:top w:val="single" w:color="000000" w:sz="4" w:space="0"/>
              <w:left w:val="single" w:color="000000" w:sz="4" w:space="0"/>
              <w:bottom w:val="single" w:color="000000" w:sz="4" w:space="0"/>
            </w:tcBorders>
            <w:tcW w:w="2362"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5816" w:type="dxa"/>
            <w:vAlign w:val="center"/>
            <w:textDirection w:val="lrTb"/>
            <w:noWrap w:val="false"/>
          </w:tcPr>
          <w:p>
            <w:pPr>
              <w:pStyle w:val="940"/>
              <w:jc w:val="center"/>
            </w:pPr>
            <w:r>
              <w:t xml:space="preserve">Элементы содержания</w:t>
            </w: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940"/>
              <w:jc w:val="center"/>
            </w:pPr>
            <w:r>
              <w:t xml:space="preserve">%</w:t>
            </w:r>
            <w:r/>
          </w:p>
          <w:p>
            <w:pPr>
              <w:pStyle w:val="940"/>
              <w:jc w:val="center"/>
            </w:pPr>
            <w:r>
              <w:t xml:space="preserve">выполнения</w:t>
            </w:r>
            <w:r/>
          </w:p>
        </w:tc>
      </w:tr>
      <w:tr>
        <w:trPr/>
        <w:tc>
          <w:tcPr>
            <w:tcBorders>
              <w:top w:val="single" w:color="000000" w:sz="4" w:space="0"/>
              <w:left w:val="single" w:color="000000" w:sz="4" w:space="0"/>
              <w:bottom w:val="single" w:color="000000" w:sz="4" w:space="0"/>
            </w:tcBorders>
            <w:tcW w:w="2362" w:type="dxa"/>
            <w:vAlign w:val="center"/>
            <w:textDirection w:val="lrTb"/>
            <w:noWrap w:val="false"/>
          </w:tcPr>
          <w:p>
            <w:pPr>
              <w:pStyle w:val="940"/>
              <w:jc w:val="center"/>
            </w:pPr>
            <w:r>
              <w:t xml:space="preserve">13 (П)</w:t>
            </w:r>
            <w:r/>
          </w:p>
        </w:tc>
        <w:tc>
          <w:tcPr>
            <w:tcBorders>
              <w:top w:val="single" w:color="000000" w:sz="4" w:space="0"/>
              <w:left w:val="single" w:color="000000" w:sz="4" w:space="0"/>
              <w:bottom w:val="single" w:color="000000" w:sz="4" w:space="0"/>
            </w:tcBorders>
            <w:tcW w:w="5816" w:type="dxa"/>
            <w:textDirection w:val="lrTb"/>
            <w:noWrap w:val="false"/>
          </w:tcPr>
          <w:p>
            <w:pPr>
              <w:pStyle w:val="940"/>
              <w:jc w:val="both"/>
              <w:rPr>
                <w:bCs/>
              </w:rPr>
            </w:pPr>
            <w:r>
              <w:rPr>
                <w:bCs/>
              </w:rPr>
              <w:t xml:space="preserve">География отраслей промышленности России / Знать и понимать географические особенности основных отраслей хозяйства России</w:t>
            </w: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940"/>
              <w:jc w:val="center"/>
              <w:rPr>
                <w:color w:val="000000"/>
              </w:rPr>
            </w:pPr>
            <w:r>
              <w:rPr>
                <w:color w:val="000000"/>
              </w:rPr>
              <w:t xml:space="preserve">25,35%</w:t>
            </w:r>
            <w:r/>
          </w:p>
        </w:tc>
      </w:tr>
      <w:tr>
        <w:trPr/>
        <w:tc>
          <w:tcPr>
            <w:tcBorders>
              <w:top w:val="single" w:color="000000" w:sz="4" w:space="0"/>
              <w:left w:val="single" w:color="000000" w:sz="4" w:space="0"/>
              <w:bottom w:val="single" w:color="000000" w:sz="4" w:space="0"/>
            </w:tcBorders>
            <w:tcW w:w="2362" w:type="dxa"/>
            <w:vAlign w:val="center"/>
            <w:textDirection w:val="lrTb"/>
            <w:noWrap w:val="false"/>
          </w:tcPr>
          <w:p>
            <w:pPr>
              <w:pStyle w:val="940"/>
              <w:jc w:val="center"/>
            </w:pPr>
            <w:r>
              <w:t xml:space="preserve">4 (Б)</w:t>
            </w:r>
            <w:r/>
          </w:p>
        </w:tc>
        <w:tc>
          <w:tcPr>
            <w:tcBorders>
              <w:top w:val="single" w:color="000000" w:sz="4" w:space="0"/>
              <w:left w:val="single" w:color="000000" w:sz="4" w:space="0"/>
              <w:bottom w:val="single" w:color="000000" w:sz="4" w:space="0"/>
            </w:tcBorders>
            <w:tcW w:w="5816" w:type="dxa"/>
            <w:textDirection w:val="lrTb"/>
            <w:noWrap w:val="false"/>
          </w:tcPr>
          <w:p>
            <w:pPr>
              <w:pStyle w:val="940"/>
              <w:jc w:val="both"/>
              <w:rPr>
                <w:bCs/>
              </w:rPr>
            </w:pPr>
            <w:r>
              <w:rPr>
                <w:bCs/>
              </w:rPr>
              <w:t xml:space="preserve">Атмосфера. Сост</w:t>
            </w:r>
            <w:r>
              <w:rPr>
                <w:bCs/>
              </w:rPr>
              <w:t xml:space="preserve">ав, строение, циркуляция. Распределение тепла и влаги на Земле. Погода и климат /Знать и понимать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940"/>
              <w:jc w:val="center"/>
              <w:rPr>
                <w:color w:val="000000"/>
              </w:rPr>
            </w:pPr>
            <w:r>
              <w:rPr>
                <w:color w:val="000000"/>
              </w:rPr>
              <w:t xml:space="preserve">45,07</w:t>
            </w:r>
            <w:r/>
          </w:p>
        </w:tc>
      </w:tr>
      <w:tr>
        <w:trPr/>
        <w:tc>
          <w:tcPr>
            <w:tcBorders>
              <w:top w:val="single" w:color="000000" w:sz="4" w:space="0"/>
              <w:left w:val="single" w:color="000000" w:sz="4" w:space="0"/>
              <w:bottom w:val="single" w:color="000000" w:sz="4" w:space="0"/>
            </w:tcBorders>
            <w:tcW w:w="2362" w:type="dxa"/>
            <w:vAlign w:val="center"/>
            <w:textDirection w:val="lrTb"/>
            <w:noWrap w:val="false"/>
          </w:tcPr>
          <w:p>
            <w:pPr>
              <w:pStyle w:val="940"/>
              <w:jc w:val="center"/>
              <w:rPr>
                <w:bCs/>
              </w:rPr>
            </w:pPr>
            <w:r>
              <w:rPr>
                <w:bCs/>
              </w:rPr>
              <w:t xml:space="preserve">14 (Б)</w:t>
            </w:r>
            <w:r/>
          </w:p>
        </w:tc>
        <w:tc>
          <w:tcPr>
            <w:tcBorders>
              <w:top w:val="single" w:color="000000" w:sz="4" w:space="0"/>
              <w:left w:val="single" w:color="000000" w:sz="4" w:space="0"/>
              <w:bottom w:val="single" w:color="000000" w:sz="4" w:space="0"/>
            </w:tcBorders>
            <w:tcW w:w="5816" w:type="dxa"/>
            <w:textDirection w:val="lrTb"/>
            <w:noWrap w:val="false"/>
          </w:tcPr>
          <w:p>
            <w:pPr>
              <w:pStyle w:val="940"/>
              <w:jc w:val="both"/>
              <w:rPr>
                <w:bCs/>
              </w:rPr>
            </w:pPr>
            <w:r>
              <w:rPr>
                <w:bCs/>
              </w:rPr>
              <w:t xml:space="preserve">Природно-хо</w:t>
            </w:r>
            <w:r>
              <w:rPr>
                <w:bCs/>
              </w:rPr>
              <w:t xml:space="preserve">зяйственное районирование России. Регионы России. Особенности географического положения, природы, населения, хозяйства и история развития Юга Европейской части страны / Знать и понимать особенности природно-хозяйственных зон и географических районов России</w:t>
            </w:r>
            <w:r/>
          </w:p>
        </w:tc>
        <w:tc>
          <w:tcPr>
            <w:tcBorders>
              <w:top w:val="single" w:color="000000" w:sz="4" w:space="0"/>
              <w:left w:val="single" w:color="000000" w:sz="4" w:space="0"/>
              <w:bottom w:val="single" w:color="000000" w:sz="4" w:space="0"/>
              <w:right w:val="single" w:color="000000" w:sz="4" w:space="0"/>
            </w:tcBorders>
            <w:tcW w:w="1481" w:type="dxa"/>
            <w:vAlign w:val="center"/>
            <w:textDirection w:val="lrTb"/>
            <w:noWrap w:val="false"/>
          </w:tcPr>
          <w:p>
            <w:pPr>
              <w:pStyle w:val="940"/>
              <w:jc w:val="center"/>
              <w:rPr>
                <w:bCs/>
              </w:rPr>
            </w:pPr>
            <w:r>
              <w:rPr>
                <w:bCs/>
              </w:rPr>
              <w:t xml:space="preserve">47,89</w:t>
            </w:r>
            <w:r/>
          </w:p>
        </w:tc>
      </w:tr>
    </w:tbl>
    <w:p>
      <w:pPr>
        <w:pStyle w:val="1400"/>
        <w:contextualSpacing/>
        <w:ind w:left="0" w:right="0" w:firstLine="0"/>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Трудность вызвало усвоение и характеристика географии отраслей промышленности России (задание № 13 - 25,35 %), что отразилось на недостаточно г</w:t>
      </w:r>
      <w:r>
        <w:rPr>
          <w:rFonts w:ascii="Times New Roman" w:hAnsi="Times New Roman" w:cs="Times New Roman" w:eastAsia="Times New Roman"/>
          <w:bCs/>
          <w:iCs/>
          <w:sz w:val="24"/>
          <w:szCs w:val="24"/>
          <w:lang w:eastAsia="ru-RU"/>
        </w:rPr>
        <w:t xml:space="preserve">лубоком понимании географических особенностей основных отраслей хозяйства России. Особая сложность связана с выполнением задания № 14 (47,89%), которое раскрывает усвоение элемента содержания природно-хозяйственного районирования России, регионов России, а</w:t>
      </w:r>
      <w:r>
        <w:rPr>
          <w:rFonts w:ascii="Times New Roman" w:hAnsi="Times New Roman" w:cs="Times New Roman" w:eastAsia="Times New Roman"/>
          <w:bCs/>
          <w:iCs/>
          <w:sz w:val="24"/>
          <w:szCs w:val="24"/>
          <w:lang w:eastAsia="ru-RU"/>
        </w:rPr>
        <w:t xml:space="preserve"> также особенностей географического положения, природы, населения, хозяйства и история развития Юга Европейской части страны при этом освоенными знаниями и умениями являются понимание особенностей природно-хозяйственных зон и географических районов России.</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Главным недостатком подготовки выпускников по курсу «География России» является не достижение требования ФГОС знать и понимать особенности природы населения и хозяйства крупных географических районов России.  </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Таким образом, типичные ошибки участников ЕГЭ 2021 г. обусловлены незнанием следующих факторов: пространственных и причинно-следственных связей между географическими о</w:t>
      </w:r>
      <w:r>
        <w:rPr>
          <w:rFonts w:ascii="Times New Roman" w:hAnsi="Times New Roman" w:cs="Times New Roman" w:eastAsia="Times New Roman"/>
          <w:bCs/>
          <w:iCs/>
          <w:sz w:val="24"/>
          <w:szCs w:val="24"/>
          <w:lang w:eastAsia="ru-RU"/>
        </w:rPr>
        <w:t xml:space="preserve">бъектами и явлениями, особенностями природы и хозяйства крупных географических регионов России, географической номенклатуры. Выявлена недостаточность знаний и пониманий следующих особенностей: географического следствия годового и суточного движения Земли п</w:t>
      </w:r>
      <w:r>
        <w:rPr>
          <w:rFonts w:ascii="Times New Roman" w:hAnsi="Times New Roman" w:cs="Times New Roman" w:eastAsia="Times New Roman"/>
          <w:bCs/>
          <w:iCs/>
          <w:sz w:val="24"/>
          <w:szCs w:val="24"/>
          <w:lang w:eastAsia="ru-RU"/>
        </w:rPr>
        <w:t xml:space="preserve">ри наклонном положении ее оси, географической специфики наиболее крупных стран мира, особенностей их природно-ресурсного потенциала, населения, хозяйства и культуры, а также особенностей природы, населения и экономики крупных географических районов России.</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 изменения успешности выполнения заданий разных лет по одной теме / проверяемому умению, виду деятельности приведена в ниже представленной таблице.</w:t>
      </w:r>
      <w:r/>
    </w:p>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bl>
      <w:tblPr>
        <w:tblW w:w="5000" w:type="pct"/>
        <w:tblInd w:w="-123" w:type="dxa"/>
        <w:tblLayout w:type="fixed"/>
        <w:tblCellMar>
          <w:left w:w="108" w:type="dxa"/>
          <w:top w:w="0" w:type="dxa"/>
          <w:right w:w="108" w:type="dxa"/>
          <w:bottom w:w="0" w:type="dxa"/>
        </w:tblCellMar>
        <w:tblLook w:val="04A0" w:firstRow="1" w:lastRow="0" w:firstColumn="1" w:lastColumn="0" w:noHBand="0" w:noVBand="1"/>
      </w:tblPr>
      <w:tblGrid>
        <w:gridCol w:w="5373"/>
        <w:gridCol w:w="963"/>
        <w:gridCol w:w="963"/>
        <w:gridCol w:w="830"/>
        <w:gridCol w:w="808"/>
        <w:gridCol w:w="702"/>
      </w:tblGrid>
      <w:tr>
        <w:trPr>
          <w:trHeight w:val="522"/>
        </w:trPr>
        <w:tc>
          <w:tcPr>
            <w:shd w:val="clear" w:color="auto" w:fill="dbe5f1"/>
            <w:tcBorders>
              <w:top w:val="single" w:color="000000" w:sz="4" w:space="0"/>
              <w:left w:val="single" w:color="000000" w:sz="4" w:space="0"/>
              <w:bottom w:val="single" w:color="000000" w:sz="4" w:space="0"/>
            </w:tcBorders>
            <w:tcW w:w="5373" w:type="dxa"/>
            <w:vAlign w:val="center"/>
            <w:vMerge w:val="restart"/>
            <w:textDirection w:val="lrTb"/>
            <w:noWrap w:val="false"/>
          </w:tcPr>
          <w:p>
            <w:pPr>
              <w:pStyle w:val="940"/>
              <w:jc w:val="center"/>
              <w:rPr>
                <w:rFonts w:eastAsia="Times New Roman"/>
                <w:b/>
                <w:lang w:eastAsia="en-US"/>
              </w:rPr>
            </w:pPr>
            <w:r>
              <w:rPr>
                <w:rFonts w:eastAsia="Times New Roman"/>
                <w:b/>
                <w:lang w:eastAsia="en-US"/>
              </w:rPr>
              <w:t xml:space="preserve">Проверяемое содержание (содержательный раздел) предмета</w:t>
            </w:r>
            <w:r/>
          </w:p>
          <w:p>
            <w:pPr>
              <w:pStyle w:val="940"/>
              <w:jc w:val="center"/>
              <w:rPr>
                <w:rFonts w:eastAsia="Times New Roman"/>
                <w:b/>
                <w:lang w:eastAsia="en-US"/>
              </w:rPr>
            </w:pPr>
            <w:r>
              <w:rPr>
                <w:rFonts w:eastAsia="Times New Roman"/>
                <w:b/>
                <w:lang w:eastAsia="en-US"/>
              </w:rPr>
            </w:r>
            <w:r/>
          </w:p>
        </w:tc>
        <w:tc>
          <w:tcPr>
            <w:gridSpan w:val="5"/>
            <w:shd w:val="clear" w:color="auto" w:fill="dbe5f1"/>
            <w:tcBorders>
              <w:top w:val="single" w:color="000000" w:sz="4" w:space="0"/>
              <w:left w:val="single" w:color="000000" w:sz="4" w:space="0"/>
              <w:bottom w:val="single" w:color="000000" w:sz="4" w:space="0"/>
              <w:right w:val="single" w:color="000000" w:sz="4" w:space="0"/>
            </w:tcBorders>
            <w:tcW w:w="4266" w:type="dxa"/>
            <w:vAlign w:val="center"/>
            <w:textDirection w:val="lrTb"/>
            <w:noWrap w:val="false"/>
          </w:tcPr>
          <w:p>
            <w:pPr>
              <w:pStyle w:val="940"/>
              <w:jc w:val="center"/>
              <w:rPr>
                <w:rFonts w:eastAsia="Times New Roman"/>
                <w:b/>
                <w:lang w:eastAsia="en-US"/>
              </w:rPr>
            </w:pPr>
            <w:r>
              <w:rPr>
                <w:rFonts w:eastAsia="Times New Roman"/>
                <w:b/>
                <w:lang w:eastAsia="en-US"/>
              </w:rPr>
              <w:t xml:space="preserve">Средний процент выполнения заданий</w:t>
            </w:r>
            <w:r/>
          </w:p>
        </w:tc>
      </w:tr>
      <w:tr>
        <w:trPr>
          <w:trHeight w:val="822"/>
        </w:trPr>
        <w:tc>
          <w:tcPr>
            <w:shd w:val="clear" w:color="auto" w:fill="dbe5f1"/>
            <w:tcBorders>
              <w:top w:val="single" w:color="000000" w:sz="4" w:space="0"/>
              <w:left w:val="single" w:color="000000" w:sz="4" w:space="0"/>
              <w:bottom w:val="single" w:color="000000" w:sz="4" w:space="0"/>
            </w:tcBorders>
            <w:tcW w:w="5373" w:type="dxa"/>
            <w:vAlign w:val="center"/>
            <w:vMerge w:val="continue"/>
            <w:textDirection w:val="lrTb"/>
            <w:noWrap w:val="false"/>
          </w:tcPr>
          <w:p>
            <w:pPr>
              <w:pStyle w:val="940"/>
              <w:rPr>
                <w:rFonts w:eastAsia="Times New Roman"/>
                <w:b/>
                <w:lang w:eastAsia="en-US"/>
              </w:rPr>
            </w:pPr>
            <w:r>
              <w:rPr>
                <w:rFonts w:eastAsia="Times New Roman"/>
                <w:b/>
                <w:lang w:eastAsia="en-US"/>
              </w:rPr>
            </w:r>
            <w:r/>
          </w:p>
        </w:tc>
        <w:tc>
          <w:tcPr>
            <w:shd w:val="clear" w:color="auto" w:fill="dbe5f1"/>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rFonts w:eastAsia="Times New Roman"/>
                <w:b/>
                <w:lang w:eastAsia="en-US"/>
              </w:rPr>
            </w:pPr>
            <w:r>
              <w:rPr>
                <w:rFonts w:eastAsia="Times New Roman"/>
                <w:b/>
                <w:lang w:eastAsia="en-US"/>
              </w:rPr>
              <w:t xml:space="preserve">2021 г.</w:t>
            </w:r>
            <w:r/>
          </w:p>
        </w:tc>
        <w:tc>
          <w:tcPr>
            <w:shd w:val="clear" w:color="auto" w:fill="dbe5f1"/>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rFonts w:eastAsia="Times New Roman"/>
                <w:b/>
                <w:lang w:eastAsia="en-US"/>
              </w:rPr>
            </w:pPr>
            <w:r>
              <w:rPr>
                <w:rFonts w:eastAsia="Times New Roman"/>
                <w:b/>
                <w:lang w:eastAsia="en-US"/>
              </w:rPr>
              <w:t xml:space="preserve">2020 г.</w:t>
            </w:r>
            <w:r/>
          </w:p>
        </w:tc>
        <w:tc>
          <w:tcPr>
            <w:shd w:val="clear" w:color="auto" w:fill="dbe5f1"/>
            <w:tcBorders>
              <w:top w:val="single" w:color="000000" w:sz="4" w:space="0"/>
              <w:left w:val="single" w:color="000000" w:sz="4" w:space="0"/>
              <w:bottom w:val="single" w:color="000000" w:sz="4" w:space="0"/>
            </w:tcBorders>
            <w:tcW w:w="830" w:type="dxa"/>
            <w:textDirection w:val="lrTb"/>
            <w:noWrap w:val="false"/>
          </w:tcPr>
          <w:p>
            <w:pPr>
              <w:pStyle w:val="940"/>
              <w:jc w:val="center"/>
              <w:rPr>
                <w:rFonts w:eastAsia="Times New Roman"/>
                <w:b/>
                <w:sz w:val="22"/>
                <w:szCs w:val="22"/>
                <w:lang w:eastAsia="en-US"/>
              </w:rPr>
            </w:pPr>
            <w:r>
              <w:rPr>
                <w:rFonts w:eastAsia="Times New Roman"/>
                <w:b/>
                <w:sz w:val="22"/>
                <w:szCs w:val="22"/>
                <w:lang w:eastAsia="en-US"/>
              </w:rPr>
            </w:r>
            <w:r/>
          </w:p>
          <w:p>
            <w:pPr>
              <w:pStyle w:val="940"/>
              <w:jc w:val="center"/>
              <w:rPr>
                <w:rFonts w:eastAsia="Times New Roman"/>
                <w:b/>
                <w:lang w:eastAsia="en-US"/>
              </w:rPr>
            </w:pPr>
            <w:r>
              <w:rPr>
                <w:rFonts w:eastAsia="Times New Roman"/>
                <w:b/>
                <w:lang w:eastAsia="en-US"/>
              </w:rPr>
              <w:t xml:space="preserve">2019 г.</w:t>
            </w:r>
            <w:r/>
          </w:p>
        </w:tc>
        <w:tc>
          <w:tcPr>
            <w:shd w:val="clear" w:color="auto" w:fill="dbe5f1"/>
            <w:tcBorders>
              <w:top w:val="single" w:color="000000" w:sz="4" w:space="0"/>
              <w:left w:val="single" w:color="000000" w:sz="4" w:space="0"/>
              <w:bottom w:val="single" w:color="000000" w:sz="4" w:space="0"/>
            </w:tcBorders>
            <w:tcW w:w="808" w:type="dxa"/>
            <w:textDirection w:val="lrTb"/>
            <w:noWrap w:val="false"/>
          </w:tcPr>
          <w:p>
            <w:pPr>
              <w:pStyle w:val="940"/>
              <w:jc w:val="center"/>
              <w:rPr>
                <w:rFonts w:eastAsia="Times New Roman"/>
                <w:b/>
                <w:lang w:eastAsia="en-US"/>
              </w:rPr>
            </w:pPr>
            <w:r>
              <w:rPr>
                <w:rFonts w:eastAsia="Times New Roman"/>
                <w:b/>
                <w:lang w:eastAsia="en-US"/>
              </w:rPr>
            </w:r>
            <w:r/>
          </w:p>
          <w:p>
            <w:pPr>
              <w:pStyle w:val="940"/>
              <w:jc w:val="center"/>
              <w:rPr>
                <w:rFonts w:eastAsia="Times New Roman"/>
                <w:b/>
                <w:lang w:eastAsia="en-US"/>
              </w:rPr>
            </w:pPr>
            <w:r>
              <w:rPr>
                <w:rFonts w:eastAsia="Times New Roman"/>
                <w:b/>
                <w:lang w:eastAsia="en-US"/>
              </w:rPr>
              <w:t xml:space="preserve">2018 г.</w:t>
            </w:r>
            <w:r/>
          </w:p>
        </w:tc>
        <w:tc>
          <w:tcPr>
            <w:shd w:val="clear" w:color="auto" w:fill="dbe5f1"/>
            <w:tcBorders>
              <w:top w:val="single" w:color="000000" w:sz="4" w:space="0"/>
              <w:left w:val="single" w:color="000000" w:sz="4" w:space="0"/>
              <w:bottom w:val="single" w:color="000000" w:sz="4" w:space="0"/>
              <w:right w:val="single" w:color="000000" w:sz="4" w:space="0"/>
            </w:tcBorders>
            <w:tcW w:w="702" w:type="dxa"/>
            <w:textDirection w:val="lrTb"/>
            <w:noWrap w:val="false"/>
          </w:tcPr>
          <w:p>
            <w:pPr>
              <w:pStyle w:val="940"/>
              <w:jc w:val="center"/>
              <w:rPr>
                <w:rFonts w:eastAsia="Times New Roman"/>
                <w:b/>
                <w:lang w:eastAsia="en-US"/>
              </w:rPr>
            </w:pPr>
            <w:r>
              <w:rPr>
                <w:rFonts w:eastAsia="Times New Roman"/>
                <w:b/>
                <w:lang w:eastAsia="en-US"/>
              </w:rPr>
            </w:r>
            <w:r/>
          </w:p>
          <w:p>
            <w:pPr>
              <w:pStyle w:val="940"/>
              <w:jc w:val="center"/>
              <w:rPr>
                <w:rFonts w:eastAsia="Times New Roman"/>
                <w:b/>
                <w:lang w:eastAsia="en-US"/>
              </w:rPr>
            </w:pPr>
            <w:r>
              <w:rPr>
                <w:rFonts w:eastAsia="Times New Roman"/>
                <w:b/>
                <w:lang w:eastAsia="en-US"/>
              </w:rPr>
              <w:t xml:space="preserve">2017 </w:t>
            </w:r>
            <w:r/>
          </w:p>
          <w:p>
            <w:pPr>
              <w:pStyle w:val="940"/>
              <w:jc w:val="center"/>
              <w:rPr>
                <w:rFonts w:eastAsia="Times New Roman"/>
                <w:b/>
                <w:lang w:eastAsia="en-US"/>
              </w:rPr>
            </w:pPr>
            <w:r>
              <w:rPr>
                <w:rFonts w:eastAsia="Times New Roman"/>
                <w:b/>
                <w:lang w:eastAsia="en-US"/>
              </w:rPr>
              <w:t xml:space="preserve">г.</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bCs/>
                <w:iCs/>
                <w:color w:val="000000"/>
                <w:lang w:eastAsia="en-US"/>
              </w:rPr>
              <w:t xml:space="preserve">1. </w:t>
            </w:r>
            <w:r>
              <w:rPr>
                <w:rFonts w:eastAsia="Times New Roman"/>
                <w:bCs/>
                <w:iCs/>
                <w:color w:val="000000"/>
                <w:lang w:eastAsia="en-US"/>
              </w:rPr>
              <w:t xml:space="preserve">Географические модели. Географическая карта, план местности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83,10</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83,08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rFonts w:eastAsia="Times New Roman"/>
                <w:lang w:eastAsia="en-US"/>
              </w:rPr>
            </w:pPr>
            <w:r>
              <w:rPr>
                <w:rFonts w:eastAsia="Times New Roman"/>
                <w:lang w:eastAsia="en-US"/>
              </w:rPr>
              <w:t xml:space="preserve">89,31</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89,6</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lang w:eastAsia="en-US"/>
              </w:rPr>
            </w:pPr>
            <w:r>
              <w:rPr>
                <w:rFonts w:eastAsia="Times New Roman"/>
                <w:lang w:eastAsia="en-US"/>
              </w:rPr>
              <w:t xml:space="preserve">90,4</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color w:val="000000"/>
                <w:lang w:eastAsia="en-US"/>
              </w:rPr>
              <w:t xml:space="preserve">2</w:t>
            </w:r>
            <w:r>
              <w:rPr>
                <w:rFonts w:eastAsia="Times New Roman"/>
                <w:color w:val="000000"/>
                <w:lang w:eastAsia="en-US"/>
              </w:rPr>
              <w:t xml:space="preserve">. Атмосфера и гидросфера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74,65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67,69</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82,44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68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lang w:eastAsia="en-US"/>
              </w:rPr>
            </w:pPr>
            <w:r>
              <w:rPr>
                <w:rFonts w:eastAsia="Times New Roman"/>
                <w:lang w:eastAsia="en-US"/>
              </w:rPr>
              <w:t xml:space="preserve">72,3</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color w:val="000000"/>
                <w:lang w:eastAsia="en-US"/>
              </w:rPr>
              <w:t xml:space="preserve">3</w:t>
            </w:r>
            <w:r>
              <w:rPr>
                <w:rFonts w:eastAsia="Times New Roman"/>
                <w:color w:val="000000"/>
                <w:lang w:eastAsia="en-US"/>
              </w:rPr>
              <w:t xml:space="preserve">. Природные ресурсы рациональное и нерациональное природопользование</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59,86</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63,08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63,74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87,2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lang w:eastAsia="en-US"/>
              </w:rPr>
            </w:pPr>
            <w:r>
              <w:rPr>
                <w:rFonts w:eastAsia="Times New Roman"/>
                <w:lang w:eastAsia="en-US"/>
              </w:rPr>
              <w:t xml:space="preserve">77,6</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color w:val="000000"/>
                <w:lang w:eastAsia="en-US"/>
              </w:rPr>
              <w:t xml:space="preserve">4.</w:t>
            </w:r>
            <w:r>
              <w:rPr>
                <w:rFonts w:eastAsia="Times New Roman"/>
                <w:color w:val="000000"/>
                <w:lang w:eastAsia="en-US"/>
              </w:rPr>
              <w:t xml:space="preserve">Литосфера. Гидросфера. Атмосфера. Географическая оболочка Земли. Широтная зональность и высотная поясность</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45,07</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60,77</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47,71</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90,4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lang w:eastAsia="en-US"/>
              </w:rPr>
            </w:pPr>
            <w:r>
              <w:rPr>
                <w:rFonts w:eastAsia="Times New Roman"/>
                <w:lang w:eastAsia="en-US"/>
              </w:rPr>
              <w:t xml:space="preserve">20,2</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color w:val="000000"/>
                <w:lang w:eastAsia="en-US"/>
              </w:rPr>
              <w:t xml:space="preserve">5</w:t>
            </w:r>
            <w:r>
              <w:rPr>
                <w:rFonts w:eastAsia="Times New Roman"/>
                <w:color w:val="000000"/>
                <w:lang w:eastAsia="en-US"/>
              </w:rPr>
              <w:t xml:space="preserve">.Особенности природы материков и океанов. Сейсмические пояса. Особенности распространения крупных форм рельефа материков и России. Типы климата, факторы их формирования, климатические пояса России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56,34</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83,08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63,36</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contextualSpacing/>
              <w:jc w:val="center"/>
              <w:spacing w:before="0" w:after="0"/>
              <w:rPr>
                <w:rFonts w:eastAsia="Times New Roman"/>
                <w:bCs/>
                <w:lang w:eastAsia="en-US"/>
              </w:rPr>
            </w:pPr>
            <w:r>
              <w:rPr>
                <w:rFonts w:eastAsia="Times New Roman"/>
                <w:bCs/>
                <w:lang w:eastAsia="en-US"/>
              </w:rPr>
              <w:t xml:space="preserve">49,6</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lang w:eastAsia="en-US"/>
              </w:rPr>
            </w:pPr>
            <w:r>
              <w:rPr>
                <w:rFonts w:eastAsia="Times New Roman"/>
                <w:lang w:eastAsia="en-US"/>
              </w:rPr>
              <w:t xml:space="preserve">55,3</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color w:val="000000"/>
                <w:lang w:eastAsia="en-US"/>
              </w:rPr>
              <w:t xml:space="preserve">6</w:t>
            </w:r>
            <w:r>
              <w:rPr>
                <w:rFonts w:eastAsia="Times New Roman"/>
                <w:color w:val="000000"/>
                <w:lang w:eastAsia="en-US"/>
              </w:rPr>
              <w:t xml:space="preserve">.Земля как планета. Форма, размеры, движение Земли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64,79</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63,08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45,04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68,1</w:t>
            </w:r>
            <w:r/>
          </w:p>
        </w:tc>
      </w:tr>
      <w:tr>
        <w:trPr>
          <w:trHeight w:val="822"/>
        </w:trPr>
        <w:tc>
          <w:tcPr>
            <w:tcBorders>
              <w:top w:val="single" w:color="000000" w:sz="4" w:space="0"/>
              <w:left w:val="single" w:color="000000" w:sz="4" w:space="0"/>
              <w:bottom w:val="single" w:color="000000" w:sz="4" w:space="0"/>
            </w:tcBorders>
            <w:tcW w:w="5373" w:type="dxa"/>
            <w:vAlign w:val="center"/>
            <w:textDirection w:val="lrTb"/>
            <w:noWrap w:val="false"/>
          </w:tcPr>
          <w:p>
            <w:pPr>
              <w:pStyle w:val="940"/>
            </w:pPr>
            <w:r>
              <w:rPr>
                <w:rFonts w:eastAsia="Times New Roman"/>
                <w:b/>
                <w:lang w:eastAsia="en-US"/>
              </w:rPr>
              <w:t xml:space="preserve">7</w:t>
            </w:r>
            <w:r>
              <w:rPr>
                <w:rFonts w:eastAsia="Times New Roman"/>
                <w:lang w:eastAsia="en-US"/>
              </w:rPr>
              <w:t xml:space="preserve">.Литосфера. Рельеф земной поверхности. Мировой океан и его части. Воды суши. Особенности природы материков и океанов</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50,70</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0"/>
                <w:szCs w:val="20"/>
                <w:lang w:eastAsia="en-US"/>
              </w:rPr>
            </w:pPr>
            <w:r>
              <w:rPr>
                <w:color w:val="000000"/>
                <w:sz w:val="20"/>
                <w:szCs w:val="20"/>
                <w:lang w:eastAsia="en-US"/>
              </w:rPr>
              <w:t xml:space="preserve">66,15</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67,94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38,4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77,7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lang w:eastAsia="en-US"/>
              </w:rPr>
              <w:t xml:space="preserve">8</w:t>
            </w:r>
            <w:r>
              <w:rPr>
                <w:rFonts w:eastAsia="Times New Roman"/>
                <w:lang w:eastAsia="en-US"/>
              </w:rPr>
              <w:t xml:space="preserve">.Географические особенность воспроизводство населения мира. Половозрастной состав населения. Уровень качество жизни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71,83</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66,15</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83,97</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80,8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9</w:t>
            </w:r>
            <w:r>
              <w:rPr>
                <w:rFonts w:eastAsia="Times New Roman"/>
                <w:color w:val="000000"/>
                <w:lang w:eastAsia="en-US"/>
              </w:rPr>
              <w:t xml:space="preserve">.Географические особенности размещения населения. Неравномерность размещения населения земного шара. Размещение населения России. Основная полоса расселения.</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70,42</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72,31</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58,02</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lang w:eastAsia="en-US"/>
              </w:rPr>
            </w:pPr>
            <w:r>
              <w:rPr>
                <w:rFonts w:eastAsia="Times New Roman"/>
                <w:lang w:eastAsia="en-US"/>
              </w:rPr>
              <w:t xml:space="preserve">62,4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61,7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10</w:t>
            </w:r>
            <w:r>
              <w:rPr>
                <w:rFonts w:eastAsia="Times New Roman"/>
                <w:color w:val="000000"/>
                <w:lang w:eastAsia="en-US"/>
              </w:rPr>
              <w:t xml:space="preserve">.Структура занятости населения. Отраслевая структура хозяйства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73,24</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56,92</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75,57</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contextualSpacing/>
              <w:jc w:val="center"/>
              <w:spacing w:before="0" w:after="0"/>
              <w:rPr>
                <w:rFonts w:eastAsia="Times New Roman"/>
                <w:bCs/>
                <w:lang w:eastAsia="en-US"/>
              </w:rPr>
            </w:pPr>
            <w:r>
              <w:rPr>
                <w:rFonts w:eastAsia="Times New Roman"/>
                <w:bCs/>
                <w:lang w:eastAsia="en-US"/>
              </w:rPr>
              <w:t xml:space="preserve">74,4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73,4</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11.</w:t>
            </w:r>
            <w:r>
              <w:rPr>
                <w:rFonts w:eastAsia="Times New Roman"/>
                <w:color w:val="000000"/>
                <w:lang w:eastAsia="en-US"/>
              </w:rPr>
              <w:t xml:space="preserve">Особенности природно-ресурсного потенциала, населения, хозяйства, культуры крупных стран мира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59,15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49,23</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58,02</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contextualSpacing/>
              <w:jc w:val="center"/>
              <w:spacing w:before="0" w:after="0"/>
              <w:rPr>
                <w:rFonts w:eastAsia="Times New Roman"/>
                <w:bCs/>
                <w:lang w:eastAsia="en-US"/>
              </w:rPr>
            </w:pPr>
            <w:r>
              <w:rPr>
                <w:rFonts w:eastAsia="Times New Roman"/>
                <w:bCs/>
                <w:lang w:eastAsia="en-US"/>
              </w:rPr>
              <w:t xml:space="preserve">68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69,1</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bCs/>
                <w:lang w:eastAsia="en-US"/>
              </w:rPr>
              <w:t xml:space="preserve">12</w:t>
            </w:r>
            <w:r>
              <w:rPr>
                <w:rFonts w:eastAsia="Times New Roman"/>
                <w:bCs/>
                <w:lang w:eastAsia="en-US"/>
              </w:rPr>
              <w:t xml:space="preserve">.Городское и сельское население. Города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76,06</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72,31</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71,76</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contextualSpacing/>
              <w:jc w:val="center"/>
              <w:spacing w:before="0" w:after="0"/>
              <w:rPr>
                <w:rFonts w:eastAsia="Times New Roman"/>
                <w:bCs/>
                <w:lang w:eastAsia="en-US"/>
              </w:rPr>
            </w:pPr>
            <w:r>
              <w:rPr>
                <w:rFonts w:eastAsia="Times New Roman"/>
                <w:bCs/>
                <w:lang w:eastAsia="en-US"/>
              </w:rPr>
              <w:t xml:space="preserve">59,2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59,6</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bCs/>
                <w:lang w:eastAsia="en-US"/>
              </w:rPr>
              <w:t xml:space="preserve">13. </w:t>
            </w:r>
            <w:r>
              <w:rPr>
                <w:rFonts w:eastAsia="Times New Roman"/>
                <w:bCs/>
                <w:lang w:eastAsia="en-US"/>
              </w:rPr>
              <w:t xml:space="preserve">География отраслей промышленности России. География сельского хозяйства. География важнейших видов транспорта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25,35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29,23</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47,33</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52,8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50</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14.</w:t>
            </w:r>
            <w:r>
              <w:rPr>
                <w:rFonts w:eastAsia="Times New Roman"/>
                <w:color w:val="000000"/>
                <w:lang w:eastAsia="en-US"/>
              </w:rPr>
              <w:t xml:space="preserve">Природно-хозяйственное районирование России. Регионы России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47,89</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59,23</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58,40</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83,2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53,2</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15.</w:t>
            </w:r>
            <w:r>
              <w:rPr>
                <w:rFonts w:eastAsia="Times New Roman"/>
                <w:color w:val="000000"/>
                <w:lang w:eastAsia="en-US"/>
              </w:rPr>
              <w:t xml:space="preserve">Определение географических объектов и явлений по их существенным признакам</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84,51</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70,00</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83,59</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74,4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71,3</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bCs/>
                <w:lang w:eastAsia="en-US"/>
              </w:rPr>
              <w:t xml:space="preserve">16</w:t>
            </w:r>
            <w:r>
              <w:rPr>
                <w:rFonts w:eastAsia="Times New Roman"/>
                <w:bCs/>
                <w:lang w:eastAsia="en-US"/>
              </w:rPr>
              <w:t xml:space="preserve">.Мировое хозяйство. Хозяйство России. Регионы России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70,42</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73,85</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73,28</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83,2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68,1</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lang w:eastAsia="en-US"/>
              </w:rPr>
              <w:t xml:space="preserve">17.</w:t>
            </w:r>
            <w:r>
              <w:rPr>
                <w:rFonts w:eastAsia="Times New Roman"/>
                <w:color w:val="000000"/>
                <w:lang w:eastAsia="en-US"/>
              </w:rPr>
              <w:t xml:space="preserve">Погода и климат. Распределение тепла и влаги на Земле</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76,06</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89,23</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80,92</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78,4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81,9</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18.</w:t>
            </w:r>
            <w:r>
              <w:rPr>
                <w:rFonts w:eastAsia="Times New Roman"/>
                <w:color w:val="000000"/>
                <w:lang w:eastAsia="en-US"/>
              </w:rPr>
              <w:t xml:space="preserve">Административно-территориальное деление России. Столицы и крупные города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70,42</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62,60</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79,2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80,9</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19.</w:t>
            </w:r>
            <w:r>
              <w:rPr>
                <w:rFonts w:eastAsia="Times New Roman"/>
                <w:color w:val="000000"/>
                <w:lang w:eastAsia="en-US"/>
              </w:rPr>
              <w:t xml:space="preserve">Ведущие страны-экспортёры основных видов промышленной продукции. Ведущие страны-экспортёры основных видов сельскохозяйственной продукции. Основные международные магистрали и транспортные узлы</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40,85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30,77</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50,38</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41,6</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47,9</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20.</w:t>
            </w:r>
            <w:r>
              <w:rPr>
                <w:rFonts w:eastAsia="Times New Roman"/>
                <w:color w:val="000000"/>
                <w:lang w:eastAsia="en-US"/>
              </w:rPr>
              <w:t xml:space="preserve">Часовые зоны</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74,65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83,08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80,92</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78,4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78,7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21.</w:t>
            </w:r>
            <w:r>
              <w:rPr>
                <w:rFonts w:eastAsia="Times New Roman"/>
                <w:color w:val="000000"/>
                <w:lang w:eastAsia="en-US"/>
              </w:rPr>
              <w:t xml:space="preserve">Направление и типы миграции населения России. Городское и сельское население.</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73,24</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72,31</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77,10</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70,4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78,7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bCs/>
                <w:lang w:eastAsia="en-US"/>
              </w:rPr>
              <w:t xml:space="preserve">22</w:t>
            </w:r>
            <w:r>
              <w:rPr>
                <w:rFonts w:eastAsia="Times New Roman"/>
                <w:bCs/>
                <w:lang w:eastAsia="en-US"/>
              </w:rPr>
              <w:t xml:space="preserve">.Природные ресурсы</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66,20</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69,23</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67,94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75,5</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23.</w:t>
            </w:r>
            <w:r>
              <w:rPr>
                <w:rFonts w:eastAsia="Times New Roman"/>
                <w:color w:val="000000"/>
                <w:lang w:eastAsia="en-US"/>
              </w:rPr>
              <w:t xml:space="preserve">Этапы геологической истории земной коры. Геологическая хронология</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61,97</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72,31</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75,57</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66,4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70,2</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lang w:eastAsia="en-US"/>
              </w:rPr>
              <w:t xml:space="preserve">24</w:t>
            </w:r>
            <w:r>
              <w:rPr>
                <w:rFonts w:eastAsia="Times New Roman"/>
                <w:lang w:eastAsia="en-US"/>
              </w:rPr>
              <w:t xml:space="preserve">.Особенности природно-ресурсного потенциала, населения, хозяйства, культуры крупных стран мира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39,44</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53,85</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51,15</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44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47,9</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lang w:eastAsia="en-US"/>
              </w:rPr>
              <w:t xml:space="preserve">25</w:t>
            </w:r>
            <w:r>
              <w:rPr>
                <w:rFonts w:eastAsia="Times New Roman"/>
                <w:lang w:eastAsia="en-US"/>
              </w:rPr>
              <w:t xml:space="preserve">.Природно-хозяйственное районирование России. Регионы России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61,97</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41,54</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55,73</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31,2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58,5</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26.</w:t>
            </w:r>
            <w:r>
              <w:rPr>
                <w:rFonts w:eastAsia="Times New Roman"/>
                <w:color w:val="000000"/>
                <w:lang w:eastAsia="en-US"/>
              </w:rPr>
              <w:t xml:space="preserve">Географические модели. Географическая карта, план местности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85,92</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80,00</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71,76</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71,2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78,7</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pPr>
            <w:r>
              <w:rPr>
                <w:rFonts w:eastAsia="Times New Roman"/>
                <w:b/>
                <w:color w:val="000000"/>
                <w:lang w:eastAsia="en-US"/>
              </w:rPr>
              <w:t xml:space="preserve">27</w:t>
            </w:r>
            <w:r>
              <w:rPr>
                <w:rFonts w:eastAsia="Times New Roman"/>
                <w:color w:val="000000"/>
                <w:lang w:eastAsia="en-US"/>
              </w:rPr>
              <w:t xml:space="preserve">.Географические модели. Географическая карта, план местности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57,75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56,92</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54,20</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56,8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58,5</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spacing w:val="-1"/>
                <w:lang w:eastAsia="en-US"/>
              </w:rPr>
              <w:t xml:space="preserve">28</w:t>
            </w:r>
            <w:r>
              <w:rPr>
                <w:rFonts w:eastAsia="Times New Roman"/>
                <w:spacing w:val="-1"/>
                <w:lang w:eastAsia="en-US"/>
              </w:rPr>
              <w:t xml:space="preserve">.Построение профиля местности по топографической карте</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59,15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55,38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55,34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61,2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63</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NewRomanPSMT;Times New Roman"/>
                <w:b/>
                <w:lang w:eastAsia="en-US"/>
              </w:rPr>
              <w:t xml:space="preserve">29</w:t>
            </w:r>
            <w:r>
              <w:rPr>
                <w:rFonts w:eastAsia="TimesNewRomanPSMT;Times New Roman"/>
                <w:lang w:eastAsia="en-US"/>
              </w:rPr>
              <w:t xml:space="preserve">.Литосфера, гидросфера, атмосфера, биосфера. Природа России. Динамика численности населения Земли. Половозрастной состав </w:t>
            </w:r>
            <w:r>
              <w:rPr>
                <w:rFonts w:eastAsia="TimesNewRomanPSMT;Times New Roman"/>
                <w:lang w:eastAsia="en-US"/>
              </w:rPr>
              <w:t xml:space="preserve">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воздействие на окружающую среду различных сфер и отраслей хозяйства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48,59</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33,08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32,44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57,6</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80,8</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NewRomanPSMT;Times New Roman"/>
                <w:b/>
                <w:lang w:eastAsia="en-US"/>
              </w:rPr>
              <w:t xml:space="preserve">30</w:t>
            </w:r>
            <w:r>
              <w:rPr>
                <w:rFonts w:eastAsia="TimesNewRomanPSMT;Times New Roman"/>
                <w:lang w:eastAsia="en-US"/>
              </w:rPr>
              <w:t xml:space="preserve">.Литосфера, гидросфера, атмосфера, биосфера. Природа России.</w:t>
            </w:r>
            <w:r>
              <w:rPr>
                <w:rFonts w:eastAsia="Times New Roman"/>
                <w:lang w:eastAsia="en-US"/>
              </w:rPr>
              <w:t xml:space="preserve"> Анализ климатических диаграмм. Динамика численности населения Земли. Половозрастной состав населения. </w:t>
            </w:r>
            <w:r>
              <w:rPr>
                <w:rFonts w:eastAsia="TimesNewRomanPSMT;Times New Roman"/>
                <w:lang w:eastAsia="en-US"/>
              </w:rPr>
              <w:t xml:space="preserve">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воздействие на окружающую среду различных сфер и отраслей хозяйства</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50,00</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27,69</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32,06</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52</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35</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31.</w:t>
            </w:r>
            <w:r>
              <w:rPr>
                <w:rFonts w:eastAsia="Times New Roman"/>
                <w:color w:val="000000"/>
                <w:lang w:eastAsia="en-US"/>
              </w:rPr>
              <w:t xml:space="preserve">География основных отраслей производственной и не производственной сфер</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59,15</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56,15</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58,78</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68,8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75</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lang w:eastAsia="en-US"/>
              </w:rPr>
              <w:t xml:space="preserve">32</w:t>
            </w:r>
            <w:r>
              <w:rPr>
                <w:rFonts w:eastAsia="Times New Roman"/>
                <w:lang w:eastAsia="en-US"/>
              </w:rPr>
              <w:t xml:space="preserve">.Земля, как планета, современный облик планеты Земля. Форма, размеры и движение Земли</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42,96</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33,08</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30,15</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12,8</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36</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33</w:t>
            </w:r>
            <w:r>
              <w:rPr>
                <w:rFonts w:eastAsia="Times New Roman"/>
                <w:color w:val="000000"/>
                <w:lang w:eastAsia="en-US"/>
              </w:rPr>
              <w:t xml:space="preserve">.Численность, естественное движение населения России. Определение показателя естественного прироста населения в промилле</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64,79</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58,46</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59,54</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73,6</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54</w:t>
            </w:r>
            <w:r/>
          </w:p>
        </w:tc>
      </w:tr>
      <w:tr>
        <w:trPr>
          <w:trHeight w:val="822"/>
        </w:trPr>
        <w:tc>
          <w:tcPr>
            <w:tcBorders>
              <w:top w:val="single" w:color="000000" w:sz="4" w:space="0"/>
              <w:left w:val="single" w:color="000000" w:sz="4" w:space="0"/>
              <w:bottom w:val="single" w:color="000000" w:sz="4" w:space="0"/>
            </w:tcBorders>
            <w:tcW w:w="5373" w:type="dxa"/>
            <w:textDirection w:val="lrTb"/>
            <w:noWrap w:val="false"/>
          </w:tcPr>
          <w:p>
            <w:pPr>
              <w:pStyle w:val="940"/>
              <w:jc w:val="both"/>
            </w:pPr>
            <w:r>
              <w:rPr>
                <w:rFonts w:eastAsia="Times New Roman"/>
                <w:b/>
                <w:color w:val="000000"/>
                <w:lang w:eastAsia="en-US"/>
              </w:rPr>
              <w:t xml:space="preserve">34</w:t>
            </w:r>
            <w:r>
              <w:rPr>
                <w:rFonts w:eastAsia="Times New Roman"/>
                <w:color w:val="000000"/>
                <w:lang w:eastAsia="en-US"/>
              </w:rPr>
              <w:t xml:space="preserve">.Направление и типы миграции. </w:t>
            </w:r>
            <w:r>
              <w:rPr>
                <w:rFonts w:eastAsia="Times New Roman"/>
                <w:spacing w:val="-1"/>
                <w:lang w:eastAsia="en-US"/>
              </w:rPr>
              <w:t xml:space="preserve">Определение величины миграционного прироста населения путем арифметических вычислений</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rPr>
                <w:color w:val="000000"/>
                <w:sz w:val="22"/>
                <w:szCs w:val="22"/>
                <w:lang w:eastAsia="en-US"/>
              </w:rPr>
            </w:pPr>
            <w:r>
              <w:rPr>
                <w:color w:val="000000"/>
                <w:sz w:val="22"/>
                <w:szCs w:val="22"/>
                <w:lang w:eastAsia="en-US"/>
              </w:rPr>
              <w:t xml:space="preserve">68,31</w:t>
            </w:r>
            <w:r/>
          </w:p>
        </w:tc>
        <w:tc>
          <w:tcPr>
            <w:shd w:val="clear" w:color="auto" w:fill="ffffff"/>
            <w:tcBorders>
              <w:top w:val="single" w:color="000000" w:sz="4" w:space="0"/>
              <w:left w:val="single" w:color="000000" w:sz="4" w:space="0"/>
              <w:bottom w:val="single" w:color="000000" w:sz="4" w:space="0"/>
            </w:tcBorders>
            <w:tcW w:w="963" w:type="dxa"/>
            <w:vAlign w:val="center"/>
            <w:textDirection w:val="lrTb"/>
            <w:noWrap w:val="false"/>
          </w:tcPr>
          <w:p>
            <w:pPr>
              <w:pStyle w:val="940"/>
              <w:jc w:val="center"/>
              <w:spacing w:line="252" w:lineRule="auto"/>
              <w:rPr>
                <w:color w:val="000000"/>
                <w:sz w:val="20"/>
                <w:szCs w:val="20"/>
                <w:lang w:eastAsia="en-US"/>
              </w:rPr>
            </w:pPr>
            <w:r>
              <w:rPr>
                <w:color w:val="000000"/>
                <w:sz w:val="20"/>
                <w:szCs w:val="20"/>
                <w:lang w:eastAsia="en-US"/>
              </w:rPr>
              <w:t xml:space="preserve">58,46</w:t>
            </w:r>
            <w:r/>
          </w:p>
        </w:tc>
        <w:tc>
          <w:tcPr>
            <w:shd w:val="clear" w:color="auto" w:fill="ffffff"/>
            <w:tcBorders>
              <w:top w:val="single" w:color="000000" w:sz="4" w:space="0"/>
              <w:left w:val="single" w:color="000000" w:sz="4" w:space="0"/>
              <w:bottom w:val="single" w:color="000000" w:sz="4" w:space="0"/>
            </w:tcBorders>
            <w:tcW w:w="830" w:type="dxa"/>
            <w:vAlign w:val="center"/>
            <w:textDirection w:val="lrTb"/>
            <w:noWrap w:val="false"/>
          </w:tcPr>
          <w:p>
            <w:pPr>
              <w:pStyle w:val="940"/>
              <w:jc w:val="center"/>
              <w:rPr>
                <w:color w:val="000000"/>
                <w:lang w:eastAsia="en-US"/>
              </w:rPr>
            </w:pPr>
            <w:r>
              <w:rPr>
                <w:color w:val="000000"/>
                <w:lang w:eastAsia="en-US"/>
              </w:rPr>
              <w:t xml:space="preserve">57,25</w:t>
            </w:r>
            <w:r/>
          </w:p>
        </w:tc>
        <w:tc>
          <w:tcPr>
            <w:shd w:val="clear" w:color="auto" w:fill="ffffff"/>
            <w:tcBorders>
              <w:top w:val="single" w:color="000000" w:sz="4" w:space="0"/>
              <w:left w:val="single" w:color="000000" w:sz="4" w:space="0"/>
              <w:bottom w:val="single" w:color="000000" w:sz="4" w:space="0"/>
            </w:tcBorders>
            <w:tcW w:w="808" w:type="dxa"/>
            <w:vAlign w:val="center"/>
            <w:textDirection w:val="lrTb"/>
            <w:noWrap w:val="false"/>
          </w:tcPr>
          <w:p>
            <w:pPr>
              <w:pStyle w:val="940"/>
              <w:jc w:val="center"/>
              <w:rPr>
                <w:rFonts w:eastAsia="Times New Roman"/>
                <w:bCs/>
                <w:lang w:eastAsia="en-US"/>
              </w:rPr>
            </w:pPr>
            <w:r>
              <w:rPr>
                <w:rFonts w:eastAsia="Times New Roman"/>
                <w:bCs/>
                <w:lang w:eastAsia="en-US"/>
              </w:rPr>
              <w:t xml:space="preserve">70,4</w:t>
            </w:r>
            <w:r/>
          </w:p>
        </w:tc>
        <w:tc>
          <w:tcPr>
            <w:shd w:val="clear" w:color="auto" w:fill="ffffff"/>
            <w:tcBorders>
              <w:top w:val="single" w:color="000000" w:sz="4" w:space="0"/>
              <w:left w:val="single" w:color="000000" w:sz="4" w:space="0"/>
              <w:bottom w:val="single" w:color="000000" w:sz="4" w:space="0"/>
              <w:right w:val="single" w:color="000000" w:sz="4" w:space="0"/>
            </w:tcBorders>
            <w:tcW w:w="702" w:type="dxa"/>
            <w:vAlign w:val="center"/>
            <w:textDirection w:val="lrTb"/>
            <w:noWrap w:val="false"/>
          </w:tcPr>
          <w:p>
            <w:pPr>
              <w:pStyle w:val="940"/>
              <w:jc w:val="center"/>
              <w:rPr>
                <w:rFonts w:eastAsia="Times New Roman"/>
                <w:bCs/>
                <w:lang w:eastAsia="en-US"/>
              </w:rPr>
            </w:pPr>
            <w:r>
              <w:rPr>
                <w:rFonts w:eastAsia="Times New Roman"/>
                <w:bCs/>
                <w:lang w:eastAsia="en-US"/>
              </w:rPr>
              <w:t xml:space="preserve">64</w:t>
            </w:r>
            <w:r/>
          </w:p>
        </w:tc>
      </w:tr>
    </w:tbl>
    <w:p>
      <w:pPr>
        <w:pStyle w:val="940"/>
        <w:jc w:val="both"/>
      </w:pPr>
      <w:r/>
      <w:r/>
    </w:p>
    <w:p>
      <w:pPr>
        <w:pStyle w:val="940"/>
        <w:ind w:firstLine="708"/>
        <w:jc w:val="both"/>
      </w:pPr>
      <w:r>
        <w:t xml:space="preserve">Анал</w:t>
      </w:r>
      <w:r>
        <w:t xml:space="preserve">изируя результаты выполненных работ абитуриентами, можно проследить следующую закономерность: отмечается тенденция увеличения качества экзаменационных работ (задания развернутой части выполнены в 2021 году более успешно по сравнению с 2020 и 2019 годами). </w:t>
      </w:r>
      <w:r/>
    </w:p>
    <w:p>
      <w:pPr>
        <w:pStyle w:val="940"/>
        <w:ind w:firstLine="708"/>
        <w:jc w:val="both"/>
      </w:pPr>
      <w:r>
        <w:t xml:space="preserve">Результаты выполненных работ ЕГЭ абитуриентов позволяет сделать следующие выводы: типичные ошибки, допускаемые в работах, обусловлены неумением ясно, логично и точно излагать свои мысли и правильно исп</w:t>
      </w:r>
      <w:r>
        <w:t xml:space="preserve">ользовать адекватные языковые средства, слабое владение понятийным аппаратом физической географии и недостаточным пониманием географических явлений и процессов в геосферах. Отмечается, что выпускники, принявшие участие в экзамене, не имеют объективного пре</w:t>
      </w:r>
      <w:r>
        <w:t xml:space="preserve">дставления о географических процессах и явлениях. Поэтому они не могут осознать сущность процессов, протекающих как на поверхности, так и в недрах Земли, что не позволяет им объективно отражать причинно-следственные связи процессов и явлений нашей планеты.</w:t>
      </w:r>
      <w:r/>
    </w:p>
    <w:p>
      <w:pPr>
        <w:pStyle w:val="940"/>
        <w:ind w:firstLine="708"/>
        <w:jc w:val="both"/>
      </w:pPr>
      <w:r>
        <w:t xml:space="preserve">Необходимо выявлять типичные ошибки, которые являются следствием пробела в знаниях фактического материала. Важно отметить умения учащихся грамотно излагать свои мысли и понимать смысл географи</w:t>
      </w:r>
      <w:r>
        <w:t xml:space="preserve">ческой терминологии, что явится фундаментом для формирования основных предметных компетентностей. Это позволит сформировать диалектически связанные умения с географическим анализом текстовой информации с привлечением и углубленным навыком при чтении геогра</w:t>
      </w:r>
      <w:r>
        <w:t xml:space="preserve">фических текстов, формирование которых предусматривается метапредметными результатами при освоении образовательных программ ФГОС. Следует учитывать, что важным недостатком подготовки выпускников является не достижение требования стандарта знать и понимать.</w:t>
      </w:r>
      <w:r/>
    </w:p>
    <w:p>
      <w:pPr>
        <w:pStyle w:val="940"/>
        <w:ind w:firstLine="708"/>
        <w:jc w:val="both"/>
      </w:pPr>
      <w:r>
        <w:t xml:space="preserve">Анализ результатов выполненных заданий по географии 2021 года позволяет сделать выводы, что по отдельным разделам предмета учащиеся знают и пон</w:t>
      </w:r>
      <w:r>
        <w:t xml:space="preserve">имают основные термины и понятия физической, экономической и социальной географии, освоили номенклатуру на достаточном уровне, умеют анализировать физико-географические аспекты материков, разбираются в типологических характеристиках современных стран мира.</w:t>
      </w:r>
      <w:r/>
    </w:p>
    <w:p>
      <w:pPr>
        <w:pStyle w:val="940"/>
        <w:ind w:firstLine="708"/>
        <w:jc w:val="both"/>
      </w:pPr>
      <w:r>
        <w:t xml:space="preserve">К недостаткам подготовки выпускников ЕГЭ 2021 г. можно отнести следующее: неглубокое знание и неумение обосновать </w:t>
      </w:r>
      <w:r>
        <w:t xml:space="preserve">географические особенности природы материков и океанов, своеобразие природы России, детализацию специализации стран в системе международного географического разделения труда, не всегда обосновывают роль и следствие движений (суточного и годового) и размеро</w:t>
      </w:r>
      <w:r>
        <w:t xml:space="preserve">в Земли, определять на карте местоположение географических объектов, выделять, описывать существенные признаки географических объектов и явлений и не всегда могут использовать приобретенные в школьном курсе знания и умения в практической деятельности и др.</w:t>
      </w:r>
      <w:r/>
    </w:p>
    <w:p>
      <w:pPr>
        <w:pStyle w:val="940"/>
        <w:ind w:firstLine="708"/>
        <w:jc w:val="both"/>
      </w:pPr>
      <w:r>
        <w:t xml:space="preserve">В целом необходимо отметить, что анализ работ участников ЕГЭ в 2021 году позволяет отметить положительные результаты при выполнении экза</w:t>
      </w:r>
      <w:r>
        <w:t xml:space="preserve">менационных работ. Это обусловлено, прежде всего, тем, что учителя школ стали уделять больше внимания в работе с КИМ и практическим занятиям. Значительная роль отведена времени для решения географических задач, построения профилей и работе с номенклатурой.</w:t>
      </w:r>
      <w:r/>
    </w:p>
    <w:p>
      <w:pPr>
        <w:pStyle w:val="940"/>
        <w:ind w:firstLine="708"/>
        <w:jc w:val="both"/>
        <w:rPr>
          <w:i/>
        </w:rPr>
      </w:pPr>
      <w:r>
        <w:rPr>
          <w:i/>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pPr>
      <w:r>
        <w:t xml:space="preserve">Содержательные изменения в КИМ 2021 года не вносились.</w:t>
      </w:r>
      <w:r/>
    </w:p>
    <w:p>
      <w:pPr>
        <w:pStyle w:val="940"/>
        <w:ind w:firstLine="708"/>
        <w:jc w:val="both"/>
        <w:rPr>
          <w:i/>
        </w:rPr>
      </w:pPr>
      <w:r>
        <w:rPr>
          <w:i/>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contextualSpacing/>
        <w:ind w:firstLine="708"/>
        <w:jc w:val="both"/>
        <w:spacing w:before="0" w:after="0"/>
        <w:rPr>
          <w:rFonts w:eastAsia="TimesNewRomanPSMT;Times New Roman"/>
          <w:color w:val="000000"/>
        </w:rPr>
      </w:pPr>
      <w:r>
        <w:rPr>
          <w:rFonts w:eastAsia="TimesNewRomanPSMT;Times New Roman"/>
          <w:color w:val="000000"/>
        </w:rPr>
        <w:t xml:space="preserve">Результаты проведения ЕГЭ в 2021 году с учетом рекомендаций для системы образования Астраханской области,</w:t>
      </w:r>
      <w:r>
        <w:rPr>
          <w:rFonts w:eastAsia="TimesNewRomanPSMT;Times New Roman"/>
          <w:color w:val="000000"/>
        </w:rPr>
        <w:t xml:space="preserve"> включенных с статистико-аналитический отчет результатов ЕГЭ в 2020 году показал хорошую динамику усвоения элементов содержания и формирования умений и навыков учащимися. Были выявлены существующие пробелы в знаниях обучающихся. При планировании образовате</w:t>
      </w:r>
      <w:r>
        <w:rPr>
          <w:rFonts w:eastAsia="TimesNewRomanPSMT;Times New Roman"/>
          <w:color w:val="000000"/>
        </w:rPr>
        <w:t xml:space="preserve">льного процесса перед началом изучения каждого раздела курса предусмотрено время на диагностику аспектов подготовки. При составлении диагностических работ предусмотрены задания из различных сборников, предназначенных для проведения тематического контроля. </w:t>
      </w:r>
      <w:r/>
    </w:p>
    <w:p>
      <w:pPr>
        <w:pStyle w:val="940"/>
        <w:ind w:firstLine="708"/>
        <w:jc w:val="both"/>
        <w:rPr>
          <w:rFonts w:eastAsia="TimesNewRomanPSMT;Times New Roman"/>
          <w:color w:val="000000"/>
        </w:rPr>
      </w:pPr>
      <w:r>
        <w:rPr>
          <w:rFonts w:eastAsia="TimesNewRomanPSMT;Times New Roman"/>
          <w:color w:val="000000"/>
        </w:rPr>
        <w:t xml:space="preserve">Недостаточная математическая подготовка выпускников компенсирована методикой порядка расчетов показателей в процентах и в промилле при изучении раздела «География населения мира»: для расчетов коэффициентов рождаемости, смертност</w:t>
      </w:r>
      <w:r>
        <w:rPr>
          <w:rFonts w:eastAsia="TimesNewRomanPSMT;Times New Roman"/>
          <w:color w:val="000000"/>
        </w:rPr>
        <w:t xml:space="preserve">и или естественного прироста в промилле; при изучении раздела «География отраслей мирового хозяйства»: для расчетов в процентах долей отдельных стран в производстве и поставках на мировой рынок различных видов промышленной и сельскохозяйственной продукции.</w:t>
      </w:r>
      <w:r/>
    </w:p>
    <w:p>
      <w:pPr>
        <w:pStyle w:val="940"/>
        <w:ind w:firstLine="708"/>
        <w:jc w:val="both"/>
        <w:rPr>
          <w:rFonts w:eastAsia="TimesNewRomanPSMT;Times New Roman"/>
          <w:color w:val="000000"/>
        </w:rPr>
      </w:pPr>
      <w:r>
        <w:rPr>
          <w:rFonts w:eastAsia="TimesNewRomanPSMT;Times New Roman"/>
          <w:color w:val="000000"/>
        </w:rPr>
        <w:t xml:space="preserve">При изучении каждого из географических районов России проводилась самостоятельная работа с тематическими картами по физической и экономической географии России для составления кратких характеристик природы и населения географических районов; анализ разных</w:t>
      </w:r>
      <w:r>
        <w:rPr>
          <w:rFonts w:eastAsia="TimesNewRomanPSMT;Times New Roman"/>
          <w:color w:val="000000"/>
        </w:rPr>
        <w:t xml:space="preserve"> типов карт, климатодиаграмм и картосхем, построение комплексного физико-географического профиля; определение промышленной специализации города и факторов размещения производства, определение географических объектов и явлений по их существенным признакам. </w:t>
      </w:r>
      <w:r/>
    </w:p>
    <w:p>
      <w:pPr>
        <w:pStyle w:val="940"/>
        <w:ind w:firstLine="708"/>
        <w:jc w:val="both"/>
        <w:rPr>
          <w:rFonts w:eastAsia="TimesNewRomanPSMT;Times New Roman"/>
          <w:color w:val="000000"/>
        </w:rPr>
      </w:pPr>
      <w:r>
        <w:rPr>
          <w:rFonts w:eastAsia="TimesNewRomanPSMT;Times New Roman"/>
          <w:color w:val="000000"/>
        </w:rPr>
        <w:t xml:space="preserve">Уделено большое внимание урокам, на которых учащиеся обучаются обобщенным методам решения географических задач по теме: «Земля, как планета, современный облик планеты Земля. Форма, размеры и движение Земли».</w:t>
      </w:r>
      <w:r/>
    </w:p>
    <w:p>
      <w:pPr>
        <w:pStyle w:val="940"/>
        <w:ind w:firstLine="708"/>
        <w:jc w:val="both"/>
        <w:rPr>
          <w:rFonts w:eastAsia="TimesNewRomanPSMT;Times New Roman"/>
          <w:color w:val="000000"/>
        </w:rPr>
      </w:pPr>
      <w:r>
        <w:rPr>
          <w:rFonts w:eastAsia="TimesNewRomanPSMT;Times New Roman"/>
          <w:color w:val="000000"/>
        </w:rPr>
        <w:t xml:space="preserve">Составлены географические описания населения, хозяйства и экологической обстановки отдельных стран и регионов мира на основе как предложенных учителем, так и самостоятельно выделенных параметров.</w:t>
      </w:r>
      <w:r/>
    </w:p>
    <w:p>
      <w:pPr>
        <w:pStyle w:val="940"/>
        <w:ind w:firstLine="708"/>
        <w:jc w:val="both"/>
        <w:rPr>
          <w:rFonts w:eastAsia="TimesNewRomanPSMT;Times New Roman"/>
        </w:rPr>
      </w:pPr>
      <w:r>
        <w:rPr>
          <w:rFonts w:eastAsia="TimesNewRomanPSMT;Times New Roman"/>
        </w:rPr>
        <w:t xml:space="preserve">При изучении ряда тем по географии в разных классах использовались тексты разных жанров, раскрывающие научные, информационные, публицистические и другие вопросы с целью более глубокого познания изучаемых объектов.</w:t>
      </w:r>
      <w:r/>
    </w:p>
    <w:p>
      <w:pPr>
        <w:pStyle w:val="940"/>
        <w:jc w:val="both"/>
        <w:rPr>
          <w:rFonts w:eastAsia="TimesNewRomanPSMT;Times New Roman"/>
        </w:rPr>
      </w:pPr>
      <w:r>
        <w:rPr>
          <w:rFonts w:eastAsia="TimesNewRomanPSMT;Times New Roman"/>
        </w:rPr>
        <w:t xml:space="preserve">Активно внедряются в учебный процесс такие средства обучения как ИКТ и Интернет.</w:t>
      </w:r>
      <w:r/>
    </w:p>
    <w:p>
      <w:pPr>
        <w:pStyle w:val="940"/>
        <w:ind w:firstLine="708"/>
        <w:jc w:val="both"/>
        <w:rPr>
          <w:rFonts w:eastAsia="TimesNewRomanPSMT;Times New Roman"/>
          <w:i/>
        </w:rPr>
      </w:pPr>
      <w:r>
        <w:rPr>
          <w:rFonts w:eastAsia="TimesNewRomanPSMT;Times New Roman"/>
          <w:i/>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ind w:firstLine="708"/>
        <w:jc w:val="both"/>
        <w:rPr>
          <w:rFonts w:eastAsia="TimesNewRomanPSMT;Times New Roman"/>
        </w:rPr>
      </w:pPr>
      <w:r>
        <w:rPr>
          <w:rFonts w:eastAsia="TimesNewRomanPSMT;Times New Roman"/>
        </w:rPr>
        <w:t xml:space="preserve">Мероприятия, включенные в дорожную карту 2020 года, оказали положительное влияние на результаты проведения ЕГЭ. Был проанализирован перечень средств обучения, нео</w:t>
      </w:r>
      <w:r>
        <w:rPr>
          <w:rFonts w:eastAsia="TimesNewRomanPSMT;Times New Roman"/>
        </w:rPr>
        <w:t xml:space="preserve">бходимых для реализации образовательных программ учебного предмета «География», рассмотрены различные методические подходы к выполнению заданий ЕГЭ. Особое внимание уделялось практическим аспектам выполнения заданий повышенного и высокого уровня сложности.</w:t>
      </w:r>
      <w:r/>
    </w:p>
    <w:p>
      <w:pPr>
        <w:pStyle w:val="940"/>
        <w:ind w:firstLine="708"/>
        <w:jc w:val="both"/>
        <w:rPr>
          <w:rFonts w:eastAsia="TimesNewRomanPSMT;Times New Roman"/>
        </w:rPr>
      </w:pPr>
      <w:r>
        <w:rPr>
          <w:rFonts w:eastAsia="TimesNewRomanPSMT;Times New Roman"/>
        </w:rPr>
        <w:t xml:space="preserve">При планировании образовательного процесса рекомендуется предусмотреть перед начал</w:t>
      </w:r>
      <w:r>
        <w:rPr>
          <w:rFonts w:eastAsia="TimesNewRomanPSMT;Times New Roman"/>
        </w:rPr>
        <w:t xml:space="preserve">ом изучения каждого нового раздела курса школьной географии время на диагностику аспектов подготовки, являющихся опорными при изучении тех или иных вопросов. Особое значение имеет проведение в начале учебного года стартовой диагностики, нацеленной на прове</w:t>
      </w:r>
      <w:r>
        <w:rPr>
          <w:rFonts w:eastAsia="TimesNewRomanPSMT;Times New Roman"/>
        </w:rPr>
        <w:t xml:space="preserve">рку сформированности общеучебных информационно-коммуникативных и иных умений, навыков, видов познавательной деятельности. Такую работу можно и нужно планировать и проводить совместно с другими учителями естественнонаучного и социально-гуманитарного циклов.</w:t>
      </w:r>
      <w:r/>
    </w:p>
    <w:p>
      <w:pPr>
        <w:pStyle w:val="940"/>
        <w:ind w:firstLine="708"/>
        <w:jc w:val="both"/>
        <w:rPr>
          <w:rFonts w:eastAsia="TimesNewRomanPSMT;Times New Roman"/>
          <w:i/>
        </w:rPr>
      </w:pPr>
      <w:r>
        <w:rPr>
          <w:rFonts w:eastAsia="TimesNewRomanPSMT;Times New Roman"/>
          <w:i/>
        </w:rPr>
        <w:t xml:space="preserve">Прочие выводы</w:t>
      </w:r>
      <w:r/>
    </w:p>
    <w:p>
      <w:pPr>
        <w:pStyle w:val="940"/>
        <w:ind w:firstLine="708"/>
        <w:jc w:val="both"/>
      </w:pPr>
      <w:r>
        <w:t xml:space="preserve">Залогом успешнос</w:t>
      </w:r>
      <w:r>
        <w:t xml:space="preserve">ти выполнения экзаменационных заданий по географии является  систематически продуманная работа учителя в течение всех лет обучения в школе. Подготовка к экзамену не может быть сведена только к «натаскиванию» на выполнение различных заданий «в формате ЕГЭ».</w:t>
      </w:r>
      <w:r/>
    </w:p>
    <w:p>
      <w:pPr>
        <w:pStyle w:val="940"/>
        <w:ind w:firstLine="708"/>
        <w:jc w:val="both"/>
      </w:pPr>
      <w:r>
        <w:t xml:space="preserve">При проверке соответствия достигнутых результатов обучения поставленным целям необходимо использовать не только опубликованные материалы по ЕГЭ, но и привлекать другие учебно-методические пособия, обз</w:t>
      </w:r>
      <w:r>
        <w:t xml:space="preserve">ор географической литературы, используемой при подготовке домашнего задания и активизация внеклассной работы по географии (кружки, краеведческие мероприятия, экспедиции на местные уникальные географические объекты  и др.). все это позволяет вызвать интерес</w:t>
      </w:r>
      <w:r>
        <w:t xml:space="preserve"> к предмету география и отразиться на качестве обучения. что позволит объективно проверить знания учеников выпускных классов и получить более полную картину состояния знаний и умений, и одновременно подготовит учащихся к тематическому и итоговому контролю.</w:t>
      </w:r>
      <w:r/>
    </w:p>
    <w:p>
      <w:pPr>
        <w:pStyle w:val="940"/>
        <w:ind w:firstLine="708"/>
        <w:jc w:val="both"/>
      </w:pPr>
      <w:r>
        <w:t xml:space="preserve">Особое внимание для повышения качества подготовки учащихся в работе учителей являются проведение мероприятий над типичными ошибками работ, допускаемых выпускниками при выполнении заданий, направленных на подготовку к сдаче экзамена по географии.</w:t>
      </w:r>
      <w:r>
        <w:br w:type="page"/>
      </w:r>
      <w:r/>
    </w:p>
    <w:p>
      <w:pPr>
        <w:pStyle w:val="942"/>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4. РЕКОМЕНДАЦИИ ДЛЯ СИСТЕМЫ ОБРАЗОВАНИЯ СУБЪЕКТА РОССИЙСКОЙ ФЕДЕРАЦИИ</w:t>
      </w:r>
      <w:r/>
    </w:p>
    <w:p>
      <w:pPr>
        <w:pStyle w:val="940"/>
        <w:numPr>
          <w:ilvl w:val="1"/>
          <w:numId w:val="40"/>
        </w:numPr>
        <w:keepLines/>
        <w:keepNext/>
        <w:spacing w:before="200" w:after="0"/>
      </w:pPr>
      <w:r>
        <w:rPr>
          <w:rFonts w:eastAsia="Times New Roman"/>
          <w:b/>
          <w:bCs/>
          <w:sz w:val="28"/>
        </w:rPr>
        <w:t xml:space="preserve">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3"/>
        <w:jc w:val="both"/>
      </w:pPr>
      <w:r>
        <w:rPr>
          <w:rFonts w:ascii="Times New Roman" w:hAnsi="Times New Roman" w:cs="Times New Roman"/>
          <w:bCs w:val="0"/>
          <w:lang w:val="ru-RU"/>
        </w:rPr>
        <w:t xml:space="preserve">4.1.1.</w:t>
      </w:r>
      <w:r>
        <w:rPr>
          <w:rFonts w:ascii="Times New Roman" w:hAnsi="Times New Roman" w:cs="Times New Roman"/>
          <w:b w:val="0"/>
          <w:bCs w:val="0"/>
          <w:lang w:val="ru-RU"/>
        </w:rPr>
        <w:t xml:space="preserve"> по совершенствованию преподавания учебного предмета всем обучающимся</w:t>
      </w:r>
      <w:r/>
    </w:p>
    <w:p>
      <w:pPr>
        <w:pStyle w:val="940"/>
        <w:numPr>
          <w:ilvl w:val="0"/>
          <w:numId w:val="43"/>
        </w:numPr>
        <w:ind w:left="0" w:firstLine="0"/>
        <w:jc w:val="both"/>
        <w:keepLines/>
        <w:keepNext/>
        <w:rPr>
          <w:rFonts w:eastAsia="SimSun;宋体"/>
          <w:lang w:val="en-US"/>
        </w:rPr>
      </w:pPr>
      <w:r>
        <w:rPr>
          <w:rFonts w:eastAsia="SimSun;宋体"/>
          <w:lang w:val="en-US"/>
        </w:rPr>
        <w:t xml:space="preserve">В целях улучшения подготовки </w:t>
      </w:r>
      <w:r>
        <w:rPr>
          <w:rFonts w:eastAsia="SimSun;宋体"/>
          <w:lang w:val="en-US"/>
        </w:rPr>
        <w:t xml:space="preserve">обучающихся в области географии следует обращать внимание на практическую составляющую процесса обучения. Для этого в учебном процессе необходимо предусматривать различные виды деятельности, направленные на применение знаний и умений, а не воспроизведение.</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Особое внимание целесообразно уделять выявлению существенных признаков различных географических объектов. Кроме того, обращать</w:t>
      </w:r>
      <w:r>
        <w:rPr>
          <w:rFonts w:eastAsia="SimSun;宋体"/>
          <w:lang w:val="en-US"/>
        </w:rPr>
        <w:t xml:space="preserve"> внимание на умение читать и использовать различные виды карт, табличный и графический материал. При работе с любыми таблицами желательно научить обучающихся анализировать исходные данные и определять особенности поставленных целей при выполнении заданий.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При проведении текущего и промежуточно</w:t>
      </w:r>
      <w:r>
        <w:rPr>
          <w:rFonts w:eastAsia="SimSun;宋体"/>
          <w:lang w:val="en-US"/>
        </w:rPr>
        <w:t xml:space="preserve">го контроля учителям необходимо использовать задания с выбором ответа, с кратким ответом и с развернутым ответом, что будет способствовать формированию у обучающихся навыков выполнения тестовых заданий данного типа, а, также, необходимо привлекать обучающи</w:t>
      </w:r>
      <w:r>
        <w:rPr>
          <w:rFonts w:eastAsia="SimSun;宋体"/>
          <w:lang w:val="en-US"/>
        </w:rPr>
        <w:t xml:space="preserve">хся к составлению заданий, соответствующих требованиям КИМ по географии. Следует постоянно анализировать все ошибки, тщательно разбирать причины неудач, проводить работу над ошибками, сопровождать каждое тестовое задание критериями оценки и комментариями.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На основании полученных результатов можно сделать вывод, что для подготовки учеников к ЕГЭ по географии важно систематизировать знания и умения за весь курс географии и специально уделять внимание к его подготовке.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Особое значение в этой связи приобретает самостоятельная работа обучающихся с демоверсиями по географии. В целях совершенствования подготовки школьников, повыш</w:t>
      </w:r>
      <w:r>
        <w:rPr>
          <w:rFonts w:eastAsia="SimSun;宋体"/>
          <w:lang w:val="en-US"/>
        </w:rPr>
        <w:t xml:space="preserve">ения системности их знаний важное значение имеет своевременное выявление существующих пробелов в базовой подготовке обучающихся. Именно поэтому рекомендуется предусмотреть время на диагностику показателей, являющихся опорными при изучении тех или иных тем.</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Особое значение имеет проведение в начале учебного года входного тестирования, нацеленного на проверку уровня сформированности общеучебных информационно-коммуникативных и иных умений, навыков, видов познавательной деятельности.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Значимыми при составлении соответствующих диагностических работ могут</w:t>
      </w:r>
      <w:r>
        <w:rPr>
          <w:rFonts w:eastAsia="SimSun;宋体"/>
          <w:lang w:val="en-US"/>
        </w:rPr>
        <w:t xml:space="preserve"> быть задания из различных сборников, предназначенных для проведения тематического контроля. В рамках реализации метапредметных умений такую диагностику рационально проводить совместно с предметниками естественно-научного и социально-гуманитарного циклов.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Повышению эффективности образов</w:t>
      </w:r>
      <w:r>
        <w:rPr>
          <w:rFonts w:eastAsia="SimSun;宋体"/>
          <w:lang w:val="en-US"/>
        </w:rPr>
        <w:t xml:space="preserve">ательного процесса будет способствовать усиление акцента на сформированность у всех обучающихся ключевых географических понятий (это фундамент достижения многих требований образовательных стандартов). Полноценная сформированность географических понятий хар</w:t>
      </w:r>
      <w:r>
        <w:rPr>
          <w:rFonts w:eastAsia="SimSun;宋体"/>
          <w:lang w:val="en-US"/>
        </w:rPr>
        <w:t xml:space="preserve">актеризуется способностью применять  их  при  решении  задач,  использовать  их  для  выражения  своих мыслей  (а не для воспроизведения текстов учебника). Для обеспечения такого уровня овладения понятиями целесообразно даже при дефиците времени отрабатыва</w:t>
      </w:r>
      <w:r>
        <w:rPr>
          <w:rFonts w:eastAsia="SimSun;宋体"/>
          <w:lang w:val="en-US"/>
        </w:rPr>
        <w:t xml:space="preserve">ть все признаки, характерные черты рассматриваемого географического явления (процесса). Понятие должно усваиваться во всей полноте, иначе у учащихся не получается использовать приобретенные знания и умения в практической деятельности и повседневной жизни.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Широко распространенное в практике обучения простое заучивание состава территорий районов и нанесение на контурную карту их границ не достиг</w:t>
      </w:r>
      <w:r>
        <w:rPr>
          <w:rFonts w:eastAsia="SimSun;宋体"/>
          <w:lang w:val="en-US"/>
        </w:rPr>
        <w:t xml:space="preserve">ают желаемого результата. Сформированность этого знания возможна только при условии его использования на практике, когда это знание для учащихся из категории цели переходит в категорию средства решения учебной задачи (деятельность). Для реализации этого пр</w:t>
      </w:r>
      <w:r>
        <w:rPr>
          <w:rFonts w:eastAsia="SimSun;宋体"/>
          <w:lang w:val="en-US"/>
        </w:rPr>
        <w:t xml:space="preserve">иема рекомендуется при изучении каждого из географических районов предусматривать   самостоятельную работу обучающихся с тематическими картами России (а не отдельных районов) для составления кратких характеристик природы и населения географических районов.</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Использовать для организации практической познавательной деятельности школьников новые наглядные пособия, цифровые образовательные ресурсы  (ЦОР);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Применять новые формы промежуточной аттестации учащихся с использованием тестовых технологий;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Формировать у учащихся навыки ра</w:t>
      </w:r>
      <w:r>
        <w:rPr>
          <w:rFonts w:eastAsia="SimSun;宋体"/>
          <w:lang w:val="en-US"/>
        </w:rPr>
        <w:t xml:space="preserve">боты с тестами; отрабатывать технику сдачи тестов (самоконтроль времени, оценка трудностей заданий и разумный их выбор, прикидка границ результатов, подстановка как прием проверки, метод исключения неверных ответов, «спиральное» движение по теме и т. д.); </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С целью закрепления навыков работы с тестами и определения уровня подготовки учащихся проводить тренировочный экзамен с заполнением бланков – демоверсий (по материалам и в соответствии с требованиями к проведению ЕГЭ).</w:t>
      </w:r>
      <w:r/>
    </w:p>
    <w:p>
      <w:pPr>
        <w:pStyle w:val="940"/>
        <w:jc w:val="both"/>
        <w:keepLines/>
        <w:keepNext/>
        <w:rPr>
          <w:rFonts w:eastAsia="SimSun;宋体"/>
          <w:lang w:val="en-US"/>
        </w:rPr>
      </w:pPr>
      <w:r>
        <w:rPr>
          <w:rFonts w:eastAsia="SimSun;宋体"/>
          <w:lang w:val="en-US"/>
        </w:rPr>
        <w:t xml:space="preserve">•</w:t>
      </w:r>
      <w:r>
        <w:rPr>
          <w:rFonts w:eastAsia="SimSun;宋体"/>
          <w:lang w:val="en-US"/>
        </w:rPr>
        <w:tab/>
        <w:t xml:space="preserve">Активно внедрять на уроках географии следующие задания: определение промышленной специализации города и факторов размещения производства, на определение географических объектов и явлений по их существенным признакам.</w:t>
      </w:r>
      <w:r/>
    </w:p>
    <w:p>
      <w:pPr>
        <w:pStyle w:val="940"/>
        <w:numPr>
          <w:ilvl w:val="2"/>
          <w:numId w:val="24"/>
        </w:numPr>
        <w:ind w:left="720" w:hanging="11"/>
        <w:jc w:val="both"/>
        <w:rPr>
          <w:rFonts w:eastAsia="SimSun;宋体"/>
          <w:sz w:val="28"/>
          <w:lang w:val="en-US"/>
        </w:rPr>
      </w:pP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pPr>
      <w:r>
        <w:rPr>
          <w:rFonts w:eastAsia="SimSun;宋体"/>
          <w:sz w:val="28"/>
          <w:lang w:val="en-US"/>
        </w:rPr>
        <w:t xml:space="preserve">•</w:t>
      </w:r>
      <w:r>
        <w:rPr>
          <w:rFonts w:eastAsia="SimSun;宋体"/>
          <w:sz w:val="28"/>
          <w:lang w:val="en-US"/>
        </w:rPr>
        <w:tab/>
      </w:r>
      <w:r>
        <w:rPr>
          <w:rFonts w:eastAsia="SimSun;宋体"/>
          <w:lang w:val="en-US"/>
        </w:rPr>
        <w:t xml:space="preserve">Дифференци</w:t>
      </w:r>
      <w:r>
        <w:rPr>
          <w:rFonts w:eastAsia="SimSun;宋体"/>
          <w:lang w:val="en-US"/>
        </w:rPr>
        <w:t xml:space="preserve">ровать и индивидуализировать обучение (на основе результатов контроля на входе, промежуточного и на выходе), осуществляя тематический контроль степени усвоения каждым учеником материала в объеме обязательного минимума содержания географического образования</w:t>
      </w:r>
      <w:r/>
    </w:p>
    <w:p>
      <w:pPr>
        <w:pStyle w:val="940"/>
        <w:jc w:val="both"/>
        <w:rPr>
          <w:rFonts w:eastAsia="SimSun;宋体"/>
          <w:lang w:val="en-US"/>
        </w:rPr>
      </w:pPr>
      <w:r>
        <w:rPr>
          <w:rFonts w:eastAsia="SimSun;宋体"/>
          <w:lang w:val="en-US"/>
        </w:rPr>
        <w:t xml:space="preserve">•</w:t>
      </w:r>
      <w:r>
        <w:rPr>
          <w:rFonts w:eastAsia="SimSun;宋体"/>
          <w:lang w:val="en-US"/>
        </w:rPr>
        <w:tab/>
        <w:t xml:space="preserve">Диагностика реального уровня подготовки буд</w:t>
      </w:r>
      <w:r>
        <w:rPr>
          <w:rFonts w:eastAsia="SimSun;宋体"/>
          <w:lang w:val="en-US"/>
        </w:rPr>
        <w:t xml:space="preserve">ущих выпускников, планирующих сдавать ЕГЭ по географии, может позволить своевременно выявить пробелы в их знаниях и предпринять необходимые меры, направленные на преодоление наиболее значимых недостатков в географической подготовке будущих участников ЕГЭ. </w:t>
      </w:r>
      <w:r/>
    </w:p>
    <w:p>
      <w:pPr>
        <w:pStyle w:val="940"/>
        <w:jc w:val="both"/>
        <w:rPr>
          <w:rFonts w:eastAsia="SimSun;宋体"/>
          <w:lang w:val="en-US"/>
        </w:rPr>
      </w:pPr>
      <w:r>
        <w:rPr>
          <w:rFonts w:eastAsia="SimSun;宋体"/>
          <w:lang w:val="en-US"/>
        </w:rPr>
        <w:t xml:space="preserve">•</w:t>
      </w:r>
      <w:r>
        <w:rPr>
          <w:rFonts w:eastAsia="SimSun;宋体"/>
          <w:lang w:val="en-US"/>
        </w:rPr>
        <w:tab/>
        <w:t xml:space="preserve">При </w:t>
      </w:r>
      <w:r>
        <w:rPr>
          <w:rFonts w:eastAsia="SimSun;宋体"/>
          <w:lang w:val="en-US"/>
        </w:rPr>
        <w:t xml:space="preserve">организации учебного процесса руководствоваться принципами дифференциации и индивидуализации обучения, использовать системно-деятельностный подход, обеспечивая значительную долю самостоятельности учащихся в освоении умений, навыков и способов деятельности.</w:t>
      </w:r>
      <w:r/>
    </w:p>
    <w:p>
      <w:pPr>
        <w:pStyle w:val="940"/>
        <w:jc w:val="both"/>
        <w:rPr>
          <w:rFonts w:eastAsia="SimSun;宋体"/>
          <w:lang w:val="en-US"/>
        </w:rPr>
      </w:pPr>
      <w:r>
        <w:rPr>
          <w:rFonts w:eastAsia="SimSun;宋体"/>
          <w:lang w:val="en-US"/>
        </w:rPr>
        <w:t xml:space="preserve">•</w:t>
      </w:r>
      <w:r>
        <w:rPr>
          <w:rFonts w:eastAsia="SimSun;宋体"/>
          <w:lang w:val="en-US"/>
        </w:rPr>
        <w:tab/>
        <w:t xml:space="preserve">Широко использовать повторение и обобщение знаний по разделам или темам на уроках обобщающего повторения – уроках-дискуссиях, уроках диспутах, рассуждениях.</w:t>
      </w:r>
      <w:r/>
    </w:p>
    <w:p>
      <w:pPr>
        <w:pStyle w:val="940"/>
        <w:jc w:val="both"/>
        <w:rPr>
          <w:rFonts w:eastAsia="SimSun;宋体"/>
          <w:lang w:val="en-US"/>
        </w:rPr>
      </w:pPr>
      <w:r>
        <w:rPr>
          <w:rFonts w:eastAsia="SimSun;宋体"/>
          <w:lang w:val="en-US"/>
        </w:rPr>
        <w:t xml:space="preserve">•</w:t>
      </w:r>
      <w:r>
        <w:rPr>
          <w:rFonts w:eastAsia="SimSun;宋体"/>
          <w:lang w:val="en-US"/>
        </w:rPr>
        <w:tab/>
        <w:t xml:space="preserve">Изучая природу или хозяйство отдельных территорий Земли, находить проявления</w:t>
      </w:r>
      <w:r>
        <w:rPr>
          <w:rFonts w:eastAsia="SimSun;宋体"/>
          <w:lang w:val="en-US"/>
        </w:rPr>
        <w:t xml:space="preserve"> физико-географических, экономических, демографических закономерностей, изученных ранее, предлагать к решению задачи на применение знаний этих закономерностей, возможно гипотетических территорий, давать задания учащимся самим придумать аналогичную задачу. </w:t>
      </w:r>
      <w:r/>
    </w:p>
    <w:p>
      <w:pPr>
        <w:pStyle w:val="940"/>
        <w:jc w:val="both"/>
        <w:rPr>
          <w:rFonts w:eastAsia="SimSun;宋体"/>
          <w:lang w:val="en-US"/>
        </w:rPr>
      </w:pPr>
      <w:r>
        <w:rPr>
          <w:rFonts w:eastAsia="SimSun;宋体"/>
          <w:lang w:val="en-US"/>
        </w:rPr>
        <w:t xml:space="preserve">•</w:t>
      </w:r>
      <w:r>
        <w:rPr>
          <w:rFonts w:eastAsia="SimSun;宋体"/>
          <w:lang w:val="en-US"/>
        </w:rPr>
        <w:tab/>
        <w:t xml:space="preserve">При изучении сложных вопросов, трудных для усвоения, использовать составление систематизирующих схем и таблиц с формулировкой вывода, применять практические методы с проблемными вопросами, ситуациями.</w:t>
      </w:r>
      <w:r/>
    </w:p>
    <w:p>
      <w:pPr>
        <w:pStyle w:val="940"/>
        <w:jc w:val="both"/>
        <w:rPr>
          <w:rFonts w:eastAsia="SimSun;宋体"/>
          <w:lang w:val="en-US"/>
        </w:rPr>
      </w:pPr>
      <w:r>
        <w:rPr>
          <w:rFonts w:eastAsia="SimSun;宋体"/>
          <w:lang w:val="en-US"/>
        </w:rPr>
        <w:t xml:space="preserve">•</w:t>
      </w:r>
      <w:r>
        <w:rPr>
          <w:rFonts w:eastAsia="SimSun;宋体"/>
          <w:lang w:val="en-US"/>
        </w:rPr>
        <w:tab/>
        <w:t xml:space="preserve">Использовать систему элективных курсов, факультативов, внеурочной деятельности, индивидуально-групповых занятий для удовлетворения познавательных потребностей учащихся.</w:t>
      </w:r>
      <w:r/>
    </w:p>
    <w:p>
      <w:pPr>
        <w:pStyle w:val="940"/>
        <w:jc w:val="both"/>
        <w:rPr>
          <w:rFonts w:eastAsia="SimSun;宋体"/>
          <w:lang w:val="en-US"/>
        </w:rPr>
      </w:pPr>
      <w:r>
        <w:rPr>
          <w:rFonts w:eastAsia="SimSun;宋体"/>
          <w:lang w:val="en-US"/>
        </w:rPr>
        <w:t xml:space="preserve">•</w:t>
      </w:r>
      <w:r>
        <w:rPr>
          <w:rFonts w:eastAsia="SimSun;宋体"/>
          <w:lang w:val="en-US"/>
        </w:rPr>
        <w:tab/>
        <w:t xml:space="preserve">Оформить в кабинет</w:t>
      </w:r>
      <w:r>
        <w:rPr>
          <w:rFonts w:eastAsia="SimSun;宋体"/>
          <w:lang w:val="en-US"/>
        </w:rPr>
        <w:t xml:space="preserve">е стенд «Готовимся к ЕГЭ», в экспозиции которого должны быть демоверсии контрольно-измерительных материалов (КИМ) ЕГЭ, примеры решения отдельных заданий, образцы бланков ЕГЭ, список дополнительной литературы, адреса рекомендуемых сайтов, советы выпускнику.</w:t>
      </w:r>
      <w:r/>
    </w:p>
    <w:p>
      <w:pPr>
        <w:pStyle w:val="940"/>
        <w:jc w:val="both"/>
        <w:rPr>
          <w:rFonts w:eastAsia="SimSun;宋体"/>
          <w:lang w:val="en-US"/>
        </w:rPr>
      </w:pPr>
      <w:r>
        <w:rPr>
          <w:rFonts w:eastAsia="SimSun;宋体"/>
          <w:lang w:val="en-US"/>
        </w:rPr>
        <w:t xml:space="preserve">•</w:t>
      </w:r>
      <w:r>
        <w:rPr>
          <w:rFonts w:eastAsia="SimSun;宋体"/>
          <w:lang w:val="en-US"/>
        </w:rPr>
        <w:tab/>
        <w:t xml:space="preserve">Необходимо ежегодно о</w:t>
      </w:r>
      <w:r>
        <w:rPr>
          <w:rFonts w:eastAsia="SimSun;宋体"/>
          <w:lang w:val="en-US"/>
        </w:rPr>
        <w:t xml:space="preserve">тслеживать уровень усвоения элементов содержания, сформированных умений и видов деятельности. Контроль осуществлять не только по материалу прошедшего года, но и предыдущих лет. В соответствии с полученными результатами проводить корректирующие мероприятия.</w:t>
      </w:r>
      <w:r/>
    </w:p>
    <w:p>
      <w:pPr>
        <w:pStyle w:val="940"/>
        <w:numPr>
          <w:ilvl w:val="1"/>
          <w:numId w:val="24"/>
        </w:numPr>
        <w:ind w:left="0" w:firstLine="0"/>
        <w:jc w:val="both"/>
        <w:keepLines/>
        <w:keepNext/>
        <w:spacing w:before="200" w:after="0"/>
        <w:rPr>
          <w:b/>
        </w:rPr>
      </w:pP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keepLines/>
        <w:keepNext/>
        <w:rPr>
          <w:rFonts w:eastAsia="SimSun;宋体"/>
          <w:b/>
          <w:bCs/>
        </w:rPr>
      </w:pPr>
      <w:r>
        <w:rPr>
          <w:rFonts w:eastAsia="SimSun;宋体"/>
          <w:b/>
          <w:bCs/>
        </w:rPr>
      </w:r>
      <w:r/>
    </w:p>
    <w:p>
      <w:pPr>
        <w:pStyle w:val="940"/>
        <w:ind w:firstLine="708"/>
        <w:jc w:val="both"/>
        <w:keepLines/>
        <w:keepNext/>
        <w:rPr>
          <w:rFonts w:eastAsia="SimSun;宋体"/>
          <w:bCs/>
          <w:lang w:val="en-US"/>
        </w:rPr>
      </w:pPr>
      <w:r>
        <w:rPr>
          <w:rFonts w:eastAsia="SimSun;宋体"/>
          <w:bCs/>
          <w:lang w:val="en-US"/>
        </w:rPr>
        <w:t xml:space="preserve">Для обсуждения на</w:t>
      </w:r>
      <w:r>
        <w:rPr>
          <w:rFonts w:eastAsia="SimSun;宋体"/>
          <w:bCs/>
          <w:lang w:val="en-US"/>
        </w:rPr>
        <w:t xml:space="preserve"> методических объединениях учителей географии должны быть вынесены вопросы по анализу и разбору типичных ошибок, допущенных обучающимися предыдущего учебного года, вопросы, касающиеся тем школьного курса географии таких, как «Климат» и «География России». </w:t>
      </w:r>
      <w:r/>
    </w:p>
    <w:p>
      <w:pPr>
        <w:pStyle w:val="940"/>
        <w:ind w:firstLine="708"/>
        <w:jc w:val="both"/>
        <w:keepLines/>
        <w:keepNext/>
        <w:rPr>
          <w:rFonts w:eastAsia="SimSun;宋体"/>
          <w:bCs/>
          <w:lang w:val="en-US"/>
        </w:rPr>
      </w:pPr>
      <w:r>
        <w:rPr>
          <w:rFonts w:eastAsia="SimSun;宋体"/>
          <w:bCs/>
          <w:lang w:val="en-US"/>
        </w:rPr>
        <w:t xml:space="preserve">Для совершенствования методики преподавания географии в Астраханской области необходимо продолжить обсуждение вопросов, связанных с ЕГЭ на курсах повышения квалификации, на вебинарах и семинарах, как в системе дополнительного профессиона</w:t>
      </w:r>
      <w:r>
        <w:rPr>
          <w:rFonts w:eastAsia="SimSun;宋体"/>
          <w:bCs/>
          <w:lang w:val="en-US"/>
        </w:rPr>
        <w:t xml:space="preserve">льного образования, так и через самообразование. В программы курсов повышения квалификации учителей географии обязательно включать темы, отражающие хозяйственную специализацию регионов России, современные изменения в размещении производств в России и мире.</w:t>
      </w:r>
      <w:r/>
    </w:p>
    <w:p>
      <w:pPr>
        <w:pStyle w:val="940"/>
        <w:jc w:val="both"/>
        <w:rPr>
          <w:rFonts w:eastAsia="SimSun;宋体"/>
          <w:b/>
          <w:bCs/>
          <w:sz w:val="28"/>
        </w:rPr>
      </w:pPr>
      <w:r>
        <w:rPr>
          <w:rFonts w:eastAsia="SimSun;宋体"/>
          <w:b/>
          <w:bCs/>
          <w:sz w:val="28"/>
        </w:rPr>
      </w:r>
      <w:r/>
    </w:p>
    <w:p>
      <w:pPr>
        <w:pStyle w:val="940"/>
        <w:jc w:val="both"/>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rPr>
          <w:rFonts w:eastAsia="SimSun;宋体"/>
          <w:b/>
          <w:bCs/>
          <w:sz w:val="28"/>
        </w:rPr>
      </w:pPr>
      <w:r>
        <w:rPr>
          <w:rFonts w:eastAsia="SimSun;宋体"/>
          <w:b/>
          <w:bCs/>
          <w:sz w:val="28"/>
        </w:rPr>
      </w:r>
      <w:r/>
    </w:p>
    <w:p>
      <w:pPr>
        <w:pStyle w:val="940"/>
        <w:jc w:val="both"/>
      </w:pPr>
      <w:r/>
      <w:hyperlink r:id="rId34"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jc w:val="both"/>
        <w:rPr>
          <w:sz w:val="28"/>
          <w:szCs w:val="28"/>
        </w:rPr>
      </w:pPr>
      <w:r>
        <w:rPr>
          <w:sz w:val="28"/>
          <w:szCs w:val="28"/>
        </w:rPr>
      </w:r>
      <w:r/>
    </w:p>
    <w:p>
      <w:pPr>
        <w:pStyle w:val="940"/>
        <w:jc w:val="both"/>
      </w:pPr>
      <w:r/>
      <w:r/>
    </w:p>
    <w:p>
      <w:pPr>
        <w:pStyle w:val="940"/>
        <w:jc w:val="both"/>
      </w:pPr>
      <w:r/>
      <w:r/>
    </w:p>
    <w:p>
      <w:pPr>
        <w:pStyle w:val="940"/>
        <w:jc w:val="both"/>
      </w:pPr>
      <w:r/>
      <w:r/>
    </w:p>
    <w:p>
      <w:pPr>
        <w:pStyle w:val="940"/>
        <w:jc w:val="both"/>
      </w:pPr>
      <w:r/>
      <w:r/>
    </w:p>
    <w:p>
      <w:pPr>
        <w:pStyle w:val="940"/>
        <w:keepLines/>
        <w:keepNext/>
        <w:spacing w:before="200" w:after="0"/>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numPr>
          <w:ilvl w:val="0"/>
          <w:numId w:val="24"/>
        </w:numPr>
        <w:ind w:left="0" w:firstLine="0"/>
        <w:keepLines/>
        <w:keepNext/>
        <w:spacing w:before="200" w:after="0"/>
        <w:rPr>
          <w:rFonts w:eastAsia="SimSun;宋体"/>
          <w:b/>
          <w:bCs/>
          <w:vanish/>
          <w:sz w:val="28"/>
          <w:lang w:val="en-US"/>
        </w:rPr>
      </w:pPr>
      <w:r>
        <w:rPr>
          <w:rFonts w:eastAsia="SimSun;宋体"/>
          <w:b/>
          <w:bCs/>
          <w:vanish/>
          <w:sz w:val="28"/>
          <w:lang w:val="en-US"/>
        </w:rPr>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jc w:val="right"/>
        <w:keepNext/>
        <w:spacing w:before="0" w:after="200"/>
      </w:pPr>
      <w:r>
        <w:rPr>
          <w:bCs/>
          <w:i/>
          <w:sz w:val="18"/>
          <w:szCs w:val="18"/>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02"/>
        <w:gridCol w:w="267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(география)</w:t>
            </w:r>
            <w:r/>
          </w:p>
        </w:tc>
        <w:tc>
          <w:tcPr>
            <w:tcBorders>
              <w:top w:val="single" w:color="000000" w:sz="4" w:space="0"/>
              <w:left w:val="single" w:color="000000" w:sz="4" w:space="0"/>
              <w:bottom w:val="single" w:color="000000" w:sz="4" w:space="0"/>
            </w:tcBorders>
            <w:tcW w:w="390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географии</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rPr>
                <w:lang w:eastAsia="en-US"/>
              </w:rPr>
            </w:pPr>
            <w:r>
              <w:rPr>
                <w:lang w:eastAsia="en-US"/>
              </w:rPr>
              <w:t xml:space="preserve">В процессе анализа и обсуждения результатов ЕГЭ – 11 в форм</w:t>
            </w:r>
            <w:r>
              <w:rPr>
                <w:lang w:eastAsia="en-US"/>
              </w:rPr>
              <w:t xml:space="preserve">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географии особое внимание было уделено анализу выполнения отдельных заданий или групп заданий предмету.</w:t>
            </w:r>
            <w:r/>
          </w:p>
          <w:p>
            <w:pPr>
              <w:pStyle w:val="940"/>
            </w:pPr>
            <w:r>
              <w:t xml:space="preserve">Были выделены и рассмотрены задания, которые вызвали особые затруднения у участников экзамена по географии.</w:t>
            </w:r>
            <w:r/>
          </w:p>
          <w:p>
            <w:pPr>
              <w:pStyle w:val="940"/>
            </w:pPr>
            <w:r>
              <w:t xml:space="preserve">Определены умения, несформированностью или недостаточной сформированностью которых обусловлено</w:t>
            </w:r>
            <w:r>
              <w:rPr>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географии.</w:t>
            </w:r>
            <w:r/>
          </w:p>
          <w:p>
            <w:pPr>
              <w:pStyle w:val="940"/>
            </w:pPr>
            <w:r>
              <w:t xml:space="preserve">Разработаны рекомендации по изменению программы повышения квалификации учителей географии</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65 человек 2 часа, семинар, учителя –предметники, в том числе учителя географии</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(география)</w:t>
            </w:r>
            <w:r/>
          </w:p>
        </w:tc>
        <w:tc>
          <w:tcPr>
            <w:tcBorders>
              <w:top w:val="single" w:color="000000" w:sz="4" w:space="0"/>
              <w:left w:val="single" w:color="000000" w:sz="4" w:space="0"/>
              <w:bottom w:val="single" w:color="000000" w:sz="4" w:space="0"/>
            </w:tcBorders>
            <w:tcW w:w="3902" w:type="dxa"/>
            <w:textDirection w:val="lrTb"/>
            <w:noWrap w:val="false"/>
          </w:tcPr>
          <w:p>
            <w:pPr>
              <w:pStyle w:val="940"/>
              <w:jc w:val="both"/>
              <w:spacing w:before="0" w:after="160" w:line="254" w:lineRule="auto"/>
              <w:rPr>
                <w:lang w:eastAsia="en-US"/>
              </w:rPr>
            </w:pPr>
            <w:r>
              <w:rPr>
                <w:lang w:eastAsia="en-US"/>
              </w:rPr>
              <w:t xml:space="preserve">9 человек семинар, члены предметной комиссии, учителя географии</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Проведение семинара обеспечило: </w:t>
            </w:r>
            <w:r/>
          </w:p>
          <w:p>
            <w:pPr>
              <w:pStyle w:val="940"/>
              <w:numPr>
                <w:ilvl w:val="0"/>
                <w:numId w:val="41"/>
              </w:numPr>
              <w:spacing w:before="0" w:after="160" w:line="254" w:lineRule="auto"/>
            </w:pPr>
            <w:r>
              <w:t xml:space="preserve">понимание участниками роли ГИА – 11 в контексте общероссийской системы оценки качества образования;</w:t>
            </w:r>
            <w:r/>
          </w:p>
          <w:p>
            <w:pPr>
              <w:pStyle w:val="940"/>
            </w:pPr>
            <w:r>
              <w:t xml:space="preserve">•</w:t>
            </w:r>
            <w: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w:t>
            </w:r>
            <w:r>
              <w:t xml:space="preserve">образовательным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географии;</w:t>
            </w:r>
            <w:r/>
          </w:p>
          <w:p>
            <w:pPr>
              <w:pStyle w:val="940"/>
            </w:pPr>
            <w:r>
              <w:t xml:space="preserve">•</w:t>
            </w:r>
            <w:r>
              <w:tab/>
              <w:t xml:space="preserve">формированию у них представления о структуре и содержании  КИМ по географии; назначении заданий различного типа (с кратким ответом, с развернутым ответом), принципах и методах их разработки;</w:t>
            </w:r>
            <w:r/>
          </w:p>
          <w:p>
            <w:pPr>
              <w:pStyle w:val="940"/>
            </w:pPr>
            <w:r>
              <w:t xml:space="preserve">а также развитию у участников следующих умений: </w:t>
            </w:r>
            <w:r/>
          </w:p>
          <w:p>
            <w:pPr>
              <w:pStyle w:val="940"/>
            </w:pPr>
            <w:r>
              <w:t xml:space="preserve">‒</w:t>
            </w:r>
            <w: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pPr>
            <w:r>
              <w:t xml:space="preserve">‒</w:t>
            </w:r>
            <w:r>
              <w:tab/>
              <w:t xml:space="preserve">проверять и объективно оценивать ответы выпускников на задания с развернутым ответом;</w:t>
            </w:r>
            <w:r/>
          </w:p>
          <w:p>
            <w:pPr>
              <w:pStyle w:val="940"/>
            </w:pPr>
            <w:r>
              <w:t xml:space="preserve">‒</w:t>
            </w:r>
            <w:r>
              <w:tab/>
              <w:t xml:space="preserve">оформлять результаты проверки, соблюдая установленные технические требования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902" w:type="dxa"/>
            <w:vAlign w:val="center"/>
            <w:textDirection w:val="lrTb"/>
            <w:noWrap w:val="false"/>
          </w:tcPr>
          <w:p>
            <w:pPr>
              <w:pStyle w:val="940"/>
            </w:pPr>
            <w:r>
              <w:t xml:space="preserve">Количество слушателей – 97 человек, в том числе учителя географии.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w:t>
            </w:r>
            <w:r>
              <w:t xml:space="preserve">включают вопросы обновления технологий и содержания обучения русскому языку и литературе/ истории/ обществознанию/ географии/ математике/ географии и астрономии/ химии и др. в соответствии с концепциями преподавания учебных предметов (предметных областей).</w:t>
            </w:r>
            <w:r/>
          </w:p>
        </w:tc>
      </w:tr>
    </w:tbl>
    <w:p>
      <w:pPr>
        <w:pStyle w:val="940"/>
        <w:keepNext/>
        <w:spacing w:before="0" w:after="200"/>
        <w:rPr>
          <w:bCs/>
          <w:sz w:val="18"/>
          <w:szCs w:val="18"/>
        </w:rPr>
      </w:pPr>
      <w:r>
        <w:rPr>
          <w:bCs/>
          <w:sz w:val="18"/>
          <w:szCs w:val="18"/>
        </w:rPr>
      </w:r>
      <w:r/>
    </w:p>
    <w:p>
      <w:pPr>
        <w:pStyle w:val="940"/>
        <w:keepLines/>
        <w:keepNext/>
        <w:spacing w:before="200" w:after="0"/>
      </w:pPr>
      <w:r>
        <w:rPr>
          <w:rFonts w:eastAsia="SimSun;宋体"/>
          <w:b/>
          <w:bCs/>
          <w:sz w:val="28"/>
        </w:rPr>
        <w:t xml:space="preserve">5.2. </w:t>
      </w:r>
      <w:r>
        <w:rPr>
          <w:rFonts w:eastAsia="SimSun;宋体"/>
          <w:b/>
          <w:bCs/>
          <w:sz w:val="28"/>
          <w:lang w:val="en-US"/>
        </w:rPr>
        <w:t xml:space="preserve">Предложения в дорожную карту на 2021-2022 учебный год</w:t>
      </w:r>
      <w:r/>
    </w:p>
    <w:p>
      <w:pPr>
        <w:pStyle w:val="940"/>
        <w:numPr>
          <w:ilvl w:val="2"/>
          <w:numId w:val="55"/>
        </w:numPr>
        <w:jc w:val="both"/>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географии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географии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numPr>
          <w:ilvl w:val="2"/>
          <w:numId w:val="55"/>
        </w:numPr>
        <w:ind w:left="567" w:firstLine="0"/>
        <w:jc w:val="both"/>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56"/>
        <w:gridCol w:w="1153"/>
        <w:gridCol w:w="8050"/>
      </w:tblGrid>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contextualSpacing/>
              <w:jc w:val="center"/>
              <w:spacing w:before="0" w:after="0"/>
              <w:rPr>
                <w:lang w:eastAsia="en-US"/>
              </w:rPr>
            </w:pPr>
            <w:r>
              <w:rPr>
                <w:lang w:eastAsia="en-US"/>
              </w:rPr>
              <w:t xml:space="preserve">Мероприятие</w:t>
            </w:r>
            <w:r/>
          </w:p>
          <w:p>
            <w:pPr>
              <w:pStyle w:val="940"/>
              <w:contextualSpacing/>
              <w:jc w:val="center"/>
              <w:spacing w:before="0" w:after="0"/>
              <w:rPr>
                <w:i/>
                <w:lang w:eastAsia="en-US"/>
              </w:rPr>
            </w:pPr>
            <w:r>
              <w:rPr>
                <w:i/>
                <w:lang w:eastAsia="en-US"/>
              </w:rPr>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rPr>
                <w:lang w:eastAsia="en-US"/>
              </w:rPr>
            </w:pPr>
            <w:r>
              <w:rPr>
                <w:lang w:eastAsia="en-US"/>
              </w:rPr>
              <w:t xml:space="preserve">Обновление содержания обучения географии с учетом нового ФГОС ООО и результатов ГИА</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contextualSpacing/>
              <w:spacing w:before="0" w:after="0"/>
            </w:pPr>
            <w:r>
              <w:t xml:space="preserve">Проведение открытых заседаний предметных секций региональн</w:t>
            </w:r>
            <w:r>
              <w:t xml:space="preserve">ого учебно-методического объединения с участием председателей предметных комиссий ЕГЭ с обсуждением аналитических материалов по итогам проведения ГИА в 2021 году в формате «круглый стол» по теме; Активные формы работы учителя географии по формированию УУД»</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5.</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contextualSpacing/>
              <w:spacing w:before="0" w:after="0"/>
            </w:pPr>
            <w:r>
              <w:t xml:space="preserve">Организация открытых заседаний предметных секций регион</w:t>
            </w:r>
            <w:r>
              <w:t xml:space="preserve">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в формате вебинара по теме: ЕГЭ - 2022: новое в КИМ по географии (текст, статистика)</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6.</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805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bl>
    <w:p>
      <w:pPr>
        <w:pStyle w:val="940"/>
        <w:keepNext/>
        <w:spacing w:before="0" w:after="200"/>
        <w:rPr>
          <w:bCs/>
          <w:sz w:val="18"/>
          <w:szCs w:val="18"/>
        </w:rPr>
      </w:pPr>
      <w:r>
        <w:rPr>
          <w:bCs/>
          <w:sz w:val="18"/>
          <w:szCs w:val="18"/>
        </w:rPr>
      </w:r>
      <w:r/>
    </w:p>
    <w:p>
      <w:pPr>
        <w:pStyle w:val="940"/>
        <w:numPr>
          <w:ilvl w:val="2"/>
          <w:numId w:val="55"/>
        </w:numPr>
        <w:ind w:left="567" w:firstLine="0"/>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pPr>
      <w:r>
        <w:rPr>
          <w:rFonts w:eastAsia="SimSun;宋体"/>
          <w:bCs/>
          <w:lang w:val="en-US"/>
        </w:rPr>
        <w:t xml:space="preserve">Не планируются</w:t>
      </w:r>
      <w:r>
        <w:rPr>
          <w:rFonts w:eastAsia="SimSun;宋体"/>
          <w:bCs/>
        </w:rPr>
        <w:t xml:space="preserve">.</w:t>
      </w:r>
      <w:r/>
    </w:p>
    <w:p>
      <w:pPr>
        <w:pStyle w:val="940"/>
        <w:numPr>
          <w:ilvl w:val="2"/>
          <w:numId w:val="55"/>
        </w:numPr>
        <w:ind w:left="567" w:firstLine="0"/>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i/>
          <w:sz w:val="18"/>
          <w:szCs w:val="18"/>
        </w:rPr>
      </w:pPr>
      <w:r>
        <w:rPr>
          <w:i/>
          <w:sz w:val="18"/>
          <w:szCs w:val="18"/>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56"/>
        <w:gridCol w:w="1114"/>
        <w:gridCol w:w="8089"/>
      </w:tblGrid>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географии,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Выступления учителей географии, де</w:t>
            </w:r>
            <w:r>
              <w:rPr>
                <w:sz w:val="23"/>
                <w:szCs w:val="23"/>
              </w:rPr>
              <w:t xml:space="preserve">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географии и подготовки выпускников к ГИА; Современные технологии в обучении географии»</w:t>
            </w:r>
            <w:r/>
          </w:p>
        </w:tc>
      </w:tr>
    </w:tbl>
    <w:p>
      <w:pPr>
        <w:pStyle w:val="940"/>
        <w:keepNext/>
        <w:spacing w:before="0" w:after="200"/>
        <w:rPr>
          <w:bCs/>
          <w:sz w:val="18"/>
          <w:szCs w:val="18"/>
        </w:rPr>
      </w:pPr>
      <w:r>
        <w:rPr>
          <w:bCs/>
          <w:sz w:val="18"/>
          <w:szCs w:val="18"/>
        </w:rPr>
      </w:r>
      <w:r/>
    </w:p>
    <w:p>
      <w:pPr>
        <w:pStyle w:val="940"/>
        <w:numPr>
          <w:ilvl w:val="2"/>
          <w:numId w:val="55"/>
        </w:numPr>
        <w:ind w:left="567"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jc w:val="both"/>
        <w:keepLines/>
        <w:keepNext/>
        <w:rPr>
          <w:rFonts w:eastAsia="SimSun;宋体"/>
          <w:bCs/>
        </w:rPr>
      </w:pPr>
      <w:r>
        <w:rPr>
          <w:rFonts w:eastAsia="SimSun;宋体"/>
          <w:bCs/>
        </w:rPr>
      </w:r>
      <w:r/>
    </w:p>
    <w:p>
      <w:pPr>
        <w:pStyle w:val="940"/>
        <w:ind w:firstLine="567"/>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«География»</w:t>
      </w:r>
      <w:r/>
    </w:p>
    <w:p>
      <w:pPr>
        <w:pStyle w:val="940"/>
        <w:ind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41"/>
        <w:gridCol w:w="3020"/>
        <w:gridCol w:w="3202"/>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Быстрова Инна Владимировна, ФГБОУ ВО «Астраханский государственный университет»,</w:t>
            </w:r>
            <w:r/>
          </w:p>
          <w:p>
            <w:pPr>
              <w:pStyle w:val="940"/>
              <w:jc w:val="both"/>
            </w:pPr>
            <w:r>
              <w:rPr>
                <w:rFonts w:eastAsia="Times New Roman"/>
                <w:iCs/>
              </w:rPr>
              <w:t xml:space="preserve"> </w:t>
            </w:r>
            <w:r>
              <w:rPr>
                <w:iCs/>
              </w:rPr>
              <w:t xml:space="preserve">к.г.-м.н.,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«География»</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Старший эксперт </w:t>
            </w:r>
            <w:r/>
          </w:p>
          <w:p>
            <w:pPr>
              <w:pStyle w:val="940"/>
              <w:jc w:val="both"/>
              <w:rPr>
                <w:iCs/>
              </w:rPr>
            </w:pPr>
            <w:r>
              <w:rPr>
                <w:iCs/>
              </w:rPr>
              <w:t xml:space="preserve">предметной комиссии, </w:t>
            </w:r>
            <w:r/>
          </w:p>
          <w:p>
            <w:pPr>
              <w:pStyle w:val="940"/>
              <w:jc w:val="both"/>
              <w:rPr>
                <w:iCs/>
              </w:rPr>
            </w:pPr>
            <w:r>
              <w:rPr>
                <w:iCs/>
              </w:rPr>
              <w:t xml:space="preserve">сопредседатель секции </w:t>
            </w:r>
            <w:r/>
          </w:p>
          <w:p>
            <w:pPr>
              <w:pStyle w:val="940"/>
              <w:jc w:val="both"/>
              <w:rPr>
                <w:iCs/>
              </w:rPr>
            </w:pPr>
            <w:r>
              <w:rPr>
                <w:iCs/>
              </w:rPr>
              <w:t xml:space="preserve">учителей химии, биологии, </w:t>
            </w:r>
            <w:r/>
          </w:p>
          <w:p>
            <w:pPr>
              <w:pStyle w:val="940"/>
              <w:jc w:val="both"/>
              <w:rPr>
                <w:iCs/>
              </w:rPr>
            </w:pPr>
            <w:r>
              <w:rPr>
                <w:iCs/>
              </w:rPr>
              <w:t xml:space="preserve">географии РУМО</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Занозина Наталья Викторовна, МБОУ                       г. Астрахани «Гимназия   № 3»,</w:t>
            </w:r>
            <w:r>
              <w:t xml:space="preserve"> </w:t>
            </w:r>
            <w:r>
              <w:rPr>
                <w:iCs/>
              </w:rPr>
              <w:t xml:space="preserve">учитель географии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«География»</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Ли Ирина Георгиевна,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начальник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r>
            <w:r/>
          </w:p>
        </w:tc>
      </w:tr>
    </w:tbl>
    <w:p>
      <w:pPr>
        <w:pStyle w:val="940"/>
        <w:rPr>
          <w:rFonts w:eastAsia="SimSun;宋体"/>
          <w:bCs/>
          <w:iCs/>
          <w:sz w:val="28"/>
          <w:szCs w:val="22"/>
          <w:lang w:val="en-US"/>
        </w:rPr>
      </w:pPr>
      <w:r>
        <w:rPr>
          <w:rFonts w:eastAsia="SimSun;宋体"/>
          <w:bCs/>
          <w:iCs/>
          <w:sz w:val="28"/>
          <w:szCs w:val="22"/>
          <w:lang w:val="en-US"/>
        </w:rPr>
      </w:r>
      <w:r/>
    </w:p>
    <w:p>
      <w:pPr>
        <w:pStyle w:val="940"/>
        <w:jc w:val="center"/>
        <w:keepLines/>
        <w:keepNext/>
        <w:spacing w:before="480" w:after="0"/>
        <w:rPr>
          <w:rFonts w:eastAsia="SimSun;宋体"/>
          <w:b/>
          <w:bCs/>
          <w:iCs/>
          <w:sz w:val="28"/>
          <w:szCs w:val="28"/>
          <w:lang w:val="en-US"/>
        </w:rPr>
      </w:pPr>
      <w:r>
        <w:rPr>
          <w:rFonts w:eastAsia="SimSun;宋体"/>
          <w:b/>
          <w:bCs/>
          <w:iCs/>
          <w:sz w:val="28"/>
          <w:szCs w:val="28"/>
          <w:lang w:val="en-US"/>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jc w:val="center"/>
        <w:keepLines/>
        <w:keepNext/>
        <w:spacing w:before="480" w:after="0"/>
        <w:rPr>
          <w:rFonts w:eastAsia="SimSun;宋体"/>
          <w:b/>
          <w:bCs/>
          <w:sz w:val="28"/>
          <w:szCs w:val="28"/>
        </w:rPr>
      </w:pPr>
      <w:r>
        <w:rPr>
          <w:rFonts w:eastAsia="SimSun;宋体"/>
          <w:b/>
          <w:bCs/>
          <w:sz w:val="28"/>
          <w:szCs w:val="28"/>
        </w:rPr>
      </w:r>
      <w:r/>
    </w:p>
    <w:p>
      <w:pPr>
        <w:pStyle w:val="940"/>
        <w:keepLines/>
        <w:keepNext/>
        <w:spacing w:before="480" w:after="0"/>
        <w:tabs>
          <w:tab w:val="clear" w:pos="708" w:leader="none"/>
          <w:tab w:val="left" w:pos="4071" w:leader="none"/>
        </w:tabs>
        <w:rPr>
          <w:rFonts w:eastAsia="SimSun;宋体"/>
          <w:b/>
          <w:bCs/>
          <w:sz w:val="28"/>
          <w:szCs w:val="28"/>
        </w:rPr>
      </w:pPr>
      <w:r>
        <w:rPr>
          <w:rFonts w:eastAsia="SimSun;宋体"/>
          <w:b/>
          <w:bCs/>
          <w:sz w:val="28"/>
          <w:szCs w:val="28"/>
        </w:rPr>
        <w:tab/>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center"/>
        <w:keepLines/>
        <w:keepNext/>
        <w:spacing w:before="480" w:after="0"/>
      </w:pPr>
      <w:r>
        <w:rPr>
          <w:rFonts w:eastAsia="SimSun;宋体"/>
          <w:b/>
          <w:bCs/>
          <w:sz w:val="28"/>
          <w:szCs w:val="28"/>
          <w:lang w:val="en-US"/>
        </w:rPr>
        <w:t xml:space="preserve">Методический анализ результатов ЕГЭ</w:t>
        <w:br/>
      </w:r>
      <w:r>
        <w:rPr>
          <w:rFonts w:eastAsia="SimSun;宋体"/>
          <w:b/>
          <w:bCs/>
          <w:sz w:val="20"/>
          <w:szCs w:val="20"/>
          <w:lang w:val="en-US"/>
        </w:rPr>
        <w:br/>
      </w:r>
      <w:r>
        <w:rPr>
          <w:rFonts w:eastAsia="SimSun;宋体"/>
          <w:b/>
          <w:bCs/>
          <w:sz w:val="32"/>
          <w:szCs w:val="28"/>
          <w:lang w:val="en-US"/>
        </w:rPr>
        <w:t xml:space="preserve">по </w:t>
      </w:r>
      <w:r>
        <w:rPr>
          <w:rFonts w:eastAsia="SimSun;宋体"/>
          <w:b/>
          <w:bCs/>
          <w:sz w:val="32"/>
          <w:szCs w:val="28"/>
          <w:u w:val="single"/>
        </w:rPr>
        <w:t xml:space="preserve">Иностранным языкам (английский язык)</w:t>
      </w:r>
      <w:r>
        <w:rPr>
          <w:rFonts w:eastAsia="SimSun;宋体"/>
          <w:b/>
          <w:bCs/>
          <w:sz w:val="32"/>
          <w:szCs w:val="28"/>
          <w:u w:val="single"/>
          <w:lang w:val="en-US"/>
        </w:rPr>
        <w:br/>
      </w:r>
      <w:r>
        <w:rPr>
          <w:rFonts w:eastAsia="SimSun;宋体"/>
          <w:b/>
          <w:bCs/>
          <w:szCs w:val="22"/>
        </w:rPr>
        <w:t xml:space="preserve">       </w:t>
      </w:r>
      <w:r>
        <w:rPr>
          <w:rFonts w:eastAsia="SimSun;宋体"/>
          <w:b/>
          <w:bCs/>
          <w:szCs w:val="22"/>
          <w:lang w:val="en-US"/>
        </w:rPr>
        <w:t xml:space="preserve">(учебный предмет)</w:t>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1. ХАРАКТЕРИСТИКА УЧАСТНИКОВ ЕГЭ</w:t>
        <w:br/>
        <w:t xml:space="preserve"> ПО УЧЕБНОМУ ПРЕДМЕТУ</w:t>
      </w:r>
      <w:r/>
    </w:p>
    <w:p>
      <w:pPr>
        <w:pStyle w:val="940"/>
        <w:jc w:val="both"/>
        <w:rPr>
          <w:rFonts w:eastAsia="SimSun;宋体"/>
          <w:b/>
          <w:bCs/>
          <w:sz w:val="28"/>
          <w:szCs w:val="28"/>
        </w:rPr>
      </w:pPr>
      <w:r>
        <w:rPr>
          <w:rFonts w:eastAsia="SimSun;宋体"/>
          <w:b/>
          <w:bCs/>
          <w:sz w:val="28"/>
          <w:szCs w:val="28"/>
        </w:rPr>
      </w:r>
      <w:r/>
    </w:p>
    <w:p>
      <w:pPr>
        <w:pStyle w:val="940"/>
        <w:numPr>
          <w:ilvl w:val="1"/>
          <w:numId w:val="44"/>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учебному предмету (за 3 года)</w:t>
      </w:r>
      <w:r/>
    </w:p>
    <w:p>
      <w:pPr>
        <w:pStyle w:val="940"/>
        <w:jc w:val="right"/>
        <w:keepNext/>
        <w:spacing w:before="0" w:after="200"/>
        <w:rPr>
          <w:bCs/>
          <w:i/>
          <w:sz w:val="18"/>
          <w:szCs w:val="18"/>
        </w:rPr>
      </w:pPr>
      <w:r>
        <w:rPr>
          <w:bCs/>
          <w:i/>
          <w:sz w:val="18"/>
          <w:szCs w:val="18"/>
        </w:rPr>
        <w:t xml:space="preserve">Таблица 2</w:t>
        <w:noBreakHyphen/>
        <w:t xml:space="preserve">1</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207"/>
        <w:gridCol w:w="1601"/>
        <w:gridCol w:w="1605"/>
        <w:gridCol w:w="1602"/>
        <w:gridCol w:w="1602"/>
        <w:gridCol w:w="1829"/>
      </w:tblGrid>
      <w:tr>
        <w:trPr/>
        <w:tc>
          <w:tcPr>
            <w:gridSpan w:val="2"/>
            <w:tcBorders>
              <w:top w:val="single" w:color="000000" w:sz="4" w:space="0"/>
              <w:left w:val="single" w:color="000000" w:sz="4" w:space="0"/>
              <w:bottom w:val="single" w:color="000000" w:sz="4" w:space="0"/>
            </w:tcBorders>
            <w:tcW w:w="280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0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431"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0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82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07" w:type="dxa"/>
            <w:textDirection w:val="lrTb"/>
            <w:noWrap w:val="false"/>
          </w:tcPr>
          <w:p>
            <w:pPr>
              <w:pStyle w:val="940"/>
              <w:ind w:right="-1" w:firstLine="0"/>
              <w:jc w:val="center"/>
              <w:spacing w:before="0" w:after="160" w:line="254" w:lineRule="auto"/>
              <w:rPr>
                <w:lang w:eastAsia="en-US"/>
              </w:rPr>
            </w:pPr>
            <w:r>
              <w:rPr>
                <w:lang w:eastAsia="en-US"/>
              </w:rPr>
              <w:t xml:space="preserve">448</w:t>
            </w:r>
            <w:r/>
          </w:p>
        </w:tc>
        <w:tc>
          <w:tcPr>
            <w:tcBorders>
              <w:top w:val="single" w:color="000000" w:sz="4" w:space="0"/>
              <w:left w:val="single" w:color="000000" w:sz="4" w:space="0"/>
              <w:bottom w:val="single" w:color="000000" w:sz="4" w:space="0"/>
            </w:tcBorders>
            <w:tcW w:w="1601" w:type="dxa"/>
            <w:textDirection w:val="lrTb"/>
            <w:noWrap w:val="false"/>
          </w:tcPr>
          <w:p>
            <w:pPr>
              <w:pStyle w:val="940"/>
              <w:ind w:right="-1" w:firstLine="0"/>
              <w:jc w:val="center"/>
              <w:spacing w:before="0" w:after="160" w:line="254" w:lineRule="auto"/>
              <w:rPr>
                <w:lang w:eastAsia="en-US"/>
              </w:rPr>
            </w:pPr>
            <w:r>
              <w:rPr>
                <w:lang w:eastAsia="en-US"/>
              </w:rPr>
              <w:t xml:space="preserve">10,4</w:t>
            </w:r>
            <w:r/>
          </w:p>
        </w:tc>
        <w:tc>
          <w:tcPr>
            <w:tcBorders>
              <w:top w:val="single" w:color="000000" w:sz="4" w:space="0"/>
              <w:left w:val="single" w:color="000000" w:sz="4" w:space="0"/>
              <w:bottom w:val="single" w:color="000000" w:sz="4" w:space="0"/>
            </w:tcBorders>
            <w:tcW w:w="160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465</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11,4</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jc w:val="center"/>
            </w:pPr>
            <w:r>
              <w:t xml:space="preserve">466</w:t>
            </w:r>
            <w:r/>
          </w:p>
        </w:tc>
        <w:tc>
          <w:tcPr>
            <w:tcBorders>
              <w:top w:val="single" w:color="000000" w:sz="4" w:space="0"/>
              <w:left w:val="single" w:color="000000" w:sz="4" w:space="0"/>
              <w:bottom w:val="single" w:color="000000" w:sz="4" w:space="0"/>
              <w:right w:val="single" w:color="000000" w:sz="4" w:space="0"/>
            </w:tcBorders>
            <w:tcW w:w="1829" w:type="dxa"/>
            <w:vAlign w:val="bottom"/>
            <w:textDirection w:val="lrTb"/>
            <w:noWrap w:val="false"/>
          </w:tcPr>
          <w:p>
            <w:pPr>
              <w:pStyle w:val="940"/>
              <w:jc w:val="center"/>
            </w:pPr>
            <w:r>
              <w:t xml:space="preserve">11,4</w:t>
            </w:r>
            <w:r/>
          </w:p>
        </w:tc>
      </w:tr>
    </w:tbl>
    <w:p>
      <w:pPr>
        <w:pStyle w:val="940"/>
        <w:contextualSpacing/>
        <w:spacing w:before="0" w:after="0"/>
        <w:rPr>
          <w:lang w:eastAsia="en-US"/>
        </w:rPr>
      </w:pPr>
      <w:r>
        <w:rPr>
          <w:lang w:eastAsia="en-US"/>
        </w:rPr>
      </w:r>
      <w:r/>
    </w:p>
    <w:p>
      <w:pPr>
        <w:pStyle w:val="940"/>
        <w:numPr>
          <w:ilvl w:val="1"/>
          <w:numId w:val="44"/>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Процентное соотношение юношей и девушек, участвующих в ЕГЭ</w:t>
      </w:r>
      <w:r/>
    </w:p>
    <w:p>
      <w:pPr>
        <w:pStyle w:val="940"/>
        <w:jc w:val="right"/>
        <w:keepNext/>
        <w:spacing w:before="0" w:after="200"/>
        <w:rPr>
          <w:bCs/>
          <w:i/>
          <w:sz w:val="18"/>
          <w:szCs w:val="18"/>
        </w:rPr>
      </w:pPr>
      <w:r>
        <w:rPr>
          <w:bCs/>
          <w:i/>
          <w:sz w:val="18"/>
          <w:szCs w:val="18"/>
        </w:rPr>
        <w:t xml:space="preserve">Таблица 2-2</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127"/>
        <w:gridCol w:w="692"/>
        <w:gridCol w:w="2074"/>
        <w:gridCol w:w="695"/>
        <w:gridCol w:w="2074"/>
        <w:gridCol w:w="692"/>
        <w:gridCol w:w="2092"/>
      </w:tblGrid>
      <w:tr>
        <w:trPr/>
        <w:tc>
          <w:tcPr>
            <w:tcBorders>
              <w:top w:val="single" w:color="000000" w:sz="4" w:space="0"/>
              <w:left w:val="single" w:color="000000" w:sz="4" w:space="0"/>
              <w:bottom w:val="single" w:color="000000" w:sz="4" w:space="0"/>
            </w:tcBorders>
            <w:tcW w:w="1127"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76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6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78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127"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0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692" w:type="dxa"/>
            <w:textDirection w:val="lrTb"/>
            <w:noWrap w:val="false"/>
          </w:tcPr>
          <w:p>
            <w:pPr>
              <w:pStyle w:val="940"/>
              <w:jc w:val="center"/>
            </w:pPr>
            <w:r>
              <w:t xml:space="preserve">350</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pPr>
            <w:r>
              <w:t xml:space="preserve">78,1</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353</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ind w:right="-1" w:firstLine="0"/>
              <w:jc w:val="center"/>
              <w:spacing w:before="0" w:after="160" w:line="254" w:lineRule="auto"/>
              <w:rPr>
                <w:lang w:eastAsia="en-US"/>
              </w:rPr>
            </w:pPr>
            <w:r>
              <w:rPr>
                <w:lang w:eastAsia="en-US"/>
              </w:rPr>
              <w:t xml:space="preserve">75,9</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right"/>
            </w:pPr>
            <w:r>
              <w:t xml:space="preserve">346</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74,2</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692" w:type="dxa"/>
            <w:textDirection w:val="lrTb"/>
            <w:noWrap w:val="false"/>
          </w:tcPr>
          <w:p>
            <w:pPr>
              <w:pStyle w:val="940"/>
              <w:jc w:val="center"/>
            </w:pPr>
            <w:r>
              <w:t xml:space="preserve">98</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pPr>
            <w:r>
              <w:t xml:space="preserve">21,9</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112</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ind w:right="-1" w:firstLine="0"/>
              <w:jc w:val="center"/>
              <w:spacing w:before="0" w:after="160" w:line="254" w:lineRule="auto"/>
              <w:rPr>
                <w:lang w:eastAsia="en-US"/>
              </w:rPr>
            </w:pPr>
            <w:r>
              <w:rPr>
                <w:lang w:eastAsia="en-US"/>
              </w:rPr>
              <w:t xml:space="preserve">24,1</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right"/>
            </w:pPr>
            <w:r>
              <w:t xml:space="preserve">120</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25,8</w:t>
            </w:r>
            <w:r/>
          </w:p>
        </w:tc>
      </w:tr>
    </w:tbl>
    <w:p>
      <w:pPr>
        <w:pStyle w:val="940"/>
      </w:pPr>
      <w:r/>
      <w:r/>
    </w:p>
    <w:p>
      <w:pPr>
        <w:pStyle w:val="940"/>
        <w:numPr>
          <w:ilvl w:val="1"/>
          <w:numId w:val="44"/>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в регионе по категориям </w:t>
      </w:r>
      <w:r/>
    </w:p>
    <w:p>
      <w:pPr>
        <w:pStyle w:val="940"/>
        <w:jc w:val="right"/>
        <w:keepNext/>
        <w:spacing w:before="0" w:after="200"/>
        <w:rPr>
          <w:bCs/>
          <w:i/>
          <w:sz w:val="18"/>
          <w:szCs w:val="18"/>
        </w:rPr>
      </w:pPr>
      <w:r>
        <w:rPr>
          <w:bCs/>
          <w:i/>
          <w:sz w:val="18"/>
          <w:szCs w:val="18"/>
        </w:rPr>
        <w:t xml:space="preserve">Таблица 2-3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84"/>
        <w:gridCol w:w="2275"/>
      </w:tblGrid>
      <w:tr>
        <w:trPr>
          <w:trHeight w:val="273"/>
        </w:trPr>
        <w:tc>
          <w:tcPr>
            <w:tcBorders>
              <w:top w:val="single" w:color="000000" w:sz="4" w:space="0"/>
              <w:left w:val="single" w:color="000000" w:sz="4" w:space="0"/>
              <w:bottom w:val="single" w:color="000000" w:sz="4" w:space="0"/>
            </w:tcBorders>
            <w:tcW w:w="7384"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466</w:t>
            </w:r>
            <w:r/>
          </w:p>
        </w:tc>
      </w:tr>
      <w:tr>
        <w:trPr>
          <w:trHeight w:val="539"/>
        </w:trPr>
        <w:tc>
          <w:tcPr>
            <w:tcBorders>
              <w:top w:val="single" w:color="000000" w:sz="4" w:space="0"/>
              <w:left w:val="single" w:color="000000" w:sz="4" w:space="0"/>
              <w:bottom w:val="single" w:color="000000" w:sz="4" w:space="0"/>
            </w:tcBorders>
            <w:tcW w:w="7384"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10"/>
              <w:t xml:space="preserve">*</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428</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27</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5</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3</w:t>
            </w:r>
            <w:r/>
          </w:p>
        </w:tc>
      </w:tr>
      <w:tr>
        <w:trPr>
          <w:trHeight w:val="273"/>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8</w:t>
            </w:r>
            <w:r/>
          </w:p>
        </w:tc>
      </w:tr>
      <w:tr>
        <w:trPr>
          <w:trHeight w:val="287"/>
        </w:trPr>
        <w:tc>
          <w:tcPr>
            <w:tcBorders>
              <w:top w:val="single" w:color="000000" w:sz="4" w:space="0"/>
              <w:left w:val="single" w:color="000000" w:sz="4" w:space="0"/>
              <w:bottom w:val="single" w:color="000000" w:sz="4" w:space="0"/>
            </w:tcBorders>
            <w:tcW w:w="738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275" w:type="dxa"/>
            <w:textDirection w:val="lrTb"/>
            <w:noWrap w:val="false"/>
          </w:tcPr>
          <w:p>
            <w:pPr>
              <w:pStyle w:val="940"/>
              <w:contextualSpacing/>
              <w:jc w:val="both"/>
              <w:spacing w:before="0" w:after="0"/>
            </w:pPr>
            <w:r>
              <w:t xml:space="preserve">-</w:t>
            </w:r>
            <w:r/>
          </w:p>
        </w:tc>
      </w:tr>
    </w:tbl>
    <w:p>
      <w:pPr>
        <w:pStyle w:val="940"/>
        <w:contextualSpacing/>
        <w:spacing w:before="0" w:after="0"/>
        <w:rPr>
          <w:lang w:eastAsia="en-US"/>
        </w:rPr>
      </w:pPr>
      <w:r>
        <w:rPr>
          <w:lang w:eastAsia="en-US"/>
        </w:rPr>
      </w:r>
      <w:r/>
    </w:p>
    <w:p>
      <w:pPr>
        <w:pStyle w:val="940"/>
        <w:numPr>
          <w:ilvl w:val="1"/>
          <w:numId w:val="44"/>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по типам ОО </w:t>
      </w:r>
      <w:r/>
    </w:p>
    <w:p>
      <w:pPr>
        <w:pStyle w:val="940"/>
        <w:jc w:val="right"/>
        <w:keepNext/>
        <w:spacing w:before="0" w:after="200"/>
        <w:rPr>
          <w:bCs/>
          <w:i/>
          <w:sz w:val="18"/>
          <w:szCs w:val="18"/>
        </w:rPr>
      </w:pPr>
      <w:r>
        <w:rPr>
          <w:bCs/>
          <w:i/>
          <w:sz w:val="18"/>
          <w:szCs w:val="18"/>
        </w:rPr>
        <w:t xml:space="preserve">Таблица 2-4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82"/>
        <w:gridCol w:w="2277"/>
      </w:tblGrid>
      <w:tr>
        <w:trPr>
          <w:trHeight w:val="259"/>
        </w:trPr>
        <w:tc>
          <w:tcPr>
            <w:tcBorders>
              <w:top w:val="single" w:color="000000" w:sz="4" w:space="0"/>
              <w:left w:val="single" w:color="000000" w:sz="4" w:space="0"/>
              <w:bottom w:val="single" w:color="000000" w:sz="4" w:space="0"/>
            </w:tcBorders>
            <w:tcW w:w="7382"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277" w:type="dxa"/>
            <w:textDirection w:val="lrTb"/>
            <w:noWrap w:val="false"/>
          </w:tcPr>
          <w:p>
            <w:pPr>
              <w:pStyle w:val="940"/>
              <w:contextualSpacing/>
              <w:jc w:val="both"/>
              <w:spacing w:before="0" w:after="0"/>
            </w:pPr>
            <w:r>
              <w:t xml:space="preserve">428</w:t>
            </w:r>
            <w:r/>
          </w:p>
        </w:tc>
      </w:tr>
      <w:tr>
        <w:trPr>
          <w:trHeight w:val="518"/>
        </w:trPr>
        <w:tc>
          <w:tcPr>
            <w:tcBorders>
              <w:top w:val="single" w:color="000000" w:sz="4" w:space="0"/>
              <w:left w:val="single" w:color="000000" w:sz="4" w:space="0"/>
              <w:bottom w:val="single" w:color="000000" w:sz="4" w:space="0"/>
            </w:tcBorders>
            <w:tcW w:w="7382" w:type="dxa"/>
            <w:textDirection w:val="lrTb"/>
            <w:noWrap w:val="false"/>
          </w:tcPr>
          <w:p>
            <w:pPr>
              <w:pStyle w:val="940"/>
              <w:contextualSpacing/>
              <w:jc w:val="both"/>
              <w:spacing w:before="0" w:after="0"/>
            </w:pPr>
            <w:r>
              <w:t xml:space="preserve">Из них:</w:t>
            </w:r>
            <w:r/>
          </w:p>
          <w:p>
            <w:pPr>
              <w:pStyle w:val="940"/>
              <w:numPr>
                <w:ilvl w:val="0"/>
                <w:numId w:val="63"/>
              </w:numPr>
              <w:contextualSpacing/>
              <w:ind w:left="0" w:firstLine="0"/>
              <w:jc w:val="both"/>
              <w:spacing w:before="0" w:after="0"/>
              <w:rPr>
                <w:lang w:eastAsia="en-US"/>
              </w:rPr>
            </w:pPr>
            <w:r>
              <w:rPr>
                <w:lang w:eastAsia="en-US"/>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277" w:type="dxa"/>
            <w:textDirection w:val="lrTb"/>
            <w:noWrap w:val="false"/>
          </w:tcPr>
          <w:p>
            <w:pPr>
              <w:pStyle w:val="940"/>
              <w:contextualSpacing/>
              <w:jc w:val="both"/>
              <w:spacing w:before="0" w:after="0"/>
            </w:pPr>
            <w:r>
              <w:t xml:space="preserve">182</w:t>
            </w:r>
            <w:r/>
          </w:p>
        </w:tc>
      </w:tr>
      <w:tr>
        <w:trPr>
          <w:trHeight w:val="273"/>
        </w:trPr>
        <w:tc>
          <w:tcPr>
            <w:tcBorders>
              <w:top w:val="single" w:color="000000" w:sz="4" w:space="0"/>
              <w:left w:val="single" w:color="000000" w:sz="4" w:space="0"/>
              <w:bottom w:val="single" w:color="000000" w:sz="4" w:space="0"/>
            </w:tcBorders>
            <w:tcW w:w="7382" w:type="dxa"/>
            <w:textDirection w:val="lrTb"/>
            <w:noWrap w:val="false"/>
          </w:tcPr>
          <w:p>
            <w:pPr>
              <w:pStyle w:val="940"/>
              <w:numPr>
                <w:ilvl w:val="0"/>
                <w:numId w:val="63"/>
              </w:numPr>
              <w:contextualSpacing/>
              <w:ind w:left="0" w:firstLine="0"/>
              <w:jc w:val="both"/>
              <w:spacing w:before="0" w:after="0"/>
              <w:rPr>
                <w:lang w:eastAsia="en-US"/>
              </w:rPr>
            </w:pPr>
            <w:r>
              <w:rPr>
                <w:lang w:eastAsia="en-US"/>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277" w:type="dxa"/>
            <w:textDirection w:val="lrTb"/>
            <w:noWrap w:val="false"/>
          </w:tcPr>
          <w:p>
            <w:pPr>
              <w:pStyle w:val="940"/>
              <w:contextualSpacing/>
              <w:jc w:val="both"/>
              <w:spacing w:before="0" w:after="0"/>
            </w:pPr>
            <w:r>
              <w:t xml:space="preserve">236</w:t>
            </w:r>
            <w:r/>
          </w:p>
        </w:tc>
      </w:tr>
      <w:tr>
        <w:trPr>
          <w:trHeight w:val="273"/>
        </w:trPr>
        <w:tc>
          <w:tcPr>
            <w:tcBorders>
              <w:top w:val="single" w:color="000000" w:sz="4" w:space="0"/>
              <w:left w:val="single" w:color="000000" w:sz="4" w:space="0"/>
              <w:bottom w:val="single" w:color="000000" w:sz="4" w:space="0"/>
            </w:tcBorders>
            <w:tcW w:w="7382"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277" w:type="dxa"/>
            <w:textDirection w:val="lrTb"/>
            <w:noWrap w:val="false"/>
          </w:tcPr>
          <w:p>
            <w:pPr>
              <w:pStyle w:val="940"/>
              <w:contextualSpacing/>
              <w:jc w:val="both"/>
              <w:spacing w:before="0" w:after="0"/>
            </w:pPr>
            <w:r>
              <w:t xml:space="preserve">2</w:t>
            </w:r>
            <w:r/>
          </w:p>
        </w:tc>
      </w:tr>
      <w:tr>
        <w:trPr>
          <w:trHeight w:val="533"/>
        </w:trPr>
        <w:tc>
          <w:tcPr>
            <w:tcBorders>
              <w:top w:val="single" w:color="000000" w:sz="4" w:space="0"/>
              <w:left w:val="single" w:color="000000" w:sz="4" w:space="0"/>
              <w:bottom w:val="single" w:color="000000" w:sz="4" w:space="0"/>
            </w:tcBorders>
            <w:tcW w:w="7382"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277" w:type="dxa"/>
            <w:textDirection w:val="lrTb"/>
            <w:noWrap w:val="false"/>
          </w:tcPr>
          <w:p>
            <w:pPr>
              <w:pStyle w:val="940"/>
              <w:contextualSpacing/>
              <w:jc w:val="both"/>
              <w:spacing w:before="0" w:after="0"/>
            </w:pPr>
            <w:r>
              <w:t xml:space="preserve">8</w:t>
            </w:r>
            <w:r/>
          </w:p>
        </w:tc>
      </w:tr>
    </w:tbl>
    <w:p>
      <w:pPr>
        <w:pStyle w:val="940"/>
      </w:pPr>
      <w:r/>
      <w:r/>
    </w:p>
    <w:p>
      <w:pPr>
        <w:pStyle w:val="940"/>
        <w:numPr>
          <w:ilvl w:val="1"/>
          <w:numId w:val="44"/>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предмету по АТЕ региона</w:t>
      </w:r>
      <w:r/>
    </w:p>
    <w:p>
      <w:pPr>
        <w:pStyle w:val="940"/>
        <w:jc w:val="right"/>
        <w:keepNext/>
        <w:spacing w:before="0" w:after="200"/>
        <w:rPr>
          <w:bCs/>
          <w:i/>
          <w:sz w:val="18"/>
          <w:szCs w:val="18"/>
        </w:rPr>
      </w:pPr>
      <w:r>
        <w:rPr>
          <w:bCs/>
          <w:i/>
          <w:sz w:val="18"/>
          <w:szCs w:val="18"/>
        </w:rPr>
        <w:t xml:space="preserve">Таблица 2-5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405"/>
        <w:gridCol w:w="3260"/>
        <w:gridCol w:w="2994"/>
      </w:tblGrid>
      <w:tr>
        <w:trPr>
          <w:trHeight w:val="630"/>
        </w:trPr>
        <w:tc>
          <w:tcPr>
            <w:shd w:val="clear" w:color="auto" w:fill="ffffff"/>
            <w:tcBorders>
              <w:top w:val="single" w:color="000000" w:sz="4" w:space="0"/>
              <w:left w:val="single" w:color="000000" w:sz="4" w:space="0"/>
              <w:bottom w:val="single" w:color="000000" w:sz="4" w:space="0"/>
            </w:tcBorders>
            <w:tcW w:w="3405"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английскому</w:t>
            </w:r>
            <w:r/>
          </w:p>
        </w:tc>
        <w:tc>
          <w:tcPr>
            <w:shd w:val="clear" w:color="auto" w:fill="ffffff"/>
            <w:tcBorders>
              <w:top w:val="single" w:color="000000" w:sz="4" w:space="0"/>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324</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69,5</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4,5</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1,5</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10</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4</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0,9</w:t>
            </w:r>
            <w:r/>
          </w:p>
        </w:tc>
      </w:tr>
      <w:tr>
        <w:trPr>
          <w:trHeight w:val="349"/>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2,8</w:t>
            </w:r>
            <w:r/>
          </w:p>
        </w:tc>
      </w:tr>
      <w:tr>
        <w:trPr>
          <w:trHeight w:val="232"/>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8</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5,8</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3</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0,6</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260"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260"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8</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630"/>
        </w:trPr>
        <w:tc>
          <w:tcPr>
            <w:shd w:val="clear" w:color="auto" w:fill="ffffff"/>
            <w:tcBorders>
              <w:left w:val="single" w:color="000000" w:sz="4" w:space="0"/>
              <w:bottom w:val="single" w:color="000000" w:sz="4" w:space="0"/>
            </w:tcBorders>
            <w:tcW w:w="3405"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260"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2994"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0"/>
        <w:numPr>
          <w:ilvl w:val="1"/>
          <w:numId w:val="44"/>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jc w:val="right"/>
        <w:keepNext/>
        <w:spacing w:before="0" w:after="200"/>
        <w:rPr>
          <w:bCs/>
          <w:i/>
          <w:sz w:val="18"/>
          <w:szCs w:val="18"/>
        </w:rPr>
      </w:pPr>
      <w:r>
        <w:rPr>
          <w:bCs/>
          <w:i/>
          <w:sz w:val="18"/>
          <w:szCs w:val="18"/>
        </w:rPr>
        <w:t xml:space="preserve">Таблица 2-6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40"/>
        <w:gridCol w:w="6037"/>
        <w:gridCol w:w="3082"/>
      </w:tblGrid>
      <w:tr>
        <w:trPr>
          <w:cantSplit/>
          <w:tblHeader/>
        </w:trPr>
        <w:tc>
          <w:tcPr>
            <w:tcBorders>
              <w:top w:val="single" w:color="000000" w:sz="4" w:space="0"/>
              <w:left w:val="single" w:color="000000" w:sz="4" w:space="0"/>
              <w:bottom w:val="single" w:color="000000" w:sz="4" w:space="0"/>
            </w:tcBorders>
            <w:tcW w:w="540" w:type="dxa"/>
            <w:vAlign w:val="center"/>
            <w:textDirection w:val="lrTb"/>
            <w:noWrap w:val="false"/>
          </w:tcPr>
          <w:p>
            <w:pPr>
              <w:pStyle w:val="940"/>
              <w:contextualSpacing/>
              <w:jc w:val="center"/>
              <w:spacing w:before="0" w:after="0"/>
            </w:pPr>
            <w:r>
              <w:rPr>
                <w:lang w:eastAsia="en-US"/>
              </w:rPr>
              <w:t xml:space="preserve">№</w:t>
            </w:r>
            <w:r>
              <w:rPr>
                <w:rFonts w:eastAsia="Times New Roman"/>
                <w:lang w:eastAsia="en-US"/>
              </w:rPr>
              <w:t xml:space="preserve"> </w:t>
            </w:r>
            <w:r>
              <w:rPr>
                <w:lang w:eastAsia="en-US"/>
              </w:rPr>
              <w:t xml:space="preserve">п/п</w:t>
            </w:r>
            <w:r/>
          </w:p>
        </w:tc>
        <w:tc>
          <w:tcPr>
            <w:tcBorders>
              <w:top w:val="single" w:color="000000" w:sz="4" w:space="0"/>
              <w:left w:val="single" w:color="000000" w:sz="4" w:space="0"/>
              <w:bottom w:val="single" w:color="000000" w:sz="4" w:space="0"/>
            </w:tcBorders>
            <w:tcW w:w="6037" w:type="dxa"/>
            <w:vAlign w:val="center"/>
            <w:textDirection w:val="lrTb"/>
            <w:noWrap w:val="false"/>
          </w:tcPr>
          <w:p>
            <w:pPr>
              <w:pStyle w:val="940"/>
              <w:contextualSpacing/>
              <w:jc w:val="center"/>
              <w:spacing w:before="0" w:after="0"/>
              <w:rPr>
                <w:lang w:eastAsia="en-US"/>
              </w:rPr>
            </w:pPr>
            <w:r>
              <w:rPr>
                <w:lang w:eastAsia="en-US"/>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940"/>
              <w:contextualSpacing/>
              <w:jc w:val="center"/>
              <w:spacing w:before="0" w:after="0"/>
              <w:rPr>
                <w:lang w:eastAsia="en-US"/>
              </w:rPr>
            </w:pPr>
            <w:r>
              <w:rPr>
                <w:lang w:eastAsia="en-US"/>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УМК "Звездный английский", К. М. Баранова, 10 кл., 2017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Иностранный язык(английский) "Английский в фокусе"  О.В. Афанасьева Д. Дули и др.  Издательство: М.: Просвещение, 2018-2019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36</w:t>
            </w:r>
            <w:r/>
          </w:p>
        </w:tc>
      </w:tr>
    </w:tbl>
    <w:p>
      <w:pPr>
        <w:pStyle w:val="940"/>
        <w:ind w:firstLine="708"/>
        <w:jc w:val="both"/>
        <w:rPr>
          <w:lang w:eastAsia="en-US"/>
        </w:rPr>
      </w:pPr>
      <w:r>
        <w:rPr>
          <w:lang w:eastAsia="en-US"/>
        </w:rPr>
        <w:t xml:space="preserve">Запланировано перейти:</w:t>
      </w:r>
      <w:r/>
    </w:p>
    <w:p>
      <w:pPr>
        <w:pStyle w:val="940"/>
        <w:ind w:firstLine="708"/>
        <w:jc w:val="both"/>
      </w:pPr>
      <w:r>
        <w:rPr>
          <w:lang w:eastAsia="en-US"/>
        </w:rPr>
        <w:t xml:space="preserve">1. Английский язык (базовый уровень). 10 класс. АО "Издательство "Просвещение". Афанасьева О.В., Дули Д., Михеева И.В. и др.</w:t>
      </w:r>
      <w:r/>
    </w:p>
    <w:p>
      <w:pPr>
        <w:pStyle w:val="940"/>
        <w:numPr>
          <w:ilvl w:val="1"/>
          <w:numId w:val="44"/>
        </w:numPr>
        <w:ind w:left="0" w:firstLine="0"/>
        <w:jc w:val="both"/>
        <w:keepLines/>
        <w:keepNext/>
        <w:spacing w:before="200" w:after="0"/>
        <w:rPr>
          <w:rFonts w:eastAsia="SimSun;宋体"/>
          <w:b/>
          <w:bCs/>
          <w:sz w:val="28"/>
          <w:lang w:val="en-US"/>
        </w:rPr>
      </w:pPr>
      <w:r>
        <w:rPr>
          <w:rFonts w:eastAsia="SimSun;宋体"/>
          <w:b/>
          <w:bCs/>
          <w:sz w:val="28"/>
          <w:lang w:val="en-US"/>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По сравнению с предыдущим годом процент участия в ЕГЭ по английскому языку является стабильным. Доля девушек-участников как и в предыдущие годы является превалирующей, но процент участия юношей неизменно растет (с 21,9% в 2019 году до 25,8% в 2021 году).</w:t>
      </w:r>
      <w:r/>
    </w:p>
    <w:p>
      <w:pPr>
        <w:pStyle w:val="940"/>
        <w:ind w:firstLine="708"/>
        <w:jc w:val="both"/>
      </w:pPr>
      <w:r>
        <w:t xml:space="preserve">Подавляющее большинство участников ЕГЭ представлено выпускниками текущего года (92%). По сравнению с прошлым годом уменьшилось как количество выпускников</w:t>
      </w:r>
      <w:r>
        <w:t xml:space="preserve"> прошлых лет, так и участников-экстернов. 42,5% участников ЕГЭ по английскому языку обучались в лицеях и гимназиях, что на 4,2% больше чем в 2020 году. Это свидетельствует об ориентации обучающихся этих ОО на изучение английского языка и сдачу ЕГЭ по нему.</w:t>
      </w:r>
      <w:r/>
    </w:p>
    <w:p>
      <w:pPr>
        <w:pStyle w:val="940"/>
        <w:ind w:firstLine="708"/>
        <w:jc w:val="both"/>
      </w:pPr>
      <w:r>
        <w:t xml:space="preserve">Традиционно подавляющее большинство участников ЕГЭ по английскому языку – выпускники об</w:t>
      </w:r>
      <w:r>
        <w:t xml:space="preserve">разовательных организаций г. Астрахани (69,5%). Среди сельских районов можно отметить уменьшение доли участников в Володарском районе (с 3,9% до 1,5%) и в Камызякском районе (с 3,4% до 1,3%). В Приволжском районе доля участников увеличилась с 1,5% до 2,8%.</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numPr>
          <w:ilvl w:val="1"/>
          <w:numId w:val="60"/>
        </w:numPr>
        <w:jc w:val="center"/>
        <w:keepLines/>
        <w:keepNext/>
        <w:spacing w:before="40" w:after="0"/>
        <w:tabs>
          <w:tab w:val="left" w:pos="360" w:leader="none"/>
          <w:tab w:val="clear" w:pos="708" w:leader="none"/>
        </w:tabs>
      </w:pPr>
      <w:r/>
      <w:r/>
    </w:p>
    <w:p>
      <w:pPr>
        <w:pStyle w:val="940"/>
        <w:numPr>
          <w:ilvl w:val="1"/>
          <w:numId w:val="60"/>
        </w:numPr>
        <w:jc w:val="center"/>
        <w:keepLines/>
        <w:keepNext/>
        <w:spacing w:before="40" w:after="0"/>
        <w:tabs>
          <w:tab w:val="left" w:pos="360" w:leader="none"/>
          <w:tab w:val="clear" w:pos="708" w:leader="none"/>
        </w:tabs>
      </w:pPr>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2.  ОСНОВНЫЕ РЕЗУЛЬТАТЫ ЕГЭ ПО ПРЕДМЕТУ</w:t>
      </w:r>
      <w:r/>
    </w:p>
    <w:p>
      <w:pPr>
        <w:pStyle w:val="940"/>
        <w:jc w:val="center"/>
      </w:pPr>
      <w:r>
        <w:rPr>
          <w:b/>
          <w:sz w:val="28"/>
        </w:rPr>
        <w:t xml:space="preserve">«Иностранные языки (Английский язык)»</w:t>
      </w:r>
      <w:r/>
    </w:p>
    <w:p>
      <w:pPr>
        <w:pStyle w:val="940"/>
        <w:numPr>
          <w:ilvl w:val="0"/>
          <w:numId w:val="44"/>
        </w:numPr>
        <w:ind w:left="0" w:firstLine="0"/>
        <w:keepLines/>
        <w:keepNext/>
        <w:spacing w:before="200" w:after="0"/>
        <w:rPr>
          <w:rFonts w:eastAsia="SimSun;宋体"/>
          <w:b/>
          <w:vanish/>
          <w:sz w:val="28"/>
        </w:rPr>
      </w:pPr>
      <w:r>
        <w:rPr>
          <w:rFonts w:eastAsia="SimSun;宋体"/>
          <w:b/>
          <w:vanish/>
          <w:sz w:val="28"/>
        </w:rPr>
      </w:r>
      <w:r/>
    </w:p>
    <w:p>
      <w:pPr>
        <w:pStyle w:val="940"/>
        <w:numPr>
          <w:ilvl w:val="1"/>
          <w:numId w:val="44"/>
        </w:numPr>
        <w:ind w:left="0" w:firstLine="0"/>
        <w:jc w:val="both"/>
        <w:keepLines/>
        <w:keepNext/>
        <w:spacing w:before="200" w:after="0"/>
        <w:tabs>
          <w:tab w:val="left" w:pos="142" w:leader="none"/>
          <w:tab w:val="clear" w:pos="708" w:leader="none"/>
        </w:tabs>
      </w:pPr>
      <w:r>
        <w:rPr>
          <w:rFonts w:eastAsia="SimSun;宋体"/>
          <w:b/>
          <w:bCs/>
          <w:sz w:val="28"/>
          <w:lang w:val="en-US"/>
        </w:rPr>
        <w:t xml:space="preserve">Диаграмма распределения тестовых баллов </w:t>
      </w:r>
      <w:r>
        <w:rPr>
          <w:rFonts w:eastAsia="SimSun;宋体"/>
          <w:b/>
          <w:bCs/>
          <w:sz w:val="28"/>
        </w:rPr>
        <w:t xml:space="preserve">участников ЕГЭ </w:t>
      </w:r>
      <w:r>
        <w:rPr>
          <w:rFonts w:eastAsia="SimSun;宋体"/>
          <w:b/>
          <w:bCs/>
          <w:sz w:val="28"/>
          <w:lang w:val="en-US"/>
        </w:rPr>
        <w:t xml:space="preserve">по предмету</w:t>
      </w:r>
      <w:r>
        <w:rPr>
          <w:rFonts w:eastAsia="SimSun;宋体"/>
          <w:b/>
          <w:bCs/>
          <w:sz w:val="28"/>
        </w:rPr>
        <w:t xml:space="preserve"> </w:t>
      </w:r>
      <w:r>
        <w:rPr>
          <w:rFonts w:eastAsia="SimSun;宋体"/>
          <w:b/>
          <w:bCs/>
          <w:sz w:val="28"/>
          <w:lang w:val="en-US"/>
        </w:rPr>
        <w:t xml:space="preserve">в</w:t>
      </w:r>
      <w:r>
        <w:rPr>
          <w:rFonts w:eastAsia="SimSun;宋体"/>
          <w:b/>
          <w:bCs/>
          <w:sz w:val="28"/>
        </w:rPr>
        <w:t xml:space="preserve"> </w:t>
      </w:r>
      <w:r>
        <w:rPr>
          <w:rFonts w:eastAsia="SimSun;宋体"/>
          <w:b/>
          <w:bCs/>
          <w:sz w:val="28"/>
          <w:lang w:val="en-US"/>
        </w:rPr>
        <w:t xml:space="preserve">2021</w:t>
      </w:r>
      <w:r>
        <w:rPr>
          <w:rFonts w:eastAsia="SimSun;宋体"/>
          <w:b/>
          <w:bCs/>
          <w:sz w:val="28"/>
        </w:rPr>
        <w:t xml:space="preserve"> </w:t>
      </w:r>
      <w:r>
        <w:rPr>
          <w:rFonts w:eastAsia="SimSun;宋体"/>
          <w:b/>
          <w:bCs/>
          <w:sz w:val="28"/>
          <w:lang w:val="en-US"/>
        </w:rPr>
        <w:t xml:space="preserve">г.</w:t>
      </w:r>
      <w:r>
        <w:rPr>
          <w:rFonts w:eastAsia="SimSun;宋体"/>
          <w:b/>
          <w:bCs/>
          <w:sz w:val="28"/>
        </w:rPr>
        <w:t xml:space="preserve"> </w:t>
      </w:r>
      <w:r/>
    </w:p>
    <w:p>
      <w:pPr>
        <w:pStyle w:val="940"/>
        <w:jc w:val="both"/>
        <w:keepLines/>
        <w:keepNext/>
        <w:spacing w:before="200" w:after="0"/>
        <w:tabs>
          <w:tab w:val="left" w:pos="142" w:leader="none"/>
          <w:tab w:val="clear" w:pos="708" w:leader="none"/>
        </w:tabs>
        <w:rPr>
          <w:rFonts w:eastAsia="SimSun;宋体"/>
          <w:bCs/>
          <w:i/>
          <w:lang w:val="en-US"/>
        </w:rPr>
      </w:pPr>
      <w:r>
        <w:rPr>
          <w:rFonts w:eastAsia="SimSun;宋体"/>
          <w:bCs/>
          <w:i/>
          <w:lang w:val="en-US"/>
        </w:rPr>
        <w:t xml:space="preserve">(количество участников, получивших тот или иной тестовый балл)</w:t>
      </w:r>
      <w:r/>
    </w:p>
    <w:p>
      <w:pPr>
        <w:pStyle w:val="940"/>
        <w:rPr>
          <w:rFonts w:eastAsia="SimSun;宋体"/>
          <w:bCs/>
          <w:i/>
          <w:lang w:val="en-US"/>
        </w:rPr>
      </w:pPr>
      <w:r>
        <w:rPr>
          <w:rFonts w:eastAsia="SimSun;宋体"/>
          <w:bCs/>
          <w:i/>
          <w:lang w:val="en-US"/>
        </w:rPr>
      </w:r>
      <w:r/>
    </w:p>
    <w:p>
      <w:pPr>
        <w:pStyle w:val="940"/>
        <w:jc w:val="center"/>
        <w:rPr>
          <w:rFonts w:eastAsia="Times New Roman"/>
          <w:b/>
          <w:bCs/>
          <w:sz w:val="28"/>
        </w:rPr>
      </w:pPr>
      <w:r>
        <w:rPr>
          <w:lang w:val="en-US" w:eastAsia="en-US"/>
        </w:rPr>
        <mc:AlternateContent>
          <mc:Choice Requires="wpg">
            <w:drawing>
              <wp:inline xmlns:wp="http://schemas.openxmlformats.org/drawingml/2006/wordprocessingDrawing" distT="0" distB="0" distL="0" distR="0">
                <wp:extent cx="6005195" cy="1823720"/>
                <wp:effectExtent l="0" t="0" r="0" b="0"/>
                <wp:docPr id="16" name="Image11"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hidden="0"/>
                        <pic:cNvPicPr>
                          <a:picLocks noChangeAspect="1"/>
                        </pic:cNvPicPr>
                        <pic:nvPr isPhoto="0" userDrawn="0"/>
                      </pic:nvPicPr>
                      <pic:blipFill>
                        <a:blip r:embed="rId35"/>
                        <a:srcRect l="0" t="8150" r="0" b="0"/>
                        <a:stretch/>
                      </pic:blipFill>
                      <pic:spPr bwMode="auto">
                        <a:xfrm>
                          <a:off x="0" y="0"/>
                          <a:ext cx="6005195" cy="182372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72.8pt;height:143.6pt;" strokecolor="#000000" strokeweight="0.75pt">
                <v:path textboxrect="0,0,0,0"/>
                <v:imagedata r:id="rId35" o:title=""/>
              </v:shape>
            </w:pict>
          </mc:Fallback>
        </mc:AlternateContent>
      </w:r>
      <w:r/>
    </w:p>
    <w:p>
      <w:pPr>
        <w:pStyle w:val="940"/>
        <w:numPr>
          <w:ilvl w:val="1"/>
          <w:numId w:val="44"/>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Динамика результатов ЕГЭ по предмету за последние 3 года</w:t>
      </w:r>
      <w:r/>
    </w:p>
    <w:p>
      <w:pPr>
        <w:pStyle w:val="940"/>
        <w:jc w:val="right"/>
        <w:keepNext/>
        <w:spacing w:before="0" w:after="200"/>
        <w:rPr>
          <w:bCs/>
          <w:i/>
          <w:sz w:val="18"/>
          <w:szCs w:val="18"/>
        </w:rPr>
      </w:pPr>
      <w:r>
        <w:rPr>
          <w:bCs/>
          <w:i/>
          <w:sz w:val="18"/>
          <w:szCs w:val="18"/>
        </w:rPr>
        <w:t xml:space="preserve">Таблица 2-7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34"/>
        <w:gridCol w:w="1535"/>
        <w:gridCol w:w="1668"/>
        <w:gridCol w:w="1322"/>
      </w:tblGrid>
      <w:tr>
        <w:trPr>
          <w:cantSplit/>
          <w:trHeight w:val="330"/>
          <w:tblHeader/>
        </w:trPr>
        <w:tc>
          <w:tcPr>
            <w:tcBorders>
              <w:top w:val="single" w:color="000000" w:sz="4" w:space="0"/>
              <w:left w:val="single" w:color="000000" w:sz="4" w:space="0"/>
              <w:bottom w:val="single" w:color="000000" w:sz="4" w:space="0"/>
            </w:tcBorders>
            <w:tcW w:w="5134"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525"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1"/>
          <w:tblHeader/>
        </w:trPr>
        <w:tc>
          <w:tcPr>
            <w:tcBorders>
              <w:top w:val="single" w:color="000000" w:sz="4" w:space="0"/>
              <w:left w:val="single" w:color="000000" w:sz="4" w:space="0"/>
              <w:bottom w:val="single" w:color="000000" w:sz="4" w:space="0"/>
            </w:tcBorders>
            <w:tcW w:w="5134"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35"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668"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322"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41"/>
        </w:trPr>
        <w:tc>
          <w:tcPr>
            <w:tcBorders>
              <w:top w:val="single" w:color="000000" w:sz="4" w:space="0"/>
              <w:left w:val="single" w:color="000000" w:sz="4" w:space="0"/>
              <w:bottom w:val="single" w:color="000000" w:sz="4" w:space="0"/>
            </w:tcBorders>
            <w:tcW w:w="5134"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35" w:type="dxa"/>
            <w:vAlign w:val="center"/>
            <w:textDirection w:val="lrTb"/>
            <w:noWrap w:val="false"/>
          </w:tcPr>
          <w:p>
            <w:pPr>
              <w:pStyle w:val="940"/>
              <w:jc w:val="center"/>
              <w:rPr>
                <w:color w:val="000000"/>
              </w:rPr>
            </w:pPr>
            <w:r>
              <w:rPr>
                <w:color w:val="000000"/>
              </w:rPr>
              <w:t xml:space="preserve">1,3</w:t>
            </w:r>
            <w:r/>
          </w:p>
        </w:tc>
        <w:tc>
          <w:tcPr>
            <w:tcBorders>
              <w:top w:val="single" w:color="000000" w:sz="4" w:space="0"/>
              <w:left w:val="single" w:color="000000" w:sz="4" w:space="0"/>
              <w:bottom w:val="single" w:color="000000" w:sz="4" w:space="0"/>
            </w:tcBorders>
            <w:tcW w:w="1668" w:type="dxa"/>
            <w:vAlign w:val="center"/>
            <w:textDirection w:val="lrTb"/>
            <w:noWrap w:val="false"/>
          </w:tcPr>
          <w:p>
            <w:pPr>
              <w:pStyle w:val="940"/>
              <w:jc w:val="center"/>
              <w:rPr>
                <w:color w:val="000000"/>
              </w:rPr>
            </w:pPr>
            <w:r>
              <w:rPr>
                <w:color w:val="000000"/>
              </w:rPr>
              <w:t xml:space="preserve">0,9</w:t>
            </w:r>
            <w:r/>
          </w:p>
        </w:tc>
        <w:tc>
          <w:tcPr>
            <w:tcBorders>
              <w:top w:val="single" w:color="000000" w:sz="4" w:space="0"/>
              <w:left w:val="single" w:color="000000" w:sz="4" w:space="0"/>
              <w:bottom w:val="single" w:color="000000" w:sz="4" w:space="0"/>
              <w:right w:val="single" w:color="000000" w:sz="4" w:space="0"/>
            </w:tcBorders>
            <w:tcW w:w="1322" w:type="dxa"/>
            <w:textDirection w:val="lrTb"/>
            <w:noWrap w:val="false"/>
          </w:tcPr>
          <w:p>
            <w:pPr>
              <w:pStyle w:val="940"/>
              <w:jc w:val="center"/>
              <w:rPr>
                <w:lang w:val="en-US"/>
              </w:rPr>
            </w:pPr>
            <w:r>
              <w:rPr>
                <w:lang w:val="en-US"/>
              </w:rPr>
              <w:t xml:space="preserve">1,1</w:t>
            </w:r>
            <w:r/>
          </w:p>
        </w:tc>
      </w:tr>
      <w:tr>
        <w:trPr>
          <w:cantSplit/>
          <w:trHeight w:val="346"/>
        </w:trPr>
        <w:tc>
          <w:tcPr>
            <w:tcBorders>
              <w:top w:val="single" w:color="000000" w:sz="4" w:space="0"/>
              <w:left w:val="single" w:color="000000" w:sz="4" w:space="0"/>
              <w:bottom w:val="single" w:color="000000" w:sz="4" w:space="0"/>
            </w:tcBorders>
            <w:tcW w:w="5134"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35" w:type="dxa"/>
            <w:vAlign w:val="center"/>
            <w:textDirection w:val="lrTb"/>
            <w:noWrap w:val="false"/>
          </w:tcPr>
          <w:p>
            <w:pPr>
              <w:pStyle w:val="940"/>
              <w:jc w:val="center"/>
              <w:rPr>
                <w:color w:val="000000"/>
              </w:rPr>
            </w:pPr>
            <w:r>
              <w:rPr>
                <w:color w:val="000000"/>
              </w:rPr>
              <w:t xml:space="preserve">71,2</w:t>
            </w:r>
            <w:r/>
          </w:p>
        </w:tc>
        <w:tc>
          <w:tcPr>
            <w:tcBorders>
              <w:left w:val="single" w:color="000000" w:sz="4" w:space="0"/>
              <w:bottom w:val="single" w:color="000000" w:sz="4" w:space="0"/>
            </w:tcBorders>
            <w:tcW w:w="1668" w:type="dxa"/>
            <w:vAlign w:val="center"/>
            <w:textDirection w:val="lrTb"/>
            <w:noWrap w:val="false"/>
          </w:tcPr>
          <w:p>
            <w:pPr>
              <w:pStyle w:val="940"/>
              <w:jc w:val="center"/>
              <w:rPr>
                <w:color w:val="000000"/>
              </w:rPr>
            </w:pPr>
            <w:r>
              <w:rPr>
                <w:color w:val="000000"/>
              </w:rPr>
              <w:t xml:space="preserve">68,7</w:t>
            </w:r>
            <w:r/>
          </w:p>
        </w:tc>
        <w:tc>
          <w:tcPr>
            <w:tcBorders>
              <w:top w:val="single" w:color="000000" w:sz="4" w:space="0"/>
              <w:left w:val="single" w:color="000000" w:sz="4" w:space="0"/>
              <w:bottom w:val="single" w:color="000000" w:sz="4" w:space="0"/>
              <w:right w:val="single" w:color="000000" w:sz="4" w:space="0"/>
            </w:tcBorders>
            <w:tcW w:w="1322" w:type="dxa"/>
            <w:textDirection w:val="lrTb"/>
            <w:noWrap w:val="false"/>
          </w:tcPr>
          <w:p>
            <w:pPr>
              <w:pStyle w:val="940"/>
              <w:jc w:val="center"/>
            </w:pPr>
            <w:r>
              <w:t xml:space="preserve">66,8</w:t>
            </w:r>
            <w:r/>
          </w:p>
        </w:tc>
      </w:tr>
      <w:tr>
        <w:trPr>
          <w:cantSplit/>
          <w:trHeight w:val="330"/>
        </w:trPr>
        <w:tc>
          <w:tcPr>
            <w:tcBorders>
              <w:top w:val="single" w:color="000000" w:sz="4" w:space="0"/>
              <w:left w:val="single" w:color="000000" w:sz="4" w:space="0"/>
              <w:bottom w:val="single" w:color="000000" w:sz="4" w:space="0"/>
            </w:tcBorders>
            <w:tcW w:w="5134"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35" w:type="dxa"/>
            <w:vAlign w:val="center"/>
            <w:textDirection w:val="lrTb"/>
            <w:noWrap w:val="false"/>
          </w:tcPr>
          <w:p>
            <w:pPr>
              <w:pStyle w:val="940"/>
              <w:jc w:val="center"/>
              <w:rPr>
                <w:color w:val="000000"/>
              </w:rPr>
            </w:pPr>
            <w:r>
              <w:rPr>
                <w:color w:val="000000"/>
              </w:rPr>
              <w:t xml:space="preserve">40,9</w:t>
            </w:r>
            <w:r/>
          </w:p>
        </w:tc>
        <w:tc>
          <w:tcPr>
            <w:tcBorders>
              <w:left w:val="single" w:color="000000" w:sz="4" w:space="0"/>
              <w:bottom w:val="single" w:color="000000" w:sz="4" w:space="0"/>
            </w:tcBorders>
            <w:tcW w:w="1668" w:type="dxa"/>
            <w:vAlign w:val="center"/>
            <w:textDirection w:val="lrTb"/>
            <w:noWrap w:val="false"/>
          </w:tcPr>
          <w:p>
            <w:pPr>
              <w:pStyle w:val="940"/>
              <w:jc w:val="center"/>
              <w:rPr>
                <w:color w:val="000000"/>
              </w:rPr>
            </w:pPr>
            <w:r>
              <w:rPr>
                <w:color w:val="000000"/>
              </w:rPr>
              <w:t xml:space="preserve">30,3</w:t>
            </w:r>
            <w:r/>
          </w:p>
        </w:tc>
        <w:tc>
          <w:tcPr>
            <w:tcBorders>
              <w:top w:val="single" w:color="000000" w:sz="4" w:space="0"/>
              <w:left w:val="single" w:color="000000" w:sz="4" w:space="0"/>
              <w:bottom w:val="single" w:color="000000" w:sz="4" w:space="0"/>
              <w:right w:val="single" w:color="000000" w:sz="4" w:space="0"/>
            </w:tcBorders>
            <w:tcW w:w="1322" w:type="dxa"/>
            <w:textDirection w:val="lrTb"/>
            <w:noWrap w:val="false"/>
          </w:tcPr>
          <w:p>
            <w:pPr>
              <w:pStyle w:val="940"/>
              <w:jc w:val="center"/>
              <w:rPr>
                <w:lang w:val="en-US"/>
              </w:rPr>
            </w:pPr>
            <w:r>
              <w:rPr>
                <w:lang w:val="en-US"/>
              </w:rPr>
              <w:t xml:space="preserve">31,3</w:t>
            </w:r>
            <w:r/>
          </w:p>
        </w:tc>
      </w:tr>
      <w:tr>
        <w:trPr>
          <w:cantSplit/>
          <w:trHeight w:val="330"/>
        </w:trPr>
        <w:tc>
          <w:tcPr>
            <w:tcBorders>
              <w:top w:val="single" w:color="000000" w:sz="4" w:space="0"/>
              <w:left w:val="single" w:color="000000" w:sz="4" w:space="0"/>
              <w:bottom w:val="single" w:color="000000" w:sz="4" w:space="0"/>
            </w:tcBorders>
            <w:tcW w:w="5134"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35" w:type="dxa"/>
            <w:vAlign w:val="center"/>
            <w:textDirection w:val="lrTb"/>
            <w:noWrap w:val="false"/>
          </w:tcPr>
          <w:p>
            <w:pPr>
              <w:pStyle w:val="940"/>
              <w:jc w:val="center"/>
              <w:rPr>
                <w:color w:val="000000"/>
              </w:rPr>
            </w:pPr>
            <w:r>
              <w:rPr>
                <w:color w:val="000000"/>
              </w:rPr>
              <w:t xml:space="preserve">1</w:t>
            </w:r>
            <w:r/>
          </w:p>
        </w:tc>
        <w:tc>
          <w:tcPr>
            <w:tcBorders>
              <w:left w:val="single" w:color="000000" w:sz="4" w:space="0"/>
              <w:bottom w:val="single" w:color="000000" w:sz="4" w:space="0"/>
            </w:tcBorders>
            <w:tcW w:w="1668" w:type="dxa"/>
            <w:vAlign w:val="center"/>
            <w:textDirection w:val="lrTb"/>
            <w:noWrap w:val="false"/>
          </w:tcPr>
          <w:p>
            <w:pPr>
              <w:pStyle w:val="940"/>
              <w:jc w:val="center"/>
              <w:rPr>
                <w:color w:val="000000"/>
              </w:rPr>
            </w:pPr>
            <w:r>
              <w:rPr>
                <w:color w:val="000000"/>
              </w:rPr>
              <w:t xml:space="preserve">0</w:t>
            </w:r>
            <w:r/>
          </w:p>
        </w:tc>
        <w:tc>
          <w:tcPr>
            <w:tcBorders>
              <w:top w:val="single" w:color="000000" w:sz="4" w:space="0"/>
              <w:left w:val="single" w:color="000000" w:sz="4" w:space="0"/>
              <w:bottom w:val="single" w:color="000000" w:sz="4" w:space="0"/>
              <w:right w:val="single" w:color="000000" w:sz="4" w:space="0"/>
            </w:tcBorders>
            <w:tcW w:w="1322" w:type="dxa"/>
            <w:textDirection w:val="lrTb"/>
            <w:noWrap w:val="false"/>
          </w:tcPr>
          <w:p>
            <w:pPr>
              <w:pStyle w:val="940"/>
              <w:jc w:val="center"/>
              <w:rPr>
                <w:lang w:val="en-US"/>
              </w:rPr>
            </w:pPr>
            <w:r>
              <w:rPr>
                <w:lang w:val="en-US"/>
              </w:rPr>
              <w:t xml:space="preserve">1</w:t>
            </w:r>
            <w:r/>
          </w:p>
        </w:tc>
      </w:tr>
    </w:tbl>
    <w:p>
      <w:pPr>
        <w:pStyle w:val="940"/>
        <w:jc w:val="both"/>
        <w:tabs>
          <w:tab w:val="clear" w:pos="708" w:leader="none"/>
          <w:tab w:val="left" w:pos="709" w:leader="none"/>
        </w:tabs>
      </w:pPr>
      <w:r/>
      <w:r/>
    </w:p>
    <w:p>
      <w:pPr>
        <w:pStyle w:val="940"/>
        <w:numPr>
          <w:ilvl w:val="1"/>
          <w:numId w:val="44"/>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Результаты по группам участников экзамена с различным уровнем подготовки:</w:t>
      </w:r>
      <w:r/>
    </w:p>
    <w:p>
      <w:pPr>
        <w:pStyle w:val="940"/>
        <w:numPr>
          <w:ilvl w:val="2"/>
          <w:numId w:val="44"/>
        </w:numPr>
        <w:ind w:left="567" w:firstLine="0"/>
        <w:keepLines/>
        <w:keepNext/>
        <w:spacing w:before="200" w:after="0"/>
      </w:pPr>
      <w:r>
        <w:rPr>
          <w:rFonts w:eastAsia="SimSun;宋体"/>
          <w:sz w:val="28"/>
          <w:lang w:val="en-US"/>
        </w:rPr>
        <w:t xml:space="preserve">в разрезе категорий</w:t>
      </w:r>
      <w:r>
        <w:rPr>
          <w:rFonts w:eastAsia="SimSun;宋体"/>
          <w:sz w:val="28"/>
        </w:rPr>
        <w:t xml:space="preserve"> </w:t>
      </w:r>
      <w:r>
        <w:rPr>
          <w:rFonts w:eastAsia="SimSun;宋体"/>
          <w:sz w:val="28"/>
          <w:lang w:val="en-US"/>
        </w:rPr>
        <w:t xml:space="preserve">участников ЕГЭ </w:t>
      </w:r>
      <w:r/>
    </w:p>
    <w:p>
      <w:pPr>
        <w:pStyle w:val="940"/>
        <w:jc w:val="right"/>
        <w:keepNext/>
        <w:spacing w:before="0" w:after="200"/>
        <w:rPr>
          <w:bCs/>
          <w:i/>
          <w:sz w:val="18"/>
          <w:szCs w:val="18"/>
        </w:rPr>
      </w:pPr>
      <w:r>
        <w:rPr>
          <w:bCs/>
          <w:i/>
          <w:sz w:val="18"/>
          <w:szCs w:val="18"/>
        </w:rPr>
        <w:t xml:space="preserve">Таблица 2-8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66"/>
        <w:gridCol w:w="1190"/>
        <w:gridCol w:w="1190"/>
        <w:gridCol w:w="1162"/>
        <w:gridCol w:w="1228"/>
        <w:gridCol w:w="1227"/>
        <w:gridCol w:w="1117"/>
        <w:gridCol w:w="1079"/>
      </w:tblGrid>
      <w:tr>
        <w:trPr>
          <w:cantSplit/>
          <w:trHeight w:val="1052"/>
          <w:tblHeader/>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6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28"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0,7</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3,7</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32,7</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48,1</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20,0</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62,5</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33,9</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25,9</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25,0</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32,5</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22,2</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12,5</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541"/>
        </w:trPr>
        <w:tc>
          <w:tcPr>
            <w:tcBorders>
              <w:top w:val="single" w:color="000000" w:sz="4" w:space="0"/>
              <w:left w:val="single" w:color="000000" w:sz="4" w:space="0"/>
              <w:bottom w:val="single" w:color="000000" w:sz="4" w:space="0"/>
            </w:tcBorders>
            <w:tcW w:w="1466"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w:t>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2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1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keepNext/>
        <w:spacing w:before="0" w:after="200"/>
        <w:rPr>
          <w:bCs/>
          <w:i/>
          <w:sz w:val="18"/>
          <w:szCs w:val="18"/>
        </w:rPr>
      </w:pPr>
      <w:r>
        <w:rPr>
          <w:bCs/>
          <w:i/>
          <w:sz w:val="18"/>
          <w:szCs w:val="18"/>
        </w:rPr>
      </w:r>
      <w:r/>
    </w:p>
    <w:p>
      <w:pPr>
        <w:pStyle w:val="940"/>
        <w:numPr>
          <w:ilvl w:val="2"/>
          <w:numId w:val="44"/>
        </w:numPr>
        <w:ind w:left="567" w:firstLine="0"/>
        <w:keepLines/>
        <w:keepNext/>
        <w:spacing w:before="200" w:after="0"/>
        <w:rPr>
          <w:rFonts w:eastAsia="SimSun;宋体"/>
          <w:sz w:val="28"/>
          <w:lang w:val="en-US"/>
        </w:rPr>
      </w:pPr>
      <w:r>
        <w:rPr>
          <w:rFonts w:eastAsia="SimSun;宋体"/>
          <w:sz w:val="28"/>
          <w:lang w:val="en-US"/>
        </w:rPr>
        <w:t xml:space="preserve">в разрезе типа ОО</w:t>
      </w:r>
      <w:r/>
    </w:p>
    <w:p>
      <w:pPr>
        <w:pStyle w:val="940"/>
        <w:jc w:val="right"/>
        <w:keepNext/>
        <w:spacing w:before="0" w:after="200"/>
        <w:rPr>
          <w:bCs/>
          <w:i/>
          <w:sz w:val="18"/>
          <w:szCs w:val="18"/>
        </w:rPr>
      </w:pPr>
      <w:r>
        <w:rPr>
          <w:bCs/>
          <w:i/>
          <w:sz w:val="18"/>
          <w:szCs w:val="18"/>
        </w:rPr>
        <w:t xml:space="preserve">Таблица 2-9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721"/>
        <w:gridCol w:w="1681"/>
        <w:gridCol w:w="1681"/>
        <w:gridCol w:w="1564"/>
        <w:gridCol w:w="1566"/>
        <w:gridCol w:w="1553"/>
      </w:tblGrid>
      <w:tr>
        <w:trPr>
          <w:trHeight w:val="347"/>
        </w:trPr>
        <w:tc>
          <w:tcPr>
            <w:tcBorders>
              <w:top w:val="single" w:color="000000" w:sz="4" w:space="0"/>
              <w:left w:val="single" w:color="000000" w:sz="4" w:space="0"/>
              <w:bottom w:val="single" w:color="000000" w:sz="4" w:space="0"/>
            </w:tcBorders>
            <w:tcW w:w="1721"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492"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53"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22"/>
        </w:trPr>
        <w:tc>
          <w:tcPr>
            <w:tcBorders>
              <w:top w:val="single" w:color="000000" w:sz="4" w:space="0"/>
              <w:left w:val="single" w:color="000000" w:sz="4" w:space="0"/>
              <w:bottom w:val="single" w:color="000000" w:sz="4" w:space="0"/>
            </w:tcBorders>
            <w:tcW w:w="1721"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81"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8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6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53" w:type="dxa"/>
            <w:vAlign w:val="bottom"/>
            <w:vMerge w:val="continue"/>
            <w:textDirection w:val="lrTb"/>
            <w:noWrap w:val="false"/>
          </w:tcPr>
          <w:p>
            <w:pPr>
              <w:pStyle w:val="940"/>
              <w:rPr>
                <w:rFonts w:eastAsia="Times New Roman"/>
              </w:rPr>
            </w:pPr>
            <w:r>
              <w:rPr>
                <w:rFonts w:eastAsia="Times New Roman"/>
              </w:rPr>
            </w:r>
            <w:r/>
          </w:p>
        </w:tc>
      </w:tr>
      <w:tr>
        <w:trPr>
          <w:trHeight w:val="322"/>
        </w:trPr>
        <w:tc>
          <w:tcPr>
            <w:tcBorders>
              <w:left w:val="single" w:color="000000" w:sz="4" w:space="0"/>
              <w:bottom w:val="single" w:color="000000" w:sz="4" w:space="0"/>
            </w:tcBorders>
            <w:tcW w:w="1721" w:type="dxa"/>
            <w:vAlign w:val="bottom"/>
            <w:textDirection w:val="lrTb"/>
            <w:noWrap w:val="false"/>
          </w:tcPr>
          <w:p>
            <w:pPr>
              <w:pStyle w:val="940"/>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1,3</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42,8</w:t>
            </w:r>
            <w:r/>
          </w:p>
        </w:tc>
        <w:tc>
          <w:tcPr>
            <w:tcBorders>
              <w:top w:val="single" w:color="000000" w:sz="4" w:space="0"/>
              <w:left w:val="single" w:color="000000" w:sz="4" w:space="0"/>
              <w:bottom w:val="single" w:color="000000" w:sz="4" w:space="0"/>
            </w:tcBorders>
            <w:tcW w:w="1564" w:type="dxa"/>
            <w:vAlign w:val="bottom"/>
            <w:textDirection w:val="lrTb"/>
            <w:noWrap w:val="false"/>
          </w:tcPr>
          <w:p>
            <w:pPr>
              <w:pStyle w:val="940"/>
              <w:jc w:val="center"/>
              <w:rPr>
                <w:color w:val="000000"/>
              </w:rPr>
            </w:pPr>
            <w:r>
              <w:rPr>
                <w:color w:val="000000"/>
              </w:rPr>
              <w:t xml:space="preserve">31,8</w:t>
            </w:r>
            <w:r/>
          </w:p>
        </w:tc>
        <w:tc>
          <w:tcPr>
            <w:tcBorders>
              <w:top w:val="single" w:color="000000" w:sz="4" w:space="0"/>
              <w:left w:val="single" w:color="000000" w:sz="4" w:space="0"/>
              <w:bottom w:val="single" w:color="000000" w:sz="4" w:space="0"/>
            </w:tcBorders>
            <w:tcW w:w="1566" w:type="dxa"/>
            <w:vAlign w:val="bottom"/>
            <w:textDirection w:val="lrTb"/>
            <w:noWrap w:val="false"/>
          </w:tcPr>
          <w:p>
            <w:pPr>
              <w:pStyle w:val="940"/>
              <w:jc w:val="center"/>
              <w:rPr>
                <w:color w:val="000000"/>
              </w:rPr>
            </w:pPr>
            <w:r>
              <w:rPr>
                <w:color w:val="000000"/>
              </w:rPr>
              <w:t xml:space="preserve">23,7</w:t>
            </w:r>
            <w:r/>
          </w:p>
        </w:tc>
        <w:tc>
          <w:tcPr>
            <w:tcBorders>
              <w:top w:val="single" w:color="000000" w:sz="4" w:space="0"/>
              <w:left w:val="single" w:color="000000" w:sz="4" w:space="0"/>
              <w:bottom w:val="single" w:color="000000" w:sz="4" w:space="0"/>
              <w:right w:val="single" w:color="000000" w:sz="4" w:space="0"/>
            </w:tcBorders>
            <w:tcW w:w="1553" w:type="dxa"/>
            <w:vAlign w:val="bottom"/>
            <w:textDirection w:val="lrTb"/>
            <w:noWrap w:val="false"/>
          </w:tcPr>
          <w:p>
            <w:pPr>
              <w:pStyle w:val="940"/>
              <w:jc w:val="center"/>
              <w:rPr>
                <w:color w:val="000000"/>
              </w:rPr>
            </w:pPr>
            <w:r>
              <w:rPr>
                <w:color w:val="000000"/>
              </w:rPr>
              <w:t xml:space="preserve">0,4</w:t>
            </w:r>
            <w:r/>
          </w:p>
        </w:tc>
      </w:tr>
      <w:tr>
        <w:trPr>
          <w:trHeight w:val="322"/>
        </w:trPr>
        <w:tc>
          <w:tcPr>
            <w:tcBorders>
              <w:left w:val="single" w:color="000000" w:sz="4" w:space="0"/>
              <w:bottom w:val="single" w:color="000000" w:sz="4" w:space="0"/>
            </w:tcBorders>
            <w:tcW w:w="1721"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19,8</w:t>
            </w:r>
            <w:r/>
          </w:p>
        </w:tc>
        <w:tc>
          <w:tcPr>
            <w:tcBorders>
              <w:top w:val="single" w:color="000000" w:sz="4" w:space="0"/>
              <w:left w:val="single" w:color="000000" w:sz="4" w:space="0"/>
              <w:bottom w:val="single" w:color="000000" w:sz="4" w:space="0"/>
            </w:tcBorders>
            <w:tcW w:w="1564" w:type="dxa"/>
            <w:vAlign w:val="bottom"/>
            <w:textDirection w:val="lrTb"/>
            <w:noWrap w:val="false"/>
          </w:tcPr>
          <w:p>
            <w:pPr>
              <w:pStyle w:val="940"/>
              <w:jc w:val="center"/>
              <w:rPr>
                <w:color w:val="000000"/>
              </w:rPr>
            </w:pPr>
            <w:r>
              <w:rPr>
                <w:color w:val="000000"/>
              </w:rPr>
              <w:t xml:space="preserve">36,8</w:t>
            </w:r>
            <w:r/>
          </w:p>
        </w:tc>
        <w:tc>
          <w:tcPr>
            <w:tcBorders>
              <w:top w:val="single" w:color="000000" w:sz="4" w:space="0"/>
              <w:left w:val="single" w:color="000000" w:sz="4" w:space="0"/>
              <w:bottom w:val="single" w:color="000000" w:sz="4" w:space="0"/>
            </w:tcBorders>
            <w:tcW w:w="1566" w:type="dxa"/>
            <w:vAlign w:val="bottom"/>
            <w:textDirection w:val="lrTb"/>
            <w:noWrap w:val="false"/>
          </w:tcPr>
          <w:p>
            <w:pPr>
              <w:pStyle w:val="940"/>
              <w:jc w:val="center"/>
              <w:rPr>
                <w:color w:val="000000"/>
              </w:rPr>
            </w:pPr>
            <w:r>
              <w:rPr>
                <w:color w:val="000000"/>
              </w:rPr>
              <w:t xml:space="preserve">43,4</w:t>
            </w:r>
            <w:r/>
          </w:p>
        </w:tc>
        <w:tc>
          <w:tcPr>
            <w:tcBorders>
              <w:top w:val="single" w:color="000000" w:sz="4" w:space="0"/>
              <w:left w:val="single" w:color="000000" w:sz="4" w:space="0"/>
              <w:bottom w:val="single" w:color="000000" w:sz="4" w:space="0"/>
              <w:right w:val="single" w:color="000000" w:sz="4" w:space="0"/>
            </w:tcBorders>
            <w:tcW w:w="1553" w:type="dxa"/>
            <w:vAlign w:val="bottom"/>
            <w:textDirection w:val="lrTb"/>
            <w:noWrap w:val="false"/>
          </w:tcPr>
          <w:p>
            <w:pPr>
              <w:pStyle w:val="940"/>
              <w:jc w:val="center"/>
              <w:rPr>
                <w:color w:val="000000"/>
              </w:rPr>
            </w:pPr>
            <w:r>
              <w:rPr>
                <w:color w:val="000000"/>
              </w:rPr>
              <w:t xml:space="preserve">0,0</w:t>
            </w:r>
            <w:r/>
          </w:p>
        </w:tc>
      </w:tr>
      <w:tr>
        <w:trPr>
          <w:trHeight w:val="302"/>
        </w:trPr>
        <w:tc>
          <w:tcPr>
            <w:tcBorders>
              <w:left w:val="single" w:color="000000" w:sz="4" w:space="0"/>
              <w:bottom w:val="single" w:color="000000" w:sz="4" w:space="0"/>
            </w:tcBorders>
            <w:tcW w:w="1721" w:type="dxa"/>
            <w:vAlign w:val="bottom"/>
            <w:textDirection w:val="lrTb"/>
            <w:noWrap w:val="false"/>
          </w:tcPr>
          <w:p>
            <w:pPr>
              <w:pStyle w:val="940"/>
              <w:rPr>
                <w:rFonts w:eastAsia="Times New Roman"/>
              </w:rPr>
            </w:pPr>
            <w:r>
              <w:rPr>
                <w:rFonts w:eastAsia="Times New Roman"/>
              </w:rPr>
              <w:t xml:space="preserve">О(c)ОШ</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564"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566"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right w:val="single" w:color="000000" w:sz="4" w:space="0"/>
            </w:tcBorders>
            <w:tcW w:w="1553" w:type="dxa"/>
            <w:vAlign w:val="bottom"/>
            <w:textDirection w:val="lrTb"/>
            <w:noWrap w:val="false"/>
          </w:tcPr>
          <w:p>
            <w:pPr>
              <w:pStyle w:val="940"/>
              <w:jc w:val="center"/>
              <w:rPr>
                <w:color w:val="000000"/>
              </w:rPr>
            </w:pPr>
            <w:r>
              <w:rPr>
                <w:color w:val="000000"/>
              </w:rPr>
              <w:t xml:space="preserve">0,0</w:t>
            </w:r>
            <w:r/>
          </w:p>
        </w:tc>
      </w:tr>
      <w:tr>
        <w:trPr>
          <w:trHeight w:val="322"/>
        </w:trPr>
        <w:tc>
          <w:tcPr>
            <w:tcBorders>
              <w:left w:val="single" w:color="000000" w:sz="4" w:space="0"/>
              <w:bottom w:val="single" w:color="000000" w:sz="4" w:space="0"/>
            </w:tcBorders>
            <w:tcW w:w="1721"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81" w:type="dxa"/>
            <w:vAlign w:val="bottom"/>
            <w:textDirection w:val="lrTb"/>
            <w:noWrap w:val="false"/>
          </w:tcPr>
          <w:p>
            <w:pPr>
              <w:pStyle w:val="940"/>
              <w:jc w:val="center"/>
              <w:rPr>
                <w:color w:val="000000"/>
              </w:rPr>
            </w:pPr>
            <w:r>
              <w:rPr>
                <w:color w:val="000000"/>
              </w:rPr>
              <w:t xml:space="preserve">25,0</w:t>
            </w:r>
            <w:r/>
          </w:p>
        </w:tc>
        <w:tc>
          <w:tcPr>
            <w:tcBorders>
              <w:top w:val="single" w:color="000000" w:sz="4" w:space="0"/>
              <w:left w:val="single" w:color="000000" w:sz="4" w:space="0"/>
              <w:bottom w:val="single" w:color="000000" w:sz="4" w:space="0"/>
            </w:tcBorders>
            <w:tcW w:w="1564" w:type="dxa"/>
            <w:vAlign w:val="bottom"/>
            <w:textDirection w:val="lrTb"/>
            <w:noWrap w:val="false"/>
          </w:tcPr>
          <w:p>
            <w:pPr>
              <w:pStyle w:val="940"/>
              <w:jc w:val="center"/>
              <w:rPr>
                <w:color w:val="000000"/>
              </w:rPr>
            </w:pPr>
            <w:r>
              <w:rPr>
                <w:color w:val="000000"/>
              </w:rPr>
              <w:t xml:space="preserve">25,0</w:t>
            </w:r>
            <w:r/>
          </w:p>
        </w:tc>
        <w:tc>
          <w:tcPr>
            <w:tcBorders>
              <w:top w:val="single" w:color="000000" w:sz="4" w:space="0"/>
              <w:left w:val="single" w:color="000000" w:sz="4" w:space="0"/>
              <w:bottom w:val="single" w:color="000000" w:sz="4" w:space="0"/>
            </w:tcBorders>
            <w:tcW w:w="1566"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right w:val="single" w:color="000000" w:sz="4" w:space="0"/>
            </w:tcBorders>
            <w:tcW w:w="1553" w:type="dxa"/>
            <w:vAlign w:val="bottom"/>
            <w:textDirection w:val="lrTb"/>
            <w:noWrap w:val="false"/>
          </w:tcPr>
          <w:p>
            <w:pPr>
              <w:pStyle w:val="940"/>
              <w:jc w:val="center"/>
              <w:rPr>
                <w:color w:val="000000"/>
              </w:rPr>
            </w:pPr>
            <w:r>
              <w:rPr>
                <w:color w:val="000000"/>
              </w:rPr>
              <w:t xml:space="preserve">0,0</w:t>
            </w:r>
            <w:r/>
          </w:p>
        </w:tc>
      </w:tr>
    </w:tbl>
    <w:p>
      <w:pPr>
        <w:pStyle w:val="940"/>
        <w:keepNext/>
        <w:spacing w:before="0" w:after="200"/>
        <w:rPr>
          <w:bCs/>
          <w:i/>
          <w:sz w:val="18"/>
          <w:szCs w:val="18"/>
        </w:rPr>
      </w:pPr>
      <w:r>
        <w:rPr>
          <w:bCs/>
          <w:i/>
          <w:sz w:val="18"/>
          <w:szCs w:val="18"/>
        </w:rPr>
      </w:r>
      <w:r/>
    </w:p>
    <w:p>
      <w:pPr>
        <w:pStyle w:val="940"/>
        <w:numPr>
          <w:ilvl w:val="2"/>
          <w:numId w:val="44"/>
        </w:numPr>
        <w:ind w:left="567" w:firstLine="0"/>
        <w:keepLines/>
        <w:keepNext/>
        <w:spacing w:before="200" w:after="0"/>
        <w:rPr>
          <w:rFonts w:eastAsia="SimSun;宋体"/>
          <w:sz w:val="28"/>
          <w:lang w:val="en-US"/>
        </w:rPr>
      </w:pPr>
      <w:r>
        <w:rPr>
          <w:rFonts w:eastAsia="SimSun;宋体"/>
          <w:sz w:val="28"/>
          <w:lang w:val="en-US"/>
        </w:rPr>
        <w:t xml:space="preserve">основные результаты ЕГЭ по предмету в сравнении по АТЕ</w:t>
      </w:r>
      <w:r/>
    </w:p>
    <w:p>
      <w:pPr>
        <w:pStyle w:val="940"/>
        <w:jc w:val="right"/>
        <w:keepNext/>
        <w:spacing w:before="0" w:after="200"/>
        <w:rPr>
          <w:bCs/>
          <w:i/>
          <w:sz w:val="18"/>
          <w:szCs w:val="18"/>
        </w:rPr>
      </w:pPr>
      <w:r>
        <w:rPr>
          <w:bCs/>
          <w:i/>
          <w:sz w:val="18"/>
          <w:szCs w:val="18"/>
        </w:rPr>
        <w:t xml:space="preserve">Таблица 2-10</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995"/>
        <w:gridCol w:w="1616"/>
        <w:gridCol w:w="1616"/>
        <w:gridCol w:w="1521"/>
        <w:gridCol w:w="1451"/>
        <w:gridCol w:w="1562"/>
      </w:tblGrid>
      <w:tr>
        <w:trPr>
          <w:trHeight w:val="237"/>
        </w:trPr>
        <w:tc>
          <w:tcPr>
            <w:tcBorders>
              <w:top w:val="single" w:color="000000" w:sz="4" w:space="0"/>
              <w:left w:val="single" w:color="000000" w:sz="4" w:space="0"/>
              <w:bottom w:val="single" w:color="000000" w:sz="4" w:space="0"/>
            </w:tcBorders>
            <w:tcW w:w="1995"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0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62"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22"/>
        </w:trPr>
        <w:tc>
          <w:tcPr>
            <w:tcBorders>
              <w:top w:val="single" w:color="000000" w:sz="4" w:space="0"/>
              <w:left w:val="single" w:color="000000" w:sz="4" w:space="0"/>
              <w:bottom w:val="single" w:color="000000" w:sz="4" w:space="0"/>
            </w:tcBorders>
            <w:tcW w:w="1995"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62" w:type="dxa"/>
            <w:vAlign w:val="bottom"/>
            <w:vMerge w:val="continue"/>
            <w:textDirection w:val="lrTb"/>
            <w:noWrap w:val="false"/>
          </w:tcPr>
          <w:p>
            <w:pPr>
              <w:pStyle w:val="940"/>
              <w:rPr>
                <w:rFonts w:eastAsia="Times New Roman"/>
              </w:rPr>
            </w:pPr>
            <w:r>
              <w:rPr>
                <w:rFonts w:eastAsia="Times New Roman"/>
              </w:rPr>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0,3</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30,2</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34,6</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34,6</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1</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19,0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47,6</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42,9</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57,1</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42,9</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30,0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45,5</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27,3</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27,3</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61,5</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15,4</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23,1</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12,5</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12,5</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3,7</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48,1</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25,9</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22,2</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95"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16" w:type="dxa"/>
            <w:vAlign w:val="bottom"/>
            <w:textDirection w:val="lrTb"/>
            <w:noWrap w:val="false"/>
          </w:tcPr>
          <w:p>
            <w:pPr>
              <w:pStyle w:val="940"/>
              <w:jc w:val="center"/>
              <w:rPr>
                <w:rFonts w:eastAsia="Times New Roman"/>
              </w:rPr>
            </w:pPr>
            <w:r>
              <w:rPr>
                <w:rFonts w:eastAsia="Times New Roman"/>
              </w:rPr>
              <w:t xml:space="preserve">62,5</w:t>
            </w:r>
            <w:r/>
          </w:p>
        </w:tc>
        <w:tc>
          <w:tcPr>
            <w:tcBorders>
              <w:left w:val="single" w:color="000000" w:sz="4" w:space="0"/>
              <w:bottom w:val="single" w:color="000000" w:sz="4" w:space="0"/>
            </w:tcBorders>
            <w:tcW w:w="1521"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451" w:type="dxa"/>
            <w:vAlign w:val="bottom"/>
            <w:textDirection w:val="lrTb"/>
            <w:noWrap w:val="false"/>
          </w:tcPr>
          <w:p>
            <w:pPr>
              <w:pStyle w:val="940"/>
              <w:jc w:val="center"/>
              <w:rPr>
                <w:rFonts w:eastAsia="Times New Roman"/>
              </w:rPr>
            </w:pPr>
            <w:r>
              <w:rPr>
                <w:rFonts w:eastAsia="Times New Roman"/>
              </w:rPr>
              <w:t xml:space="preserve">12,5</w:t>
            </w:r>
            <w:r/>
          </w:p>
        </w:tc>
        <w:tc>
          <w:tcPr>
            <w:tcBorders>
              <w:left w:val="single" w:color="000000" w:sz="4" w:space="0"/>
              <w:bottom w:val="single" w:color="000000" w:sz="4" w:space="0"/>
              <w:right w:val="single" w:color="000000" w:sz="4" w:space="0"/>
            </w:tcBorders>
            <w:tcW w:w="1562"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numPr>
          <w:ilvl w:val="1"/>
          <w:numId w:val="44"/>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Выделение перечня ОО, продемонстрировавших наиболее высокие и низкие результаты ЕГЭ по предмету</w:t>
      </w:r>
      <w:r/>
    </w:p>
    <w:p>
      <w:pPr>
        <w:pStyle w:val="940"/>
        <w:numPr>
          <w:ilvl w:val="2"/>
          <w:numId w:val="44"/>
        </w:numPr>
        <w:ind w:left="567" w:firstLine="0"/>
        <w:jc w:val="both"/>
        <w:keepLines/>
        <w:keepNext/>
        <w:spacing w:before="200" w:after="0"/>
      </w:pPr>
      <w:r>
        <w:rPr>
          <w:rFonts w:eastAsia="SimSun;宋体"/>
          <w:sz w:val="28"/>
        </w:rPr>
        <w:t xml:space="preserve">П</w:t>
      </w:r>
      <w:r>
        <w:rPr>
          <w:rFonts w:eastAsia="SimSun;宋体"/>
          <w:sz w:val="28"/>
          <w:lang w:val="en-US"/>
        </w:rPr>
        <w:t xml:space="preserve">еречень ОО, продемонстрировавших наиболее высокие результаты ЕГЭ по предмету</w:t>
      </w:r>
      <w:r/>
    </w:p>
    <w:p>
      <w:pPr>
        <w:pStyle w:val="940"/>
        <w:jc w:val="right"/>
        <w:keepNext/>
        <w:spacing w:before="0" w:after="200"/>
        <w:rPr>
          <w:bCs/>
          <w:i/>
          <w:sz w:val="18"/>
          <w:szCs w:val="18"/>
        </w:rPr>
      </w:pPr>
      <w:r>
        <w:rPr>
          <w:bCs/>
          <w:i/>
          <w:sz w:val="18"/>
          <w:szCs w:val="18"/>
        </w:rPr>
        <w:t xml:space="preserve">Таблица 2-11</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430"/>
        <w:gridCol w:w="965"/>
        <w:gridCol w:w="3698"/>
        <w:gridCol w:w="1413"/>
        <w:gridCol w:w="1634"/>
        <w:gridCol w:w="1626"/>
      </w:tblGrid>
      <w:tr>
        <w:trPr>
          <w:trHeight w:val="1410"/>
        </w:trPr>
        <w:tc>
          <w:tcPr>
            <w:tcBorders>
              <w:top w:val="single" w:color="000000" w:sz="4" w:space="0"/>
              <w:left w:val="single" w:color="000000" w:sz="4" w:space="0"/>
              <w:bottom w:val="single" w:color="000000" w:sz="4" w:space="0"/>
            </w:tcBorders>
            <w:tcW w:w="430" w:type="dxa"/>
            <w:textDirection w:val="lrTb"/>
            <w:noWrap w:val="false"/>
          </w:tcPr>
          <w:p>
            <w:pPr>
              <w:pStyle w:val="940"/>
              <w:keepNext/>
              <w:spacing w:before="0" w:after="200"/>
              <w:rPr>
                <w:bCs/>
              </w:rPr>
            </w:pPr>
            <w:r>
              <w:rPr>
                <w:bCs/>
              </w:rPr>
              <w:t xml:space="preserve">№</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Код ОО</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 </w:t>
            </w:r>
            <w:r>
              <w:rPr>
                <w:bCs/>
              </w:rPr>
              <w:t xml:space="preserve">Наименование ОО</w:t>
            </w:r>
            <w:r/>
          </w:p>
        </w:tc>
        <w:tc>
          <w:tcPr>
            <w:tcBorders>
              <w:top w:val="single" w:color="000000" w:sz="4" w:space="0"/>
              <w:left w:val="single" w:color="000000" w:sz="4" w:space="0"/>
              <w:bottom w:val="single" w:color="000000" w:sz="4" w:space="0"/>
            </w:tcBorders>
            <w:tcW w:w="1413" w:type="dxa"/>
            <w:textDirection w:val="lrTb"/>
            <w:noWrap w:val="false"/>
          </w:tcPr>
          <w:p>
            <w:pPr>
              <w:pStyle w:val="940"/>
              <w:keepNext/>
              <w:spacing w:before="0" w:after="200"/>
              <w:rPr>
                <w:bCs/>
              </w:rPr>
            </w:pPr>
            <w:r>
              <w:rPr>
                <w:bCs/>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634" w:type="dxa"/>
            <w:textDirection w:val="lrTb"/>
            <w:noWrap w:val="false"/>
          </w:tcPr>
          <w:p>
            <w:pPr>
              <w:pStyle w:val="940"/>
              <w:keepNext/>
              <w:spacing w:before="0" w:after="200"/>
              <w:rPr>
                <w:bCs/>
              </w:rPr>
            </w:pPr>
            <w:r>
              <w:rPr>
                <w:bCs/>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keepNext/>
              <w:spacing w:before="0" w:after="200"/>
              <w:rPr>
                <w:bCs/>
              </w:rPr>
            </w:pPr>
            <w:r>
              <w:rPr>
                <w:bCs/>
              </w:rPr>
              <w:t xml:space="preserve">Доля участников, не достигших минимального балла</w:t>
            </w:r>
            <w:r/>
          </w:p>
        </w:tc>
      </w:tr>
      <w:tr>
        <w:trPr>
          <w:trHeight w:val="300"/>
        </w:trPr>
        <w:tc>
          <w:tcPr>
            <w:tcBorders>
              <w:top w:val="single" w:color="000000" w:sz="4" w:space="0"/>
              <w:left w:val="single" w:color="000000" w:sz="4" w:space="0"/>
              <w:bottom w:val="single" w:color="000000" w:sz="4" w:space="0"/>
            </w:tcBorders>
            <w:tcW w:w="430" w:type="dxa"/>
            <w:textDirection w:val="lrTb"/>
            <w:noWrap w:val="false"/>
          </w:tcPr>
          <w:p>
            <w:pPr>
              <w:pStyle w:val="940"/>
              <w:jc w:val="center"/>
              <w:keepNext/>
              <w:spacing w:before="0" w:after="200"/>
              <w:rPr>
                <w:bCs/>
              </w:rPr>
            </w:pPr>
            <w:r>
              <w:rPr>
                <w:bCs/>
              </w:rPr>
              <w:t xml:space="preserve">1</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10001</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ГБОУ АО "Астраханский технический лицей"</w:t>
            </w:r>
            <w:r/>
          </w:p>
        </w:tc>
        <w:tc>
          <w:tcPr>
            <w:tcBorders>
              <w:top w:val="single" w:color="000000" w:sz="4" w:space="0"/>
              <w:left w:val="single" w:color="000000" w:sz="4" w:space="0"/>
              <w:bottom w:val="single" w:color="000000" w:sz="4" w:space="0"/>
            </w:tcBorders>
            <w:tcW w:w="1413" w:type="dxa"/>
            <w:textDirection w:val="lrTb"/>
            <w:noWrap w:val="false"/>
          </w:tcPr>
          <w:p>
            <w:pPr>
              <w:pStyle w:val="940"/>
              <w:jc w:val="center"/>
              <w:keepNext/>
              <w:spacing w:before="0" w:after="200"/>
              <w:rPr>
                <w:bCs/>
              </w:rPr>
            </w:pPr>
            <w:r>
              <w:rPr>
                <w:bCs/>
              </w:rPr>
              <w:t xml:space="preserve">71,4</w:t>
            </w:r>
            <w:r/>
          </w:p>
        </w:tc>
        <w:tc>
          <w:tcPr>
            <w:tcBorders>
              <w:top w:val="single" w:color="000000" w:sz="4" w:space="0"/>
              <w:left w:val="single" w:color="000000" w:sz="4" w:space="0"/>
              <w:bottom w:val="single" w:color="000000" w:sz="4" w:space="0"/>
            </w:tcBorders>
            <w:tcW w:w="1634" w:type="dxa"/>
            <w:textDirection w:val="lrTb"/>
            <w:noWrap w:val="false"/>
          </w:tcPr>
          <w:p>
            <w:pPr>
              <w:pStyle w:val="940"/>
              <w:jc w:val="center"/>
              <w:keepNext/>
              <w:spacing w:before="0" w:after="200"/>
              <w:rPr>
                <w:bCs/>
              </w:rPr>
            </w:pPr>
            <w:r>
              <w:rPr>
                <w:bCs/>
              </w:rPr>
              <w:t xml:space="preserve">14,3</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jc w:val="center"/>
              <w:keepNext/>
              <w:spacing w:before="0" w:after="200"/>
              <w:rPr>
                <w:bCs/>
              </w:rPr>
            </w:pPr>
            <w:r>
              <w:rPr>
                <w:bCs/>
              </w:rPr>
              <w:t xml:space="preserve">0,0</w:t>
            </w:r>
            <w:r/>
          </w:p>
        </w:tc>
      </w:tr>
      <w:tr>
        <w:trPr>
          <w:trHeight w:val="300"/>
        </w:trPr>
        <w:tc>
          <w:tcPr>
            <w:tcBorders>
              <w:top w:val="single" w:color="000000" w:sz="4" w:space="0"/>
              <w:left w:val="single" w:color="000000" w:sz="4" w:space="0"/>
              <w:bottom w:val="single" w:color="000000" w:sz="4" w:space="0"/>
            </w:tcBorders>
            <w:tcW w:w="430" w:type="dxa"/>
            <w:textDirection w:val="lrTb"/>
            <w:noWrap w:val="false"/>
          </w:tcPr>
          <w:p>
            <w:pPr>
              <w:pStyle w:val="940"/>
              <w:jc w:val="center"/>
              <w:keepNext/>
              <w:spacing w:before="0" w:after="200"/>
              <w:rPr>
                <w:bCs/>
              </w:rPr>
            </w:pPr>
            <w:r>
              <w:rPr>
                <w:bCs/>
              </w:rPr>
              <w:t xml:space="preserve">2</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20203</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МБОУ г. Астрахани "Гимназия №3"</w:t>
            </w:r>
            <w:r/>
          </w:p>
        </w:tc>
        <w:tc>
          <w:tcPr>
            <w:tcBorders>
              <w:top w:val="single" w:color="000000" w:sz="4" w:space="0"/>
              <w:left w:val="single" w:color="000000" w:sz="4" w:space="0"/>
              <w:bottom w:val="single" w:color="000000" w:sz="4" w:space="0"/>
            </w:tcBorders>
            <w:tcW w:w="1413" w:type="dxa"/>
            <w:textDirection w:val="lrTb"/>
            <w:noWrap w:val="false"/>
          </w:tcPr>
          <w:p>
            <w:pPr>
              <w:pStyle w:val="940"/>
              <w:jc w:val="center"/>
              <w:keepNext/>
              <w:spacing w:before="0" w:after="200"/>
              <w:rPr>
                <w:bCs/>
              </w:rPr>
            </w:pPr>
            <w:r>
              <w:rPr>
                <w:bCs/>
              </w:rPr>
              <w:t xml:space="preserve">51,4</w:t>
            </w:r>
            <w:r/>
          </w:p>
        </w:tc>
        <w:tc>
          <w:tcPr>
            <w:tcBorders>
              <w:top w:val="single" w:color="000000" w:sz="4" w:space="0"/>
              <w:left w:val="single" w:color="000000" w:sz="4" w:space="0"/>
              <w:bottom w:val="single" w:color="000000" w:sz="4" w:space="0"/>
            </w:tcBorders>
            <w:tcW w:w="1634" w:type="dxa"/>
            <w:textDirection w:val="lrTb"/>
            <w:noWrap w:val="false"/>
          </w:tcPr>
          <w:p>
            <w:pPr>
              <w:pStyle w:val="940"/>
              <w:jc w:val="center"/>
              <w:keepNext/>
              <w:spacing w:before="0" w:after="200"/>
              <w:rPr>
                <w:bCs/>
              </w:rPr>
            </w:pPr>
            <w:r>
              <w:rPr>
                <w:bCs/>
              </w:rPr>
              <w:t xml:space="preserve">40,0</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jc w:val="center"/>
              <w:keepNext/>
              <w:spacing w:before="0" w:after="200"/>
              <w:rPr>
                <w:bCs/>
              </w:rPr>
            </w:pPr>
            <w:r>
              <w:rPr>
                <w:bCs/>
              </w:rPr>
              <w:t xml:space="preserve">0,0</w:t>
            </w:r>
            <w:r/>
          </w:p>
        </w:tc>
      </w:tr>
      <w:tr>
        <w:trPr>
          <w:trHeight w:val="300"/>
        </w:trPr>
        <w:tc>
          <w:tcPr>
            <w:tcBorders>
              <w:top w:val="single" w:color="000000" w:sz="4" w:space="0"/>
              <w:left w:val="single" w:color="000000" w:sz="4" w:space="0"/>
              <w:bottom w:val="single" w:color="000000" w:sz="4" w:space="0"/>
            </w:tcBorders>
            <w:tcW w:w="430" w:type="dxa"/>
            <w:textDirection w:val="lrTb"/>
            <w:noWrap w:val="false"/>
          </w:tcPr>
          <w:p>
            <w:pPr>
              <w:pStyle w:val="940"/>
              <w:jc w:val="center"/>
              <w:keepNext/>
              <w:spacing w:before="0" w:after="200"/>
              <w:rPr>
                <w:bCs/>
              </w:rPr>
            </w:pPr>
            <w:r>
              <w:rPr>
                <w:bCs/>
              </w:rPr>
              <w:t xml:space="preserve">3</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20204</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МБОУ г. Астрахани "Гимназия № 4"</w:t>
            </w:r>
            <w:r/>
          </w:p>
        </w:tc>
        <w:tc>
          <w:tcPr>
            <w:tcBorders>
              <w:top w:val="single" w:color="000000" w:sz="4" w:space="0"/>
              <w:left w:val="single" w:color="000000" w:sz="4" w:space="0"/>
              <w:bottom w:val="single" w:color="000000" w:sz="4" w:space="0"/>
            </w:tcBorders>
            <w:tcW w:w="1413" w:type="dxa"/>
            <w:textDirection w:val="lrTb"/>
            <w:noWrap w:val="false"/>
          </w:tcPr>
          <w:p>
            <w:pPr>
              <w:pStyle w:val="940"/>
              <w:jc w:val="center"/>
              <w:keepNext/>
              <w:spacing w:before="0" w:after="200"/>
              <w:rPr>
                <w:bCs/>
              </w:rPr>
            </w:pPr>
            <w:r>
              <w:rPr>
                <w:bCs/>
              </w:rPr>
              <w:t xml:space="preserve">47,4</w:t>
            </w:r>
            <w:r/>
          </w:p>
        </w:tc>
        <w:tc>
          <w:tcPr>
            <w:tcBorders>
              <w:top w:val="single" w:color="000000" w:sz="4" w:space="0"/>
              <w:left w:val="single" w:color="000000" w:sz="4" w:space="0"/>
              <w:bottom w:val="single" w:color="000000" w:sz="4" w:space="0"/>
            </w:tcBorders>
            <w:tcW w:w="1634" w:type="dxa"/>
            <w:textDirection w:val="lrTb"/>
            <w:noWrap w:val="false"/>
          </w:tcPr>
          <w:p>
            <w:pPr>
              <w:pStyle w:val="940"/>
              <w:jc w:val="center"/>
              <w:keepNext/>
              <w:spacing w:before="0" w:after="200"/>
              <w:rPr>
                <w:bCs/>
              </w:rPr>
            </w:pPr>
            <w:r>
              <w:rPr>
                <w:bCs/>
              </w:rPr>
              <w:t xml:space="preserve">26,3</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jc w:val="center"/>
              <w:keepNext/>
              <w:spacing w:before="0" w:after="200"/>
              <w:rPr>
                <w:bCs/>
              </w:rPr>
            </w:pPr>
            <w:r>
              <w:rPr>
                <w:bCs/>
              </w:rPr>
              <w:t xml:space="preserve">0,0</w:t>
            </w:r>
            <w:r/>
          </w:p>
        </w:tc>
      </w:tr>
      <w:tr>
        <w:trPr>
          <w:trHeight w:val="300"/>
        </w:trPr>
        <w:tc>
          <w:tcPr>
            <w:tcBorders>
              <w:top w:val="single" w:color="000000" w:sz="4" w:space="0"/>
              <w:left w:val="single" w:color="000000" w:sz="4" w:space="0"/>
              <w:bottom w:val="single" w:color="000000" w:sz="4" w:space="0"/>
            </w:tcBorders>
            <w:tcW w:w="430" w:type="dxa"/>
            <w:textDirection w:val="lrTb"/>
            <w:noWrap w:val="false"/>
          </w:tcPr>
          <w:p>
            <w:pPr>
              <w:pStyle w:val="940"/>
              <w:jc w:val="center"/>
              <w:keepNext/>
              <w:spacing w:before="0" w:after="200"/>
              <w:rPr>
                <w:bCs/>
              </w:rPr>
            </w:pPr>
            <w:r>
              <w:rPr>
                <w:bCs/>
              </w:rPr>
              <w:t xml:space="preserve">4</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20301</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МБОУ г. Астрахани "Лицей № 1"</w:t>
            </w:r>
            <w:r/>
          </w:p>
        </w:tc>
        <w:tc>
          <w:tcPr>
            <w:tcBorders>
              <w:top w:val="single" w:color="000000" w:sz="4" w:space="0"/>
              <w:left w:val="single" w:color="000000" w:sz="4" w:space="0"/>
              <w:bottom w:val="single" w:color="000000" w:sz="4" w:space="0"/>
            </w:tcBorders>
            <w:tcW w:w="1413" w:type="dxa"/>
            <w:textDirection w:val="lrTb"/>
            <w:noWrap w:val="false"/>
          </w:tcPr>
          <w:p>
            <w:pPr>
              <w:pStyle w:val="940"/>
              <w:jc w:val="center"/>
              <w:keepNext/>
              <w:spacing w:before="0" w:after="200"/>
              <w:rPr>
                <w:bCs/>
              </w:rPr>
            </w:pPr>
            <w:r>
              <w:rPr>
                <w:bCs/>
              </w:rPr>
              <w:t xml:space="preserve">47,1</w:t>
            </w:r>
            <w:r/>
          </w:p>
        </w:tc>
        <w:tc>
          <w:tcPr>
            <w:tcBorders>
              <w:top w:val="single" w:color="000000" w:sz="4" w:space="0"/>
              <w:left w:val="single" w:color="000000" w:sz="4" w:space="0"/>
              <w:bottom w:val="single" w:color="000000" w:sz="4" w:space="0"/>
            </w:tcBorders>
            <w:tcW w:w="1634" w:type="dxa"/>
            <w:textDirection w:val="lrTb"/>
            <w:noWrap w:val="false"/>
          </w:tcPr>
          <w:p>
            <w:pPr>
              <w:pStyle w:val="940"/>
              <w:jc w:val="center"/>
              <w:keepNext/>
              <w:spacing w:before="0" w:after="200"/>
              <w:rPr>
                <w:bCs/>
              </w:rPr>
            </w:pPr>
            <w:r>
              <w:rPr>
                <w:bCs/>
              </w:rPr>
              <w:t xml:space="preserve">47,1</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jc w:val="center"/>
              <w:keepNext/>
              <w:spacing w:before="0" w:after="200"/>
              <w:rPr>
                <w:bCs/>
              </w:rPr>
            </w:pPr>
            <w:r>
              <w:rPr>
                <w:bCs/>
              </w:rPr>
              <w:t xml:space="preserve">0,0</w:t>
            </w:r>
            <w:r/>
          </w:p>
        </w:tc>
      </w:tr>
      <w:tr>
        <w:trPr>
          <w:trHeight w:val="300"/>
        </w:trPr>
        <w:tc>
          <w:tcPr>
            <w:tcBorders>
              <w:top w:val="single" w:color="000000" w:sz="4" w:space="0"/>
              <w:left w:val="single" w:color="000000" w:sz="4" w:space="0"/>
              <w:bottom w:val="single" w:color="000000" w:sz="4" w:space="0"/>
            </w:tcBorders>
            <w:tcW w:w="430" w:type="dxa"/>
            <w:textDirection w:val="lrTb"/>
            <w:noWrap w:val="false"/>
          </w:tcPr>
          <w:p>
            <w:pPr>
              <w:pStyle w:val="940"/>
              <w:jc w:val="center"/>
              <w:keepNext/>
              <w:spacing w:before="0" w:after="200"/>
              <w:rPr>
                <w:bCs/>
              </w:rPr>
            </w:pPr>
            <w:r>
              <w:rPr>
                <w:bCs/>
              </w:rPr>
              <w:t xml:space="preserve">5</w:t>
            </w:r>
            <w:r/>
          </w:p>
        </w:tc>
        <w:tc>
          <w:tcPr>
            <w:tcBorders>
              <w:top w:val="single" w:color="000000" w:sz="4" w:space="0"/>
              <w:left w:val="single" w:color="000000" w:sz="4" w:space="0"/>
              <w:bottom w:val="single" w:color="000000" w:sz="4" w:space="0"/>
            </w:tcBorders>
            <w:tcW w:w="965" w:type="dxa"/>
            <w:textDirection w:val="lrTb"/>
            <w:noWrap w:val="false"/>
          </w:tcPr>
          <w:p>
            <w:pPr>
              <w:pStyle w:val="940"/>
              <w:keepNext/>
              <w:spacing w:before="0" w:after="200"/>
              <w:rPr>
                <w:bCs/>
              </w:rPr>
            </w:pPr>
            <w:r>
              <w:rPr>
                <w:bCs/>
              </w:rPr>
              <w:t xml:space="preserve">30406</w:t>
            </w:r>
            <w:r/>
          </w:p>
        </w:tc>
        <w:tc>
          <w:tcPr>
            <w:tcBorders>
              <w:top w:val="single" w:color="000000" w:sz="4" w:space="0"/>
              <w:left w:val="single" w:color="000000" w:sz="4" w:space="0"/>
              <w:bottom w:val="single" w:color="000000" w:sz="4" w:space="0"/>
            </w:tcBorders>
            <w:tcW w:w="3698" w:type="dxa"/>
            <w:textDirection w:val="lrTb"/>
            <w:noWrap w:val="false"/>
          </w:tcPr>
          <w:p>
            <w:pPr>
              <w:pStyle w:val="940"/>
              <w:keepNext/>
              <w:spacing w:before="0" w:after="200"/>
              <w:rPr>
                <w:bCs/>
              </w:rPr>
            </w:pPr>
            <w:r>
              <w:rPr>
                <w:bCs/>
              </w:rPr>
              <w:t xml:space="preserve">МБОУ "СОШ № 6 МО "Ахтубинский район"</w:t>
            </w:r>
            <w:r/>
          </w:p>
        </w:tc>
        <w:tc>
          <w:tcPr>
            <w:tcBorders>
              <w:top w:val="single" w:color="000000" w:sz="4" w:space="0"/>
              <w:left w:val="single" w:color="000000" w:sz="4" w:space="0"/>
              <w:bottom w:val="single" w:color="000000" w:sz="4" w:space="0"/>
            </w:tcBorders>
            <w:tcW w:w="1413" w:type="dxa"/>
            <w:textDirection w:val="lrTb"/>
            <w:noWrap w:val="false"/>
          </w:tcPr>
          <w:p>
            <w:pPr>
              <w:pStyle w:val="940"/>
              <w:jc w:val="center"/>
              <w:keepNext/>
              <w:spacing w:before="0" w:after="200"/>
              <w:rPr>
                <w:bCs/>
              </w:rPr>
            </w:pPr>
            <w:r>
              <w:rPr>
                <w:bCs/>
              </w:rPr>
              <w:t xml:space="preserve">40,0</w:t>
            </w:r>
            <w:r/>
          </w:p>
        </w:tc>
        <w:tc>
          <w:tcPr>
            <w:tcBorders>
              <w:top w:val="single" w:color="000000" w:sz="4" w:space="0"/>
              <w:left w:val="single" w:color="000000" w:sz="4" w:space="0"/>
              <w:bottom w:val="single" w:color="000000" w:sz="4" w:space="0"/>
            </w:tcBorders>
            <w:tcW w:w="1634" w:type="dxa"/>
            <w:textDirection w:val="lrTb"/>
            <w:noWrap w:val="false"/>
          </w:tcPr>
          <w:p>
            <w:pPr>
              <w:pStyle w:val="940"/>
              <w:jc w:val="center"/>
              <w:keepNext/>
              <w:spacing w:before="0" w:after="200"/>
              <w:rPr>
                <w:bCs/>
              </w:rPr>
            </w:pPr>
            <w:r>
              <w:rPr>
                <w:bCs/>
              </w:rPr>
              <w:t xml:space="preserve">30,0</w:t>
            </w:r>
            <w:r/>
          </w:p>
        </w:tc>
        <w:tc>
          <w:tcPr>
            <w:tcBorders>
              <w:top w:val="single" w:color="000000" w:sz="4" w:space="0"/>
              <w:left w:val="single" w:color="000000" w:sz="4" w:space="0"/>
              <w:bottom w:val="single" w:color="000000" w:sz="4" w:space="0"/>
              <w:right w:val="single" w:color="000000" w:sz="4" w:space="0"/>
            </w:tcBorders>
            <w:tcW w:w="1626" w:type="dxa"/>
            <w:textDirection w:val="lrTb"/>
            <w:noWrap w:val="false"/>
          </w:tcPr>
          <w:p>
            <w:pPr>
              <w:pStyle w:val="940"/>
              <w:jc w:val="center"/>
              <w:keepNext/>
              <w:spacing w:before="0" w:after="200"/>
              <w:rPr>
                <w:bCs/>
              </w:rPr>
            </w:pPr>
            <w:r>
              <w:rPr>
                <w:bCs/>
              </w:rPr>
              <w:t xml:space="preserve">0,0</w:t>
            </w:r>
            <w:r/>
          </w:p>
        </w:tc>
      </w:tr>
    </w:tbl>
    <w:p>
      <w:pPr>
        <w:pStyle w:val="940"/>
        <w:keepNext/>
        <w:spacing w:before="0" w:after="200"/>
        <w:rPr>
          <w:bCs/>
          <w:sz w:val="18"/>
          <w:szCs w:val="18"/>
        </w:rPr>
      </w:pPr>
      <w:r>
        <w:rPr>
          <w:bCs/>
          <w:sz w:val="18"/>
          <w:szCs w:val="18"/>
        </w:rPr>
      </w:r>
      <w:r/>
    </w:p>
    <w:p>
      <w:pPr>
        <w:pStyle w:val="940"/>
        <w:numPr>
          <w:ilvl w:val="2"/>
          <w:numId w:val="44"/>
        </w:numPr>
        <w:ind w:left="567" w:firstLine="0"/>
        <w:jc w:val="both"/>
        <w:keepLines/>
        <w:keepNext/>
        <w:spacing w:before="200" w:after="0"/>
      </w:pPr>
      <w:r>
        <w:rPr>
          <w:rFonts w:eastAsia="Times New Roman"/>
          <w:sz w:val="28"/>
          <w:lang w:val="en-US"/>
        </w:rPr>
        <w:t xml:space="preserve"> </w:t>
      </w:r>
      <w:r>
        <w:rPr>
          <w:rFonts w:eastAsia="SimSun;宋体"/>
          <w:sz w:val="28"/>
        </w:rPr>
        <w:t xml:space="preserve">П</w:t>
      </w:r>
      <w:r>
        <w:rPr>
          <w:rFonts w:eastAsia="SimSun;宋体"/>
          <w:sz w:val="28"/>
          <w:lang w:val="en-US"/>
        </w:rPr>
        <w:t xml:space="preserve">еречень ОО, продемонстрировавших низкие результаты ЕГЭ по предмету</w:t>
      </w:r>
      <w:r/>
    </w:p>
    <w:p>
      <w:pPr>
        <w:pStyle w:val="940"/>
        <w:contextualSpacing/>
        <w:jc w:val="both"/>
        <w:spacing w:before="0" w:after="120"/>
        <w:rPr>
          <w:rFonts w:eastAsia="Times New Roman"/>
          <w:i/>
          <w:iCs/>
          <w:sz w:val="28"/>
          <w:lang w:val="en-US"/>
        </w:rPr>
      </w:pPr>
      <w:r>
        <w:rPr>
          <w:rFonts w:eastAsia="Times New Roman"/>
          <w:i/>
          <w:iCs/>
          <w:sz w:val="28"/>
          <w:lang w:val="en-US"/>
        </w:rPr>
      </w:r>
      <w:r/>
    </w:p>
    <w:p>
      <w:pPr>
        <w:pStyle w:val="940"/>
        <w:contextualSpacing/>
        <w:jc w:val="both"/>
        <w:spacing w:before="0" w:after="120"/>
        <w:rPr>
          <w:rFonts w:eastAsia="SimSun;宋体"/>
          <w:b/>
          <w:bCs/>
          <w:i/>
        </w:rPr>
      </w:pPr>
      <w:r>
        <w:rPr>
          <w:rFonts w:eastAsia="SimSun;宋体"/>
          <w:b/>
          <w:bCs/>
          <w:i/>
        </w:rPr>
        <w:t xml:space="preserve">Среди ОО с количеством участников не менее 10 человек низкие результаты отсутствуют</w:t>
      </w:r>
      <w:r/>
    </w:p>
    <w:p>
      <w:pPr>
        <w:pStyle w:val="940"/>
        <w:numPr>
          <w:ilvl w:val="1"/>
          <w:numId w:val="44"/>
        </w:numPr>
        <w:ind w:left="0" w:firstLine="0"/>
        <w:keepLines/>
        <w:keepNext/>
        <w:spacing w:before="200" w:after="0"/>
        <w:rPr>
          <w:rFonts w:eastAsia="SimSun;宋体"/>
          <w:b/>
          <w:bCs/>
          <w:sz w:val="28"/>
          <w:lang w:val="en-US"/>
        </w:rPr>
      </w:pPr>
      <w:r>
        <w:rPr>
          <w:rFonts w:eastAsia="SimSun;宋体"/>
          <w:b/>
          <w:bCs/>
          <w:sz w:val="28"/>
          <w:lang w:val="en-US"/>
        </w:rPr>
        <w:t xml:space="preserve">ВЫВОДЫ о характере изменения результатов ЕГЭ по предмету</w:t>
      </w:r>
      <w:r/>
    </w:p>
    <w:p>
      <w:pPr>
        <w:pStyle w:val="940"/>
        <w:jc w:val="both"/>
        <w:keepLines/>
        <w:keepNext/>
        <w:rPr>
          <w:rFonts w:eastAsia="SimSun;宋体"/>
          <w:bCs/>
        </w:rPr>
      </w:pPr>
      <w:r>
        <w:rPr>
          <w:rFonts w:eastAsia="SimSun;宋体"/>
          <w:bCs/>
        </w:rPr>
      </w:r>
      <w:r/>
    </w:p>
    <w:p>
      <w:pPr>
        <w:pStyle w:val="940"/>
        <w:ind w:firstLine="708"/>
        <w:jc w:val="both"/>
        <w:keepLines/>
        <w:keepNext/>
        <w:rPr>
          <w:rFonts w:eastAsia="SimSun;宋体"/>
          <w:bCs/>
        </w:rPr>
      </w:pPr>
      <w:r>
        <w:rPr>
          <w:rFonts w:eastAsia="SimSun;宋体"/>
          <w:bCs/>
        </w:rPr>
        <w:t xml:space="preserve">В целом за последние 3 года (2019-2021 гг.) наблюдается снижение кол-ва участников ЕГЭ, набравших от 81 до 100 баллов – это основное значимое изменение за последние три года (см. Р.2.2). В остальном каких-либо значительных изменений не наблюдается.</w:t>
      </w:r>
      <w:r/>
    </w:p>
    <w:p>
      <w:pPr>
        <w:pStyle w:val="940"/>
        <w:ind w:firstLine="708"/>
        <w:jc w:val="both"/>
        <w:keepLines/>
        <w:keepNext/>
      </w:pPr>
      <w:r>
        <w:rPr>
          <w:rFonts w:eastAsia="SimSun;宋体"/>
          <w:bCs/>
        </w:rPr>
        <w:t xml:space="preserve">Представляется возможным утверждать, что причинами подобной тенденции являются: текущая пандемия новой корона</w:t>
      </w:r>
      <w:r>
        <w:rPr>
          <w:rFonts w:eastAsia="SimSun;宋体"/>
          <w:bCs/>
        </w:rPr>
        <w:t xml:space="preserve">вирусной инфекции (COVID-19) и как следствие дистанционное обучение; (см. ниже, Р.3.2.2), то, что у значительной части участников экзамена навыки говорения на английском языке, знания правил английской грамматики, владение английской лексикой не соответств</w:t>
      </w:r>
      <w:r>
        <w:rPr>
          <w:rFonts w:eastAsia="SimSun;宋体"/>
          <w:bCs/>
        </w:rPr>
        <w:t xml:space="preserve">ует даже базовому уровню сложности, не все задания в КИМ 2021 г., которые были заявлены как соответствующие базовому уровню сложности, представляются соответствующими более высокому уровню сложности (в частности, раздел КИМ 2021 г. «Грамматика и лексика»).</w:t>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jc w:val="center"/>
        <w:rPr>
          <w:rFonts w:eastAsia="SimSun;宋体"/>
          <w:b/>
          <w:bCs/>
          <w:sz w:val="28"/>
          <w:szCs w:val="28"/>
          <w:lang w:val="en-US"/>
        </w:rPr>
      </w:pPr>
      <w:r>
        <w:rPr>
          <w:rFonts w:eastAsia="SimSun;宋体"/>
          <w:b/>
          <w:bCs/>
          <w:sz w:val="28"/>
          <w:szCs w:val="28"/>
          <w:lang w:val="en-US"/>
        </w:rPr>
      </w:r>
      <w:r/>
    </w:p>
    <w:p>
      <w:pPr>
        <w:pStyle w:val="940"/>
        <w:jc w:val="center"/>
      </w:pPr>
      <w:r>
        <w:rPr>
          <w:b/>
          <w:sz w:val="28"/>
          <w:szCs w:val="28"/>
        </w:rPr>
        <w:t xml:space="preserve">Иностранные языки (английский язык) (письменная часть)</w:t>
      </w:r>
      <w:r/>
    </w:p>
    <w:p>
      <w:pPr>
        <w:pStyle w:val="940"/>
        <w:numPr>
          <w:ilvl w:val="1"/>
          <w:numId w:val="36"/>
        </w:numPr>
        <w:keepLines/>
        <w:keepNext/>
        <w:spacing w:before="200" w:after="0"/>
      </w:pPr>
      <w:r>
        <w:rPr>
          <w:rFonts w:eastAsia="Times New Roman"/>
          <w:b/>
          <w:bCs/>
          <w:sz w:val="28"/>
        </w:rPr>
        <w:t xml:space="preserve"> </w:t>
      </w:r>
      <w:r>
        <w:rPr>
          <w:rFonts w:eastAsia="SimSun;宋体"/>
          <w:b/>
          <w:bCs/>
          <w:sz w:val="28"/>
          <w:lang w:val="en-US"/>
        </w:rPr>
        <w:t xml:space="preserve">Краткая характеристика КИМ по учебному предмету</w:t>
      </w:r>
      <w:r/>
    </w:p>
    <w:p>
      <w:pPr>
        <w:pStyle w:val="940"/>
        <w:jc w:val="both"/>
        <w:keepLines/>
        <w:keepNext/>
        <w:rPr>
          <w:rFonts w:eastAsia="SimSun;宋体"/>
          <w:bCs/>
        </w:rPr>
      </w:pPr>
      <w:r>
        <w:rPr>
          <w:rFonts w:eastAsia="SimSun;宋体"/>
          <w:bCs/>
        </w:rPr>
      </w:r>
      <w:r/>
    </w:p>
    <w:p>
      <w:pPr>
        <w:pStyle w:val="940"/>
        <w:ind w:firstLine="708"/>
        <w:jc w:val="both"/>
        <w:keepLines/>
        <w:keepNext/>
        <w:rPr>
          <w:rFonts w:eastAsia="SimSun;宋体"/>
          <w:bCs/>
          <w:lang w:val="en-US"/>
        </w:rPr>
      </w:pPr>
      <w:r>
        <w:rPr>
          <w:rFonts w:eastAsia="SimSun;宋体"/>
          <w:bCs/>
          <w:lang w:val="en-US"/>
        </w:rPr>
        <w:t xml:space="preserve">В 2021 го</w:t>
      </w:r>
      <w:r>
        <w:rPr>
          <w:rFonts w:eastAsia="SimSun;宋体"/>
          <w:bCs/>
          <w:lang w:val="en-US"/>
        </w:rPr>
        <w:t xml:space="preserve">ду в КИМ ЕГЭ по английскому языку были представлены две части: письменная и устная. КИМ письменной части содержал 40 заданий; КИМ устной части – 4 задания. Письменная часть включает четыре раздела: «Аудирование», «Чтение», «Грамматика и лексика», «Письмо».</w:t>
      </w:r>
      <w:r/>
    </w:p>
    <w:p>
      <w:pPr>
        <w:pStyle w:val="940"/>
        <w:ind w:firstLine="708"/>
        <w:jc w:val="both"/>
        <w:keepLines/>
        <w:keepNext/>
        <w:rPr>
          <w:rFonts w:eastAsia="SimSun;宋体"/>
          <w:bCs/>
          <w:lang w:val="en-US"/>
        </w:rPr>
      </w:pPr>
      <w:r>
        <w:rPr>
          <w:rFonts w:eastAsia="SimSun;宋体"/>
          <w:bCs/>
          <w:lang w:val="en-US"/>
        </w:rPr>
        <w:t xml:space="preserve">По сложности все задания письменной части были разделены на три уровня: б</w:t>
      </w:r>
      <w:r>
        <w:rPr>
          <w:rFonts w:eastAsia="SimSun;宋体"/>
          <w:bCs/>
          <w:lang w:val="en-US"/>
        </w:rPr>
        <w:t xml:space="preserve">азовый, повышенный и высокий. Уровень сложности заданий определяется уровнями сложности языкового материала и проверяемых умений, а также типом задания. Внутри каждого раздела, экзаменационной работы задания располагались по возрастающей степени трудности.</w:t>
      </w:r>
      <w:r/>
    </w:p>
    <w:p>
      <w:pPr>
        <w:pStyle w:val="940"/>
        <w:ind w:firstLine="708"/>
        <w:jc w:val="both"/>
        <w:keepLines/>
        <w:keepNext/>
        <w:rPr>
          <w:rFonts w:eastAsia="SimSun;宋体"/>
          <w:bCs/>
          <w:lang w:val="en-US"/>
        </w:rPr>
      </w:pPr>
      <w:r>
        <w:rPr>
          <w:rFonts w:eastAsia="SimSun;宋体"/>
          <w:bCs/>
          <w:lang w:val="en-US"/>
        </w:rPr>
        <w:t xml:space="preserve">Использованные в регионе варианты КИМ письменной части по английскому языку соответствовали уровням сложности языкового материала и проверяемым умениям.</w:t>
      </w:r>
      <w:r/>
    </w:p>
    <w:p>
      <w:pPr>
        <w:pStyle w:val="940"/>
        <w:numPr>
          <w:ilvl w:val="1"/>
          <w:numId w:val="36"/>
        </w:numPr>
        <w:ind w:left="0" w:firstLine="0"/>
        <w:keepLines/>
        <w:keepNext/>
        <w:spacing w:before="200" w:after="0"/>
        <w:rPr>
          <w:rFonts w:eastAsia="SimSun;宋体"/>
          <w:b/>
          <w:bCs/>
          <w:sz w:val="28"/>
          <w:lang w:val="en-US"/>
        </w:rPr>
      </w:pPr>
      <w:r>
        <w:rPr>
          <w:rFonts w:eastAsia="SimSun;宋体"/>
          <w:b/>
          <w:bCs/>
          <w:sz w:val="28"/>
          <w:lang w:val="en-US"/>
        </w:rPr>
        <w:t xml:space="preserve">Анализ выполнения заданий КИМ</w:t>
      </w:r>
      <w:r/>
    </w:p>
    <w:p>
      <w:pPr>
        <w:pStyle w:val="940"/>
        <w:numPr>
          <w:ilvl w:val="2"/>
          <w:numId w:val="36"/>
        </w:numPr>
        <w:ind w:left="567" w:firstLine="0"/>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rPr>
          <w:rFonts w:eastAsia="SimSun;宋体"/>
          <w:sz w:val="28"/>
          <w:lang w:val="en-US"/>
        </w:rPr>
      </w:pPr>
      <w:r>
        <w:rPr>
          <w:rFonts w:eastAsia="SimSun;宋体"/>
          <w:sz w:val="28"/>
          <w:lang w:val="en-US"/>
        </w:rPr>
      </w:r>
      <w:r/>
    </w:p>
    <w:p>
      <w:pPr>
        <w:pStyle w:val="1409"/>
        <w:keepNext/>
      </w:pPr>
      <w:r>
        <w:t xml:space="preserve">Таблица 2-13</w:t>
      </w:r>
      <w:r/>
    </w:p>
    <w:tbl>
      <w:tblPr>
        <w:tblW w:w="9679" w:type="dxa"/>
        <w:tblInd w:w="26" w:type="dxa"/>
        <w:tblLayout w:type="fixed"/>
        <w:tblCellMar>
          <w:left w:w="57" w:type="dxa"/>
          <w:top w:w="0" w:type="dxa"/>
          <w:right w:w="57" w:type="dxa"/>
          <w:bottom w:w="0" w:type="dxa"/>
        </w:tblCellMar>
        <w:tblLook w:val="04A0" w:firstRow="1" w:lastRow="0" w:firstColumn="1" w:lastColumn="0" w:noHBand="0" w:noVBand="1"/>
      </w:tblPr>
      <w:tblGrid>
        <w:gridCol w:w="939"/>
        <w:gridCol w:w="1243"/>
        <w:gridCol w:w="1259"/>
        <w:gridCol w:w="838"/>
        <w:gridCol w:w="1582"/>
        <w:gridCol w:w="1526"/>
        <w:gridCol w:w="820"/>
        <w:gridCol w:w="1472"/>
      </w:tblGrid>
      <w:tr>
        <w:trPr>
          <w:cantSplit/>
          <w:trHeight w:val="313"/>
          <w:tblHeader/>
        </w:trPr>
        <w:tc>
          <w:tcPr>
            <w:tcBorders>
              <w:top w:val="single" w:color="000000" w:sz="8" w:space="0"/>
              <w:left w:val="single" w:color="000000" w:sz="8" w:space="0"/>
            </w:tcBorders>
            <w:tcW w:w="939"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1243"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259"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6238" w:type="dxa"/>
            <w:textDirection w:val="lrTb"/>
            <w:noWrap w:val="false"/>
          </w:tcPr>
          <w:p>
            <w:pPr>
              <w:pStyle w:val="940"/>
              <w:jc w:val="center"/>
            </w:pPr>
            <w:r>
              <w:t xml:space="preserve">Процент выполнения задания </w:t>
              <w:br/>
              <w:t xml:space="preserve">в субъекте Российской Федерации</w:t>
            </w:r>
            <w:r/>
          </w:p>
        </w:tc>
      </w:tr>
      <w:tr>
        <w:trPr>
          <w:cantSplit/>
          <w:trHeight w:val="635"/>
          <w:tblHeader/>
        </w:trPr>
        <w:tc>
          <w:tcPr>
            <w:tcBorders>
              <w:top w:val="single" w:color="000000" w:sz="8" w:space="0"/>
              <w:left w:val="single" w:color="000000" w:sz="8" w:space="0"/>
            </w:tcBorders>
            <w:tcW w:w="93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243"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25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pPr>
            <w:r>
              <w:t xml:space="preserve">средний</w:t>
            </w:r>
            <w:r/>
          </w:p>
        </w:tc>
        <w:tc>
          <w:tcPr>
            <w:tcBorders>
              <w:top w:val="single" w:color="000000" w:sz="8" w:space="0"/>
              <w:left w:val="single" w:color="000000" w:sz="8" w:space="0"/>
              <w:bottom w:val="single" w:color="000000" w:sz="8" w:space="0"/>
            </w:tcBorders>
            <w:tcW w:w="1582" w:type="dxa"/>
            <w:textDirection w:val="lrTb"/>
            <w:noWrap w:val="false"/>
          </w:tcPr>
          <w:p>
            <w:pPr>
              <w:pStyle w:val="940"/>
              <w:jc w:val="center"/>
              <w:rPr>
                <w:bCs/>
              </w:rPr>
            </w:pPr>
            <w:r>
              <w:rPr>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bCs/>
              </w:rPr>
            </w:pPr>
            <w:r>
              <w:rPr>
                <w:bCs/>
              </w:rPr>
              <w:t xml:space="preserve">в группе от минимального до 60 т.б.</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bCs/>
              </w:rPr>
            </w:pPr>
            <w:r>
              <w:rPr>
                <w:bCs/>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bCs/>
              </w:rPr>
            </w:pPr>
            <w:r>
              <w:rPr>
                <w:bCs/>
              </w:rPr>
              <w:t xml:space="preserve">в группе от 81 до 100 т.б.</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(Понимание основного содержания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73,29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11,11</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55,24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74,71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91,19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(Понимание в прослушанном тексте запрашиваемой информации)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82,18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19,05</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66,22</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85,81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78,97</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66,67</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86,90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94,29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95,09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90,00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99,31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97,86</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5</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72,90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49,29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75,86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94,29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6</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85,28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84,14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97,14</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7</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49,07</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22,14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48,97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77,14</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8</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83,41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62,14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90,34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97,14</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9</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Аудирование (Полное понимание прослушанного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35,75</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27,86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31,03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49,29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10</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(Понимание основного содержания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76,74</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9,52</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61,53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78,33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91,73</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(Понимание структурно-смысловых связей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74,77</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38,89</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52,62</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79,20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93,10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65,42</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46,43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70,34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59,81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64,83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80,71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14</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75,23</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69,66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85,71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15</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62,85</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85,00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16</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48,60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46,21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69,29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17</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74,30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58,57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75,86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89,29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18</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Чтение (Полное и точное понимание информации в тексте)</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61,92</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45,00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66,90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75,00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19</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62,38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30,71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68,97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20</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92,99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85,71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94,48</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93,69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85,71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98,62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61,21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71,03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80,00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60,05</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63,45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83,57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24.</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62,38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32,86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64,83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25</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53,50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30,71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52,41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26</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90,19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66,67</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79,29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95,86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27</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57,01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43,57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57,24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71,43</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28</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89,72</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79,29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93,79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97,86</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29</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80,61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62,14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86,21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95,00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30</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49,53</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24,29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47,59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77,86</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(словообразовательные )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77,34</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59,29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80,69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93,57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81,31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59,29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87,59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85,98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72,14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88,97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34</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56,54</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33,33</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53,79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86,43</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35</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46,03</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26,43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40,69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72,14</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36</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81,54</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66,67</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85,52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99,29</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37</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69,86</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56,43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66,21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38</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Грамматика и лексика (лексико-грамматические навыки)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Повышенный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68,93</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100,00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54,29</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64,83</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87,14</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39(к1)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Письмо личного характера (Решение коммуникативной задачи)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77,80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62,14</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92,86</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39(к2)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Письмо личного характера (Организация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86,80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71,07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92,41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98,57</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39(к3)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Письмо личного характера (Языковое оформление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51,40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17,86</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53,45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83,93</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40(к1)</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Письменное высказывание с элементами рассуждения по предложенной проблеме (Решение коммуникативной задачи)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46,96</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13,33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47,82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80,71</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40(к2)</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Письменное высказывание с элементами рассуждения по предложенной проблеме (Организация текста)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53,43</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15,00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58,62</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87,62</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40(к3)</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Письменное высказывание с элементами рассуждения по предложенной проблеме (Лексика)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47,59</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11,43</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49,20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83,10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40(к4)</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Письменное высказывание с элементами рассуждения по предложенной проблеме (Грамматика)</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31,00</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3,10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22,76</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68,10</w:t>
            </w:r>
            <w:r/>
          </w:p>
        </w:tc>
      </w:tr>
      <w:tr>
        <w:trPr>
          <w:cantSplit/>
          <w:trHeight w:val="309"/>
        </w:trPr>
        <w:tc>
          <w:tcPr>
            <w:tcBorders>
              <w:top w:val="single" w:color="000000" w:sz="8" w:space="0"/>
              <w:left w:val="single" w:color="000000" w:sz="8" w:space="0"/>
              <w:bottom w:val="single" w:color="000000" w:sz="8" w:space="0"/>
            </w:tcBorders>
            <w:tcW w:w="939" w:type="dxa"/>
            <w:vAlign w:val="center"/>
            <w:textDirection w:val="lrTb"/>
            <w:noWrap w:val="false"/>
          </w:tcPr>
          <w:p>
            <w:pPr>
              <w:pStyle w:val="940"/>
              <w:jc w:val="center"/>
            </w:pPr>
            <w:r>
              <w:t xml:space="preserve">40(к5)</w:t>
            </w:r>
            <w:r/>
          </w:p>
        </w:tc>
        <w:tc>
          <w:tcPr>
            <w:tcBorders>
              <w:top w:val="single" w:color="000000" w:sz="8" w:space="0"/>
              <w:left w:val="single" w:color="000000" w:sz="8" w:space="0"/>
              <w:bottom w:val="single" w:color="000000" w:sz="8" w:space="0"/>
            </w:tcBorders>
            <w:tcW w:w="1243" w:type="dxa"/>
            <w:vAlign w:val="center"/>
            <w:textDirection w:val="lrTb"/>
            <w:noWrap w:val="false"/>
          </w:tcPr>
          <w:p>
            <w:pPr>
              <w:pStyle w:val="940"/>
              <w:jc w:val="center"/>
            </w:pPr>
            <w:r>
              <w:t xml:space="preserve">Письменное высказывание с элементами рассуждения по предложенной проблеме (Орфография и пунктуация)</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53,86</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15,00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57,24</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90,36</w:t>
            </w:r>
            <w:r/>
          </w:p>
        </w:tc>
      </w:tr>
    </w:tbl>
    <w:p>
      <w:pPr>
        <w:pStyle w:val="940"/>
        <w:jc w:val="both"/>
        <w:rPr>
          <w:iCs/>
        </w:rPr>
      </w:pPr>
      <w:r>
        <w:rPr>
          <w:iCs/>
        </w:rPr>
      </w:r>
      <w:r/>
    </w:p>
    <w:p>
      <w:pPr>
        <w:pStyle w:val="940"/>
        <w:numPr>
          <w:ilvl w:val="2"/>
          <w:numId w:val="36"/>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contextualSpacing/>
        <w:jc w:val="both"/>
        <w:spacing w:before="0" w:after="0"/>
        <w:rPr>
          <w:rFonts w:eastAsia="Times New Roman"/>
          <w:bCs/>
          <w:iCs/>
        </w:rPr>
      </w:pPr>
      <w:r>
        <w:rPr>
          <w:rFonts w:eastAsia="Times New Roman"/>
          <w:bCs/>
          <w:iCs/>
        </w:rPr>
      </w:r>
      <w:r/>
    </w:p>
    <w:p>
      <w:pPr>
        <w:pStyle w:val="940"/>
        <w:contextualSpacing/>
        <w:ind w:firstLine="708"/>
        <w:jc w:val="both"/>
        <w:spacing w:before="0" w:after="0"/>
        <w:rPr>
          <w:rFonts w:eastAsia="Times New Roman"/>
          <w:bCs/>
          <w:iCs/>
        </w:rPr>
      </w:pPr>
      <w:r>
        <w:rPr>
          <w:rFonts w:eastAsia="Times New Roman"/>
          <w:bCs/>
          <w:iCs/>
        </w:rPr>
        <w:t xml:space="preserve">При ознакомлении с содержанием транскрипта и заданий раздела «Аудирование» можно сказать, что содержание заданий 1 и 2 не могли представлять трудности для экзаменуемых, поскольку лексическое наполнение и грамматические структуры пред</w:t>
      </w:r>
      <w:r>
        <w:rPr>
          <w:rFonts w:eastAsia="Times New Roman"/>
          <w:bCs/>
          <w:iCs/>
        </w:rPr>
        <w:t xml:space="preserve">ложений соответствуют заявленному базовому и повышенному уровням. Тем не менее, участники экзамена из группы не преодолевших минимальный балл показали довольно низкие результаты по 1-му и 2-му заданию: только 11,11% и 19,05% участников преодолели минимальн</w:t>
      </w:r>
      <w:r>
        <w:rPr>
          <w:rFonts w:eastAsia="Times New Roman"/>
          <w:bCs/>
          <w:iCs/>
        </w:rPr>
        <w:t xml:space="preserve">ый балл, что говорит о несформированности необходимых навыков (непонимание запрашиваемой информации). Проанализировав содержательную часть заданий 3 – 9 следует отметить, что наибольшую трудность представляют задания 4, 7, 9; участники, не преодолевшие мин</w:t>
      </w:r>
      <w:r>
        <w:rPr>
          <w:rFonts w:eastAsia="Times New Roman"/>
          <w:bCs/>
          <w:iCs/>
        </w:rPr>
        <w:t xml:space="preserve">имальный балл, не справились с выполнением этих заданий (0,00%), участники из других групп в основном справились с выполнением заданий 3-9, но стоит отметить, что при выполнении заданий 7 и 9 были показаны относительно низкие результаты в группе от минимал</w:t>
      </w:r>
      <w:r>
        <w:rPr>
          <w:rFonts w:eastAsia="Times New Roman"/>
          <w:bCs/>
          <w:iCs/>
        </w:rPr>
        <w:t xml:space="preserve">ьного балла до 60 баллов (22,14% и 27,86% соответственно). Низкий результат в задание 7 можно объяснить отсутствием необходимого лексического уровня, позволяющего соотнести существительное “coach” в вопросе и существительное “instructor” в тексте записи.  </w:t>
      </w:r>
      <w:r/>
    </w:p>
    <w:p>
      <w:pPr>
        <w:pStyle w:val="940"/>
        <w:contextualSpacing/>
        <w:ind w:firstLine="708"/>
        <w:jc w:val="both"/>
        <w:spacing w:before="0" w:after="0"/>
        <w:rPr>
          <w:rFonts w:eastAsia="Times New Roman"/>
          <w:bCs/>
          <w:iCs/>
        </w:rPr>
      </w:pPr>
      <w:r>
        <w:rPr>
          <w:rFonts w:eastAsia="Times New Roman"/>
          <w:bCs/>
          <w:iCs/>
        </w:rPr>
        <w:t xml:space="preserve">В разделе «Чтение» представлены задания с 10 по 18, проверяющие уровень владения языком на разных уровня</w:t>
      </w:r>
      <w:r>
        <w:rPr>
          <w:rFonts w:eastAsia="Times New Roman"/>
          <w:bCs/>
          <w:iCs/>
        </w:rPr>
        <w:t xml:space="preserve">х. После ознакомления с содержанием раздела «Чтение» можно сказать, что задание 10 в основном соответствует заявленному базовому уровню (средний показатель выполнения 76,74%). Группа участников, не преодолевших минимальный балл, показала низкий результат п</w:t>
      </w:r>
      <w:r>
        <w:rPr>
          <w:rFonts w:eastAsia="Times New Roman"/>
          <w:bCs/>
          <w:iCs/>
        </w:rPr>
        <w:t xml:space="preserve">ри выполнении этого задания (9,52%), что говорит о несформированности необходимых навыков и отсутствии метапредметных знаний. Задание 11 не вызвало затруднений при выполнении, средний показатель выполнения задания – 74,77%, в группе 81-100 т.б. – 93,10%. В</w:t>
      </w:r>
      <w:r>
        <w:rPr>
          <w:rFonts w:eastAsia="Times New Roman"/>
          <w:bCs/>
          <w:iCs/>
        </w:rPr>
        <w:t xml:space="preserve"> группе не преодолевших минимальный балл этот показатель составляет 38,89%, что говорит о недостаточной языковой компетенции и определенных фоновых лингвострановедческих знаниях (в тексте используются имена собственные). Задания с 12 по 18 в разделе «Чтени</w:t>
      </w:r>
      <w:r>
        <w:rPr>
          <w:rFonts w:eastAsia="Times New Roman"/>
          <w:bCs/>
          <w:iCs/>
        </w:rPr>
        <w:t xml:space="preserve">е» рассчитаны на экзаменуемых с высоким уровнем владения иностранным языком. Представленный в экзаменационном варианте текст относится к публицистическому стилю и затрагивает проблему знакомую для большинства экзаменуемых. Лексическое наполнение, грамматик</w:t>
      </w:r>
      <w:r>
        <w:rPr>
          <w:rFonts w:eastAsia="Times New Roman"/>
          <w:bCs/>
          <w:iCs/>
        </w:rPr>
        <w:t xml:space="preserve">а текста и вопросов соответствуют высокому уровню. Группа участников от 81 -100 т.б. и от 61 – 80 т.б. справилась с выполнением этих заданий, что говорит о сформированности необходимых языковых компетенций и навыков. Группа от минимального до 60 т.б. показ</w:t>
      </w:r>
      <w:r>
        <w:rPr>
          <w:rFonts w:eastAsia="Times New Roman"/>
          <w:bCs/>
          <w:iCs/>
        </w:rPr>
        <w:t xml:space="preserve">ала довольно низкий результат при выполнении заданий 13 и 16 (34,29% и 31,43% соответственно). Следует отметить, что при выполнении заданий 16 и 18 были показаны самые низкие результаты в группе, не преодолевшей минимальный балл (по 0,00% соответственно). </w:t>
      </w:r>
      <w:r/>
    </w:p>
    <w:p>
      <w:pPr>
        <w:pStyle w:val="940"/>
        <w:contextualSpacing/>
        <w:ind w:firstLine="708"/>
        <w:jc w:val="both"/>
        <w:spacing w:before="0" w:after="0"/>
        <w:rPr>
          <w:rFonts w:eastAsia="Times New Roman"/>
          <w:bCs/>
          <w:iCs/>
        </w:rPr>
      </w:pPr>
      <w:r>
        <w:rPr>
          <w:rFonts w:eastAsia="Times New Roman"/>
          <w:bCs/>
          <w:iCs/>
        </w:rPr>
        <w:t xml:space="preserve">Раздел «Грамматика и лексика» состоит из 20 заданий, направленных на распознавание и употребление в речи различных грамматических структур и лексических единиц. Анализ содержания заданий 19-25 показал, что в целом наполнение заданий соот</w:t>
      </w:r>
      <w:r>
        <w:rPr>
          <w:rFonts w:eastAsia="Times New Roman"/>
          <w:bCs/>
          <w:iCs/>
        </w:rPr>
        <w:t xml:space="preserve">ветствует заявленному базовому уровню. Самый низкий результат показали участники группы, не преодолевшие минимальный балл при выполнении заданий 19, 21, 23-25 (по 0,00%). Наибольшие затруднения вызвали задания на знания страдательного залога (задание 19 и </w:t>
      </w:r>
      <w:r>
        <w:rPr>
          <w:rFonts w:eastAsia="Times New Roman"/>
          <w:bCs/>
          <w:iCs/>
        </w:rPr>
        <w:t xml:space="preserve">24), 2-ой формы английских неправильных глаголов (задание 23), степени сравнения наречий (задание 25) и глаголов, употребляемых с герундием (задание 21). Следует отметить, что эти же задания вызывали затруднения в группе от минимального балла до 60 баллов.</w:t>
      </w:r>
      <w:r/>
    </w:p>
    <w:p>
      <w:pPr>
        <w:pStyle w:val="940"/>
        <w:contextualSpacing/>
        <w:ind w:firstLine="708"/>
        <w:jc w:val="both"/>
        <w:spacing w:before="0" w:after="0"/>
        <w:rPr>
          <w:rFonts w:eastAsia="Times New Roman"/>
          <w:bCs/>
          <w:iCs/>
        </w:rPr>
      </w:pPr>
      <w:r>
        <w:rPr>
          <w:rFonts w:eastAsia="Times New Roman"/>
          <w:bCs/>
          <w:iCs/>
        </w:rPr>
        <w:t xml:space="preserve">Задания 26 – 31 соответствуют заявленному базовому уровню (кроме задания 30, которое содержит лексическую един</w:t>
      </w:r>
      <w:r>
        <w:rPr>
          <w:rFonts w:eastAsia="Times New Roman"/>
          <w:bCs/>
          <w:iCs/>
        </w:rPr>
        <w:t xml:space="preserve">ицу, вызвавшую наибольшую трудность при образовании производного слова) и не содержат лексических единиц, которые могут представлять трудность при образовании производных. Подтверждением этому являются показатели выполнения данного задания в группах от мин</w:t>
      </w:r>
      <w:r>
        <w:rPr>
          <w:rFonts w:eastAsia="Times New Roman"/>
          <w:bCs/>
          <w:iCs/>
        </w:rPr>
        <w:t xml:space="preserve">имального балла до 60 баллов и от 60 до 80 баллов. Единственное задание, не вызвавшее особых сложностей ни у одной группы участников, - задание 26. Все остальные задания, особенно в группе не преодолевших минимальный балл, вызывали серьёзные затруднения: у</w:t>
      </w:r>
      <w:r>
        <w:rPr>
          <w:rFonts w:eastAsia="Times New Roman"/>
          <w:bCs/>
          <w:iCs/>
        </w:rPr>
        <w:t xml:space="preserve">частники с ними не справились. Это говорит о низком уровне сформированности словообразовательных навыков и ограниченном лексическом запасе. Задания 32 – 38 относятся к заданиям повышенного уровня сложности. В целом задания 32 – 38 соответствуют повышенному</w:t>
      </w:r>
      <w:r>
        <w:rPr>
          <w:rFonts w:eastAsia="Times New Roman"/>
          <w:bCs/>
          <w:iCs/>
        </w:rPr>
        <w:t xml:space="preserve"> уровню сложности. Вновь группа участников, не преодолевших минимальный балл, не справилась с рядом заданий – задания 32-33, 35 и 37 (по 0,00%), что говорит о недостаточности знаний употребления лексических единиц с учётом сочетаемости слов в коммуникативн</w:t>
      </w:r>
      <w:r>
        <w:rPr>
          <w:rFonts w:eastAsia="Times New Roman"/>
          <w:bCs/>
          <w:iCs/>
        </w:rPr>
        <w:t xml:space="preserve">ом контексте. Самый низкий результат был показан при выполнении задания 35 (мин. – 60 т.б - 26,43%; 61-80 т.б. -  40,69%), что можно объяснить только незнанием лексических единиц, представленных в этом задании и выступающих в роли средств логической связи.</w:t>
      </w:r>
      <w:r/>
    </w:p>
    <w:p>
      <w:pPr>
        <w:pStyle w:val="940"/>
        <w:contextualSpacing/>
        <w:ind w:firstLine="708"/>
        <w:jc w:val="both"/>
        <w:spacing w:before="0" w:after="0"/>
        <w:rPr>
          <w:rFonts w:eastAsia="Times New Roman"/>
          <w:bCs/>
          <w:iCs/>
        </w:rPr>
      </w:pPr>
      <w:r>
        <w:rPr>
          <w:rFonts w:eastAsia="Times New Roman"/>
          <w:bCs/>
          <w:iCs/>
        </w:rPr>
        <w:t xml:space="preserve">Раздел «Письмо» с</w:t>
      </w:r>
      <w:r>
        <w:rPr>
          <w:rFonts w:eastAsia="Times New Roman"/>
          <w:bCs/>
          <w:iCs/>
        </w:rPr>
        <w:t xml:space="preserve">остоит из 2 заданий: 39 – базового уровня сложности и 40 – высокого уровня сложности. В задании 39 от экзаменуемого требуется написать письмо личного характера (ответить на вопросы и задать вопросы по предложенной теме), соблюдая правила написания такого п</w:t>
      </w:r>
      <w:r>
        <w:rPr>
          <w:rFonts w:eastAsia="Times New Roman"/>
          <w:bCs/>
          <w:iCs/>
        </w:rPr>
        <w:t xml:space="preserve">исьма в англоязычной среде. Показатели выполнения по критериям «Решение коммуникативной задачи» - 77,80% (средний) и 92,86% (группа 81-100 т.б.), «Организация текста» - 86,80% (средний) и 98,57% (группа 81-100 т.б.) и «Языковое оформление» - 51,40% (средни</w:t>
      </w:r>
      <w:r>
        <w:rPr>
          <w:rFonts w:eastAsia="Times New Roman"/>
          <w:bCs/>
          <w:iCs/>
        </w:rPr>
        <w:t xml:space="preserve">й) и 83,93% (группа 81-100 т.б.) свидетельствуют о сформированности требуемых навыков у участников экзамена из этой группы. Группа участников от минимального балла до 69 т.б. показала низкий результат в разделе «Языковое оформление» - 17,86%. Группа участн</w:t>
      </w:r>
      <w:r>
        <w:rPr>
          <w:rFonts w:eastAsia="Times New Roman"/>
          <w:bCs/>
          <w:iCs/>
        </w:rPr>
        <w:t xml:space="preserve">иков, не преодолевших минимальный балл, показала крайне низкие результаты при выполнении задания базового уровня: «Решение коммуникативной задачи» - 0,00%, «Организация текста» - 0,00%, «Языковое оформление» - 0,00%, что говорит об несформированности навык</w:t>
      </w:r>
      <w:r>
        <w:rPr>
          <w:rFonts w:eastAsia="Times New Roman"/>
          <w:bCs/>
          <w:iCs/>
        </w:rPr>
        <w:t xml:space="preserve">а. В задании 40 участникам на выбор предлагается 2 темы эссе. Участники экзамена не продемонстрировали предпочтение одной из тем, обе темы были представлены приблизительно одинаково. Крайне низкие результаты по критерию «Решение коммуникативной задачи» пок</w:t>
      </w:r>
      <w:r>
        <w:rPr>
          <w:rFonts w:eastAsia="Times New Roman"/>
          <w:bCs/>
          <w:iCs/>
        </w:rPr>
        <w:t xml:space="preserve">азали участники группы, не преодолевшей минимальный балл (0,00%). Участники экзамена, показавшие низкие результаты, частично подменяли тему эссе: выбирая тему «Чтобы быть счастливым, нужно иметь хороших друзей», участники экзамена писали о преимуществах, к</w:t>
      </w:r>
      <w:r>
        <w:rPr>
          <w:rFonts w:eastAsia="Times New Roman"/>
          <w:bCs/>
          <w:iCs/>
        </w:rPr>
        <w:t xml:space="preserve">оторые человек имеет благодаря тому, что у него есть друзья, не связывая наличие у него друзей с его личным счастьем. Выбирая тему «Хобби отвлекает от учёбы в школе», участники экзамена не понимали значение глагола «to distract» (отвлекать»), воспринимая е</w:t>
      </w:r>
      <w:r>
        <w:rPr>
          <w:rFonts w:eastAsia="Times New Roman"/>
          <w:bCs/>
          <w:iCs/>
        </w:rPr>
        <w:t xml:space="preserve">го как «развлекать». Участники группы от мин. балла до 60 т.б. показали очень низкие результаты по критерию «Грамматика» (3,14%). Низкий результат по критерию «Грамматика» в данной группе можно объяснить низким уровнем знаний грамматики английского языка. </w:t>
      </w:r>
      <w:r/>
    </w:p>
    <w:p>
      <w:pPr>
        <w:pStyle w:val="940"/>
        <w:contextualSpacing/>
        <w:ind w:firstLine="708"/>
        <w:jc w:val="both"/>
        <w:spacing w:before="0" w:after="0"/>
      </w:pPr>
      <w:r>
        <w:rPr>
          <w:rFonts w:eastAsia="Times New Roman"/>
          <w:bCs/>
          <w:iCs/>
        </w:rPr>
        <w:t xml:space="preserve">Соотнесение результатов выполнения заданий с учебными программами, УМК и иными особенностями региональной/муниципальной систем образования.</w:t>
      </w:r>
      <w:r/>
    </w:p>
    <w:p>
      <w:pPr>
        <w:pStyle w:val="940"/>
        <w:contextualSpacing/>
        <w:ind w:firstLine="708"/>
        <w:jc w:val="both"/>
        <w:spacing w:before="0" w:after="0"/>
        <w:rPr>
          <w:rFonts w:eastAsia="Times New Roman"/>
          <w:bCs/>
          <w:iCs/>
        </w:rPr>
      </w:pPr>
      <w:r>
        <w:rPr>
          <w:rFonts w:eastAsia="Times New Roman"/>
          <w:bCs/>
          <w:iCs/>
        </w:rPr>
        <w:t xml:space="preserve">В основном все общеобразовательные учреждения Астраханской области работают по следующим УМК: Афанасьева О.В., Дули Д., Михеева И.В. «Английский язык» (Spotlight) (базовый уровень) АО «Издате</w:t>
      </w:r>
      <w:r>
        <w:rPr>
          <w:rFonts w:eastAsia="Times New Roman"/>
          <w:bCs/>
          <w:iCs/>
        </w:rPr>
        <w:t xml:space="preserve">льство «Просвещение», Баранова К.М., Дули Д., Копылова В.В. и др. «Английский язык» (Starlight) (углубленный уровень) АО «Издательство «Просвещение», Вербицкая М.В. и др. «Английский язык» (Forward) (базовый уровень), ООО «Издательский центр ВЕНТАНА-ГРАФ».</w:t>
      </w:r>
      <w:r/>
    </w:p>
    <w:p>
      <w:pPr>
        <w:pStyle w:val="940"/>
        <w:contextualSpacing/>
        <w:ind w:firstLine="708"/>
        <w:jc w:val="both"/>
        <w:spacing w:before="0" w:after="0"/>
        <w:rPr>
          <w:rFonts w:eastAsia="Times New Roman"/>
          <w:bCs/>
          <w:iCs/>
        </w:rPr>
      </w:pPr>
      <w:r>
        <w:rPr>
          <w:rFonts w:eastAsia="Times New Roman"/>
          <w:bCs/>
          <w:iCs/>
        </w:rPr>
        <w:t xml:space="preserve">Проанализировав содержание и ст</w:t>
      </w:r>
      <w:r>
        <w:rPr>
          <w:rFonts w:eastAsia="Times New Roman"/>
          <w:bCs/>
          <w:iCs/>
        </w:rPr>
        <w:t xml:space="preserve">руктурные компоненты действующих УМК по английскому языку на предмет соответствия содержания, структурных компонентов и характера заданий КИМ для проведения ЕГЭ можно сделать вывод о том, что все УМК созданы с учетом требований ФГОС, а так же в соответстви</w:t>
      </w:r>
      <w:r>
        <w:rPr>
          <w:rFonts w:eastAsia="Times New Roman"/>
          <w:bCs/>
          <w:iCs/>
        </w:rPr>
        <w:t xml:space="preserve">и с Европейскими стандартами в области изучения иностранных языков, что является их отличительной особенностью. Во всех УМК уделяется внимание развитию всех видов речевой деятельности (аудирование, чтение, говорение, письмо) с помощью разнообразных коммуни</w:t>
      </w:r>
      <w:r>
        <w:rPr>
          <w:rFonts w:eastAsia="Times New Roman"/>
          <w:bCs/>
          <w:iCs/>
        </w:rPr>
        <w:t xml:space="preserve">кативных заданий и упражнений. Формат упражнений и заданий полностью соответствует формату заданий КИМ на ЕГЭ.  Во всех УМК имеется отдельный раздел «Подготовка к ЕГЭ», который  имеет целью уделить повышенное внимание заданиям формата ЕГЭ, организовать пра</w:t>
      </w:r>
      <w:r>
        <w:rPr>
          <w:rFonts w:eastAsia="Times New Roman"/>
          <w:bCs/>
          <w:iCs/>
        </w:rPr>
        <w:t xml:space="preserve">ктику их выполнения в процессе обучения в рамках изучаемых тем. В разделе «Подготовка к ЕГЭ» содержатся задания на аудирование, чтение, говорение и письмо, а также на использование английского языка в речи (лексико- грамматические задания). Однако следует </w:t>
      </w:r>
      <w:r>
        <w:rPr>
          <w:rFonts w:eastAsia="Times New Roman"/>
          <w:bCs/>
          <w:iCs/>
        </w:rPr>
        <w:t xml:space="preserve">отметить что задания целью которых является научить писать эссе (задание 40) представлены в недостаточном объеме, кроме того в УМК дается задания по написанию эссе в формате «Аргументы за и против», в то время как в КИМ ЕГЭ включено эссе в формате «Выражен</w:t>
      </w:r>
      <w:r>
        <w:rPr>
          <w:rFonts w:eastAsia="Times New Roman"/>
          <w:bCs/>
          <w:iCs/>
        </w:rPr>
        <w:t xml:space="preserve">ие собственного мнения». Существующая структура УМК с рубрикой ЕГЭ (RNE) обеспечивает достаточную подготовку учащихся к итоговой аттестации в форме ЕГЭ как итогу обучения в школе. Таким образом можно сделать вывод, что данные УМК отвечают всем современным </w:t>
      </w:r>
      <w:r>
        <w:rPr>
          <w:rFonts w:eastAsia="Times New Roman"/>
          <w:bCs/>
          <w:iCs/>
        </w:rPr>
        <w:t xml:space="preserve">требованиям при подготовке к ЕГЭ, так как учебный материал представлен полно, четко прослеживается целенаправленность обучения с ориентацией на достижение конкретного конечного результата, но требуют доработки для того чтобы устранить имеющийся недостаток.</w:t>
      </w:r>
      <w:r/>
    </w:p>
    <w:p>
      <w:pPr>
        <w:pStyle w:val="940"/>
        <w:contextualSpacing/>
        <w:ind w:firstLine="708"/>
        <w:jc w:val="both"/>
        <w:spacing w:before="0" w:after="0"/>
        <w:rPr>
          <w:rFonts w:eastAsia="Times New Roman"/>
          <w:bCs/>
          <w:iCs/>
        </w:rPr>
      </w:pPr>
      <w:r>
        <w:rPr>
          <w:rFonts w:eastAsia="Times New Roman"/>
          <w:bCs/>
          <w:iCs/>
        </w:rPr>
        <w:t xml:space="preserve">Содержательный анализ выполнения заданий КИМ показывает, что в целом обучающиеся владеют необходимыми языковыми компетенциями и достаточно сформированы коммуникативные умения в аудировании, чтении, письме и говорении. Так же возможно считать, чт</w:t>
      </w:r>
      <w:r>
        <w:rPr>
          <w:rFonts w:eastAsia="Times New Roman"/>
          <w:bCs/>
          <w:iCs/>
        </w:rPr>
        <w:t xml:space="preserve">о обучающиеся показали сформированность грамматических и лексико- грамматических навыков. Некоторые задания вызвали трудности при их решении, но они не связаны с обучением по УМК, скорее с индивидуальными особенностями подготовки к ЕГЭ отдельных педагогов.</w:t>
      </w:r>
      <w:r/>
    </w:p>
    <w:p>
      <w:pPr>
        <w:pStyle w:val="940"/>
        <w:numPr>
          <w:ilvl w:val="2"/>
          <w:numId w:val="36"/>
        </w:numPr>
        <w:ind w:left="567"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jc w:val="both"/>
        <w:rPr>
          <w:rFonts w:eastAsia="Times New Roman"/>
          <w:bCs/>
          <w:i/>
          <w:iCs/>
        </w:rPr>
      </w:pPr>
      <w:r>
        <w:rPr>
          <w:rFonts w:eastAsia="Times New Roman"/>
          <w:bCs/>
          <w:i/>
          <w:iCs/>
        </w:rPr>
      </w:r>
      <w:r/>
    </w:p>
    <w:p>
      <w:pPr>
        <w:pStyle w:val="940"/>
        <w:ind w:firstLine="708"/>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contextualSpacing/>
        <w:ind w:firstLine="708"/>
        <w:jc w:val="both"/>
        <w:spacing w:before="0" w:after="0"/>
        <w:rPr>
          <w:rFonts w:eastAsia="Times New Roman"/>
          <w:bCs/>
          <w:iCs/>
        </w:rPr>
      </w:pPr>
      <w:r>
        <w:rPr>
          <w:rFonts w:eastAsia="Times New Roman"/>
          <w:bCs/>
          <w:iCs/>
        </w:rPr>
        <w:t xml:space="preserve">- Понимание основного содержания прослушанного текста (задание 1), понимание в прослушанном тексте запрашиваемой информации (задание 2); </w:t>
      </w:r>
      <w:r/>
    </w:p>
    <w:p>
      <w:pPr>
        <w:pStyle w:val="940"/>
        <w:contextualSpacing/>
        <w:ind w:firstLine="708"/>
        <w:jc w:val="both"/>
        <w:spacing w:before="0" w:after="0"/>
        <w:rPr>
          <w:rFonts w:eastAsia="Times New Roman"/>
          <w:bCs/>
          <w:iCs/>
        </w:rPr>
      </w:pPr>
      <w:r>
        <w:rPr>
          <w:rFonts w:eastAsia="Times New Roman"/>
          <w:bCs/>
          <w:iCs/>
        </w:rPr>
        <w:t xml:space="preserve">- понимание основного содержания текста (задание 10), понимание структурно-смысловых связей в тексте (задание 11); </w:t>
      </w:r>
      <w:r/>
    </w:p>
    <w:p>
      <w:pPr>
        <w:pStyle w:val="940"/>
        <w:contextualSpacing/>
        <w:ind w:firstLine="708"/>
        <w:jc w:val="both"/>
        <w:spacing w:before="0" w:after="0"/>
        <w:rPr>
          <w:rFonts w:eastAsia="Times New Roman"/>
          <w:bCs/>
          <w:iCs/>
        </w:rPr>
      </w:pPr>
      <w:r>
        <w:rPr>
          <w:rFonts w:eastAsia="Times New Roman"/>
          <w:bCs/>
          <w:iCs/>
        </w:rPr>
        <w:t xml:space="preserve">- грамматические и словообразовательные навыки (задания с 19 по 31); </w:t>
      </w:r>
      <w:r/>
    </w:p>
    <w:p>
      <w:pPr>
        <w:pStyle w:val="940"/>
        <w:contextualSpacing/>
        <w:ind w:firstLine="708"/>
        <w:jc w:val="both"/>
        <w:spacing w:before="0" w:after="0"/>
        <w:rPr>
          <w:rFonts w:eastAsia="Times New Roman"/>
          <w:bCs/>
          <w:iCs/>
        </w:rPr>
      </w:pPr>
      <w:r>
        <w:rPr>
          <w:rFonts w:eastAsia="Times New Roman"/>
          <w:bCs/>
          <w:iCs/>
        </w:rPr>
        <w:t xml:space="preserve">- написание письма личного характера (решение коммуникативной задачи, организация текста) (задание 39).</w:t>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contextualSpacing/>
        <w:ind w:firstLine="708"/>
        <w:jc w:val="both"/>
        <w:spacing w:before="0" w:after="0"/>
        <w:rPr>
          <w:rFonts w:eastAsia="Times New Roman"/>
          <w:bCs/>
          <w:iCs/>
        </w:rPr>
      </w:pPr>
      <w:r>
        <w:rPr>
          <w:rFonts w:eastAsia="Times New Roman"/>
          <w:bCs/>
          <w:iCs/>
        </w:rPr>
        <w:t xml:space="preserve">- Полное понимание прослушанного текста (задание с 3 по 9);</w:t>
      </w:r>
      <w:r/>
    </w:p>
    <w:p>
      <w:pPr>
        <w:pStyle w:val="940"/>
        <w:contextualSpacing/>
        <w:ind w:firstLine="708"/>
        <w:jc w:val="both"/>
        <w:spacing w:before="0" w:after="0"/>
        <w:rPr>
          <w:rFonts w:eastAsia="Times New Roman"/>
          <w:bCs/>
          <w:iCs/>
        </w:rPr>
      </w:pPr>
      <w:r>
        <w:rPr>
          <w:rFonts w:eastAsia="Times New Roman"/>
          <w:bCs/>
          <w:iCs/>
        </w:rPr>
        <w:t xml:space="preserve">- полное и точное понимание информации в тексте (задания с 12 по 18); </w:t>
      </w:r>
      <w:r/>
    </w:p>
    <w:p>
      <w:pPr>
        <w:pStyle w:val="940"/>
        <w:contextualSpacing/>
        <w:ind w:firstLine="708"/>
        <w:jc w:val="both"/>
        <w:spacing w:before="0" w:after="0"/>
        <w:rPr>
          <w:rFonts w:eastAsia="Times New Roman"/>
          <w:bCs/>
          <w:iCs/>
        </w:rPr>
      </w:pPr>
      <w:r>
        <w:rPr>
          <w:rFonts w:eastAsia="Times New Roman"/>
          <w:bCs/>
          <w:iCs/>
        </w:rPr>
        <w:t xml:space="preserve">- лексико-грамматические навыки (задания с 31 по 38); </w:t>
      </w:r>
      <w:r/>
    </w:p>
    <w:p>
      <w:pPr>
        <w:pStyle w:val="940"/>
        <w:contextualSpacing/>
        <w:ind w:firstLine="708"/>
        <w:jc w:val="both"/>
        <w:spacing w:before="0" w:after="0"/>
        <w:rPr>
          <w:rFonts w:eastAsia="Times New Roman"/>
          <w:bCs/>
          <w:iCs/>
        </w:rPr>
      </w:pPr>
      <w:r>
        <w:rPr>
          <w:rFonts w:eastAsia="Times New Roman"/>
          <w:bCs/>
          <w:iCs/>
        </w:rPr>
        <w:t xml:space="preserve">- написание письма личного характера (языковое оформление текста) (задание 39);</w:t>
      </w:r>
      <w:r/>
    </w:p>
    <w:p>
      <w:pPr>
        <w:pStyle w:val="940"/>
        <w:contextualSpacing/>
        <w:ind w:firstLine="708"/>
        <w:jc w:val="both"/>
        <w:spacing w:before="0" w:after="0"/>
        <w:rPr>
          <w:rFonts w:eastAsia="Times New Roman"/>
          <w:bCs/>
          <w:iCs/>
        </w:rPr>
      </w:pPr>
      <w:r>
        <w:rPr>
          <w:rFonts w:eastAsia="Times New Roman"/>
          <w:bCs/>
          <w:iCs/>
        </w:rPr>
        <w:t xml:space="preserve">- развернутое письменное высказывание с элементами рассуждения (решение коммуникативной задачи, лексика, грамматика) (задание 40).</w:t>
      </w:r>
      <w:r/>
    </w:p>
    <w:p>
      <w:pPr>
        <w:pStyle w:val="940"/>
        <w:ind w:firstLine="708"/>
        <w:jc w:val="both"/>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contextualSpacing/>
        <w:ind w:firstLine="708"/>
        <w:jc w:val="both"/>
        <w:spacing w:before="0" w:after="0"/>
        <w:rPr>
          <w:rFonts w:eastAsia="Times New Roman"/>
          <w:bCs/>
          <w:iCs/>
        </w:rPr>
      </w:pPr>
      <w:r>
        <w:rPr>
          <w:rFonts w:eastAsia="Times New Roman"/>
          <w:bCs/>
          <w:iCs/>
        </w:rPr>
        <w:t xml:space="preserve">В целом государственная итоговая аттестация показала неплохую подготовку выпускников и свидетельствует о серьезной работе педагогиче</w:t>
      </w:r>
      <w:r>
        <w:rPr>
          <w:rFonts w:eastAsia="Times New Roman"/>
          <w:bCs/>
          <w:iCs/>
        </w:rPr>
        <w:t xml:space="preserve">ских коллективов и методических служб. Однако общая тенденция к снижению результатов, пусть и незначительная, по заданиям и критериям настораживает и требует глубокого анализа, определения стратегии и проведения системы мероприятий по подготовке педагогов.</w:t>
      </w:r>
      <w:r/>
    </w:p>
    <w:p>
      <w:pPr>
        <w:pStyle w:val="940"/>
        <w:contextualSpacing/>
        <w:jc w:val="both"/>
        <w:spacing w:before="0" w:after="0"/>
        <w:rPr>
          <w:rFonts w:eastAsia="Times New Roman"/>
          <w:bCs/>
          <w:iCs/>
        </w:rPr>
      </w:pPr>
      <w:r>
        <w:rPr>
          <w:rFonts w:eastAsia="Times New Roman"/>
          <w:bCs/>
          <w:iCs/>
        </w:rPr>
        <w:tab/>
        <w:t xml:space="preserve">Особое внимание следует уделить работе с заданиями, </w:t>
      </w:r>
      <w:r>
        <w:rPr>
          <w:rFonts w:eastAsia="Times New Roman"/>
          <w:bCs/>
          <w:iCs/>
        </w:rPr>
        <w:t xml:space="preserve">требующими развернутого ответа: внимательное ознакомление с заданиями, анализ содержания заданий, подбор синонимом или антонимов при перефразировании, формулировка аргументов, работа над лексикой и грамматикой, умение анализировать текст и выявлять ошибки.</w:t>
      </w:r>
      <w:r/>
    </w:p>
    <w:p>
      <w:pPr>
        <w:pStyle w:val="940"/>
        <w:contextualSpacing/>
        <w:ind w:firstLine="708"/>
        <w:jc w:val="both"/>
        <w:spacing w:before="0" w:after="0"/>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contextualSpacing/>
        <w:ind w:firstLine="708"/>
        <w:jc w:val="both"/>
        <w:spacing w:before="0" w:after="0"/>
        <w:rPr>
          <w:rFonts w:eastAsia="Times New Roman"/>
          <w:bCs/>
          <w:iCs/>
        </w:rPr>
      </w:pPr>
      <w:r>
        <w:rPr>
          <w:rFonts w:eastAsia="Times New Roman"/>
          <w:bCs/>
          <w:iCs/>
        </w:rPr>
        <w:t xml:space="preserve">В 2021 году в КИМ по английскому языку изменения не вносились. Изменения, внесенные в 2019 году (2 темы эссе на выбор) предоставили участникам экзамена возможность выбирать тему в соответствии</w:t>
      </w:r>
      <w:r>
        <w:rPr>
          <w:rFonts w:eastAsia="Times New Roman"/>
          <w:bCs/>
          <w:iCs/>
        </w:rPr>
        <w:t xml:space="preserve"> со своими предпочтениями, что положительно отразилось на успешности выполнения задания среди участников, обладающих необходимыми языковыми компетенциями. На результаты у участников экзамена не обладающих необходимыми навыками данное изменение не повлияло.</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в статистико-аналитический отчет результатов ЕГЭ в 2020 году.</w:t>
      </w:r>
      <w:r/>
    </w:p>
    <w:p>
      <w:pPr>
        <w:pStyle w:val="940"/>
        <w:contextualSpacing/>
        <w:ind w:firstLine="708"/>
        <w:jc w:val="both"/>
        <w:spacing w:before="0" w:after="0"/>
      </w:pPr>
      <w:r>
        <w:rPr>
          <w:rFonts w:eastAsia="Times New Roman"/>
          <w:bCs/>
          <w:iCs/>
        </w:rPr>
        <w:t xml:space="preserve">В 2021 году ЕГЭ по английскому языку сдавало 466 человек, что на 1 выпускника больше, чем в 2020 году</w:t>
      </w:r>
      <w:r>
        <w:rPr>
          <w:rFonts w:eastAsia="Times New Roman"/>
          <w:bCs/>
          <w:i/>
          <w:iCs/>
        </w:rPr>
        <w:t xml:space="preserve">.</w:t>
      </w:r>
      <w:r/>
    </w:p>
    <w:p>
      <w:pPr>
        <w:pStyle w:val="940"/>
        <w:contextualSpacing/>
        <w:ind w:firstLine="708"/>
        <w:jc w:val="both"/>
        <w:spacing w:before="0" w:after="0"/>
        <w:rPr>
          <w:rFonts w:eastAsia="Times New Roman"/>
          <w:bCs/>
          <w:iCs/>
        </w:rPr>
      </w:pPr>
      <w:r>
        <w:rPr>
          <w:rFonts w:eastAsia="Times New Roman"/>
          <w:bCs/>
          <w:iCs/>
        </w:rPr>
        <w:t xml:space="preserve">Средний балл снизился на 1,9%. В 2021 году он составил 66,8%. В 2020 году этот показатель равнялся 68,7%, а в 2019 году 71, 2%, что говорит об отрицательной динамике.</w:t>
      </w:r>
      <w:r/>
    </w:p>
    <w:p>
      <w:pPr>
        <w:pStyle w:val="940"/>
        <w:contextualSpacing/>
        <w:ind w:firstLine="708"/>
        <w:jc w:val="both"/>
        <w:spacing w:before="0" w:after="0"/>
        <w:rPr>
          <w:rFonts w:eastAsia="Times New Roman"/>
          <w:bCs/>
          <w:iCs/>
        </w:rPr>
      </w:pPr>
      <w:r>
        <w:rPr>
          <w:rFonts w:eastAsia="Times New Roman"/>
          <w:bCs/>
          <w:iCs/>
        </w:rPr>
        <w:t xml:space="preserve">Количество стобалльных работ в 2021 году увеличилось в сравнении с 2020 годом (2020 г.- 0, 2021 г. – 1).</w:t>
      </w:r>
      <w:r/>
    </w:p>
    <w:p>
      <w:pPr>
        <w:pStyle w:val="940"/>
        <w:contextualSpacing/>
        <w:ind w:firstLine="708"/>
        <w:jc w:val="both"/>
        <w:spacing w:before="0" w:after="0"/>
        <w:rPr>
          <w:rFonts w:eastAsia="Times New Roman"/>
          <w:bCs/>
          <w:iCs/>
        </w:rPr>
      </w:pPr>
      <w:r>
        <w:rPr>
          <w:rFonts w:eastAsia="Times New Roman"/>
          <w:bCs/>
          <w:iCs/>
        </w:rPr>
        <w:t xml:space="preserve">По сравнению с 2020 годом количество участников, набравших от 81 до 99 баллов, увеличилось до 31,3%, в 2020 году этот показатель составлял 30,3%, однако по сравнению с показателем 2019 года количество выпускников этой группы значительно ниже. </w:t>
      </w:r>
      <w:r/>
    </w:p>
    <w:p>
      <w:pPr>
        <w:pStyle w:val="940"/>
        <w:contextualSpacing/>
        <w:jc w:val="both"/>
        <w:spacing w:before="0" w:after="0"/>
        <w:rPr>
          <w:rFonts w:eastAsia="Times New Roman"/>
          <w:bCs/>
          <w:iCs/>
        </w:rPr>
      </w:pPr>
      <w:r>
        <w:rPr>
          <w:rFonts w:eastAsia="Times New Roman"/>
          <w:bCs/>
          <w:iCs/>
        </w:rPr>
        <w:t xml:space="preserve">1,1% выпускников не смогли преодолеть минимальный порог баллов. Этот показатель колеблется в пределах 1%, поэтому нельзя говорить о существенном увеличении и снижении: 2020 год – 0,9%, 2019 год – 1,3%.</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contextualSpacing/>
        <w:ind w:firstLine="708"/>
        <w:jc w:val="both"/>
        <w:spacing w:before="0" w:after="0"/>
        <w:rPr>
          <w:rFonts w:eastAsia="Times New Roman"/>
          <w:bCs/>
          <w:iCs/>
        </w:rPr>
      </w:pPr>
      <w:r>
        <w:rPr>
          <w:rFonts w:eastAsia="Times New Roman"/>
          <w:bCs/>
          <w:iCs/>
        </w:rPr>
        <w:t xml:space="preserve">Мероприятия, предложенные для включения в дорожную карту в 2019 году и проведенные в 2019 – 2021 гг. не оказали влияния на уровень подготовки выпускников и на динамику результатов ЕГЭ.</w:t>
      </w:r>
      <w:r/>
    </w:p>
    <w:p>
      <w:pPr>
        <w:pStyle w:val="940"/>
        <w:ind w:firstLine="708"/>
        <w:jc w:val="both"/>
        <w:rPr>
          <w:rFonts w:eastAsia="Times New Roman"/>
          <w:bCs/>
          <w:i/>
          <w:iCs/>
        </w:rPr>
      </w:pPr>
      <w:r>
        <w:rPr>
          <w:rFonts w:eastAsia="Times New Roman"/>
          <w:bCs/>
          <w:i/>
          <w:iCs/>
        </w:rPr>
        <w:t xml:space="preserve">Прочие выводы</w:t>
      </w:r>
      <w:r/>
    </w:p>
    <w:p>
      <w:pPr>
        <w:pStyle w:val="940"/>
        <w:contextualSpacing/>
        <w:ind w:firstLine="708"/>
        <w:jc w:val="both"/>
        <w:spacing w:before="0" w:after="0"/>
        <w:rPr>
          <w:rFonts w:eastAsia="Times New Roman"/>
          <w:bCs/>
          <w:iCs/>
        </w:rPr>
      </w:pPr>
      <w:r>
        <w:rPr>
          <w:rFonts w:eastAsia="Times New Roman"/>
          <w:bCs/>
          <w:iCs/>
        </w:rPr>
        <w:t xml:space="preserve">Подготовка учащихся к ЕГЭ по английскому языку не должна сводиться к натаскиванию на выполнение заданий базового и повышенного уровня и использованию домашних заготовок и клише при в</w:t>
      </w:r>
      <w:r>
        <w:rPr>
          <w:rFonts w:eastAsia="Times New Roman"/>
          <w:bCs/>
          <w:iCs/>
        </w:rPr>
        <w:t xml:space="preserve">ыполнении заданий с развернутым ответом базового и высокого уровня. Работа по подготовке к экзамену должна заключатся в повышении общего уровня владения иностранным языком и приближении его к заявленному уровню В2 в соответствии с Европейскими стандартами.</w:t>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contextualSpacing/>
        <w:spacing w:before="0" w:after="0"/>
        <w:rPr>
          <w:rFonts w:eastAsia="Times New Roman"/>
          <w:b/>
          <w:bCs/>
          <w:iCs/>
          <w:sz w:val="28"/>
          <w:szCs w:val="28"/>
          <w:lang w:val="en-US"/>
        </w:rPr>
      </w:pPr>
      <w:r>
        <w:rPr>
          <w:rFonts w:eastAsia="Times New Roman"/>
          <w:b/>
          <w:bCs/>
          <w:iCs/>
          <w:sz w:val="28"/>
          <w:szCs w:val="28"/>
          <w:lang w:val="en-US"/>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t xml:space="preserve">Раздел 4. РЕКОМЕНДАЦИИ ДЛЯ СИСТЕМЫ ОБРАЗОВАНИЯ СУБЪЕКТА РОССИЙСКОЙ ФЕДЕРАЦИИ</w:t>
      </w:r>
      <w:r/>
    </w:p>
    <w:p>
      <w:pPr>
        <w:pStyle w:val="940"/>
        <w:jc w:val="both"/>
        <w:keepLines/>
        <w:keepNext/>
        <w:spacing w:before="200" w:after="0"/>
      </w:pPr>
      <w:r>
        <w:rPr>
          <w:rFonts w:eastAsia="SimSun;宋体"/>
          <w:b/>
          <w:bCs/>
          <w:sz w:val="28"/>
        </w:rPr>
        <w:t xml:space="preserve">4.1.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ind w:left="567" w:firstLine="0"/>
        <w:rPr>
          <w:rFonts w:eastAsia="SimSun;宋体"/>
          <w:sz w:val="28"/>
        </w:rPr>
      </w:pPr>
      <w:r>
        <w:rPr>
          <w:rFonts w:eastAsia="SimSun;宋体"/>
          <w:sz w:val="28"/>
        </w:rPr>
      </w:r>
      <w:r/>
    </w:p>
    <w:p>
      <w:pPr>
        <w:pStyle w:val="940"/>
        <w:ind w:left="567" w:firstLine="0"/>
        <w:jc w:val="both"/>
      </w:pPr>
      <w:r>
        <w:rPr>
          <w:rFonts w:eastAsia="SimSun;宋体"/>
          <w:b/>
          <w:sz w:val="28"/>
        </w:rPr>
        <w:t xml:space="preserve">4.1.1.</w:t>
      </w:r>
      <w:r>
        <w:rPr>
          <w:rFonts w:eastAsia="SimSun;宋体"/>
          <w:sz w:val="28"/>
        </w:rPr>
        <w:t xml:space="preserve"> </w:t>
      </w:r>
      <w:r>
        <w:rPr>
          <w:rFonts w:eastAsia="SimSun;宋体"/>
          <w:sz w:val="28"/>
          <w:lang w:val="en-US"/>
        </w:rPr>
        <w:t xml:space="preserve">по совершенствованию преподавания учебного предмета всем обучающимся</w:t>
      </w:r>
      <w:r/>
    </w:p>
    <w:p>
      <w:pPr>
        <w:pStyle w:val="940"/>
        <w:jc w:val="both"/>
        <w:rPr>
          <w:rFonts w:eastAsia="SimSun;宋体"/>
        </w:rPr>
      </w:pPr>
      <w:r>
        <w:rPr>
          <w:rFonts w:eastAsia="SimSun;宋体"/>
        </w:rPr>
      </w:r>
      <w:r/>
    </w:p>
    <w:p>
      <w:pPr>
        <w:pStyle w:val="940"/>
        <w:ind w:firstLine="567"/>
        <w:jc w:val="both"/>
        <w:rPr>
          <w:rFonts w:eastAsia="SimSun;宋体"/>
          <w:lang w:val="en-US"/>
        </w:rPr>
      </w:pPr>
      <w:r>
        <w:rPr>
          <w:rFonts w:eastAsia="SimSun;宋体"/>
          <w:lang w:val="en-US"/>
        </w:rPr>
        <w:t xml:space="preserve">Подводя итоги выполнению заданий КИМ по английскому языку», представляется необходимым развивать:</w:t>
      </w:r>
      <w:r/>
    </w:p>
    <w:p>
      <w:pPr>
        <w:pStyle w:val="940"/>
        <w:ind w:firstLine="567"/>
        <w:jc w:val="both"/>
      </w:pPr>
      <w:r>
        <w:rPr>
          <w:rFonts w:eastAsia="SimSun;宋体"/>
          <w:lang w:val="en-US"/>
        </w:rPr>
        <w:t xml:space="preserve">•</w:t>
      </w:r>
      <w:r>
        <w:rPr>
          <w:rFonts w:eastAsia="Times New Roman"/>
          <w:lang w:val="en-US"/>
        </w:rPr>
        <w:t xml:space="preserve"> </w:t>
      </w:r>
      <w:r>
        <w:rPr>
          <w:rFonts w:eastAsia="SimSun;宋体"/>
          <w:lang w:val="en-US"/>
        </w:rPr>
        <w:t xml:space="preserve">личностные знания и умения: эрудицию, внимательность, ответственность и др.;</w:t>
      </w:r>
      <w:r/>
    </w:p>
    <w:p>
      <w:pPr>
        <w:pStyle w:val="940"/>
        <w:ind w:firstLine="567"/>
        <w:jc w:val="both"/>
      </w:pPr>
      <w:r>
        <w:rPr>
          <w:rFonts w:eastAsia="SimSun;宋体"/>
          <w:lang w:val="en-US"/>
        </w:rPr>
        <w:t xml:space="preserve">•</w:t>
      </w:r>
      <w:r>
        <w:rPr>
          <w:rFonts w:eastAsia="Times New Roman"/>
          <w:lang w:val="en-US"/>
        </w:rPr>
        <w:t xml:space="preserve"> </w:t>
      </w:r>
      <w:r>
        <w:rPr>
          <w:rFonts w:eastAsia="SimSun;宋体"/>
          <w:lang w:val="en-US"/>
        </w:rPr>
        <w:t xml:space="preserve">метапредм</w:t>
      </w:r>
      <w:r>
        <w:rPr>
          <w:rFonts w:eastAsia="SimSun;宋体"/>
          <w:lang w:val="en-US"/>
        </w:rPr>
        <w:t xml:space="preserve">етные умения и навыки: понять смысл задания, анализировать предлагаемые варианты ответа, осуществлять самоконтроль и самокоррекцию своего ответа; планировать свое письменное высказывание, реализовать его без нарушений логики, правильно строить стратегии пи</w:t>
      </w:r>
      <w:r>
        <w:rPr>
          <w:rFonts w:eastAsia="SimSun;宋体"/>
          <w:lang w:val="en-US"/>
        </w:rPr>
        <w:t xml:space="preserve">сьменного высказывания с элементами рассуждения, такими как: правильно формулировать проблему высказывания, предлагать свою точку зрения, аргументировать ее, делать выводы, обобщая все вышесказанное, осуществлять самоконтроль и самокоррекцию своего ответа;</w:t>
      </w:r>
      <w:r/>
    </w:p>
    <w:p>
      <w:pPr>
        <w:pStyle w:val="940"/>
        <w:ind w:firstLine="567"/>
        <w:jc w:val="both"/>
        <w:rPr>
          <w:rFonts w:eastAsia="SimSun;宋体"/>
        </w:rPr>
      </w:pPr>
      <w:r>
        <w:rPr>
          <w:rFonts w:eastAsia="SimSun;宋体"/>
          <w:lang w:val="en-US"/>
        </w:rPr>
        <w:t xml:space="preserve">•</w:t>
      </w:r>
      <w:r>
        <w:rPr>
          <w:rFonts w:eastAsia="Times New Roman"/>
          <w:lang w:val="en-US"/>
        </w:rPr>
        <w:t xml:space="preserve"> </w:t>
      </w:r>
      <w:r>
        <w:rPr>
          <w:rFonts w:eastAsia="SimSun;宋体"/>
          <w:lang w:val="en-US"/>
        </w:rPr>
        <w:t xml:space="preserve">предметные умения и навыки: развивать лексический запас; правильно использо</w:t>
      </w:r>
      <w:r>
        <w:rPr>
          <w:rFonts w:eastAsia="SimSun;宋体"/>
          <w:lang w:val="en-US"/>
        </w:rPr>
        <w:t xml:space="preserve">вать слова и словосочетания в контексте, формы неправильных глаголов, причастия I и II; употреблять времена, страдательный залог и т.д.; использовать компенсаторные навыки и умения в случае дефицита грамматических или лексических средств оформления текста.</w:t>
      </w:r>
      <w:r/>
    </w:p>
    <w:p>
      <w:pPr>
        <w:pStyle w:val="940"/>
        <w:ind w:firstLine="567"/>
        <w:jc w:val="both"/>
        <w:rPr>
          <w:rFonts w:eastAsia="SimSun;宋体"/>
        </w:rPr>
      </w:pPr>
      <w:r>
        <w:rPr>
          <w:rFonts w:eastAsia="SimSun;宋体"/>
        </w:rPr>
      </w:r>
      <w:r/>
    </w:p>
    <w:p>
      <w:pPr>
        <w:pStyle w:val="940"/>
        <w:ind w:left="567" w:firstLine="0"/>
        <w:jc w:val="both"/>
      </w:pPr>
      <w:r>
        <w:rPr>
          <w:rFonts w:eastAsia="SimSun;宋体"/>
          <w:b/>
          <w:sz w:val="28"/>
        </w:rPr>
        <w:t xml:space="preserve">4.1.2</w:t>
      </w:r>
      <w:r>
        <w:rPr>
          <w:rFonts w:eastAsia="SimSun;宋体"/>
          <w:sz w:val="28"/>
        </w:rPr>
        <w:t xml:space="preserve">. </w:t>
      </w: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rPr>
          <w:rFonts w:eastAsia="SimSun;宋体"/>
        </w:rPr>
      </w:pPr>
      <w:r>
        <w:rPr>
          <w:rFonts w:eastAsia="SimSun;宋体"/>
        </w:rPr>
      </w:r>
      <w:r/>
    </w:p>
    <w:p>
      <w:pPr>
        <w:pStyle w:val="940"/>
        <w:ind w:firstLine="567"/>
        <w:jc w:val="both"/>
        <w:rPr>
          <w:rFonts w:eastAsia="SimSun;宋体"/>
          <w:lang w:val="en-US"/>
        </w:rPr>
      </w:pPr>
      <w:r>
        <w:rPr>
          <w:rFonts w:eastAsia="SimSun;宋体"/>
          <w:lang w:val="en-US"/>
        </w:rPr>
        <w:t xml:space="preserve">При организации дифференцированного обучения школьников с разными уровнями предметной подготовки и при подготовке учащихся к выполнению КИМ по анг</w:t>
      </w:r>
      <w:r>
        <w:rPr>
          <w:rFonts w:eastAsia="SimSun;宋体"/>
          <w:lang w:val="en-US"/>
        </w:rPr>
        <w:t xml:space="preserve">лийскому языку следует обратить особое внимание на формирование необходимых лексических и грамматических навыков, формирование навыков аудирования, чтения текста, проникновение в смысл задания, умения дать полный и точный ответ на вопросы и запросить инфор</w:t>
      </w:r>
      <w:r>
        <w:rPr>
          <w:rFonts w:eastAsia="SimSun;宋体"/>
          <w:lang w:val="en-US"/>
        </w:rPr>
        <w:t xml:space="preserve">мацию. Все эти умения являются не только предметными, но и метапредметными, так как требуют навыков анализа, самоконтроля, самокоррекции, что невозможно развить без тщательного анализа формулировки задания и соблюдения требований, которые даны в критериях.</w:t>
      </w:r>
      <w:r/>
    </w:p>
    <w:p>
      <w:pPr>
        <w:pStyle w:val="940"/>
        <w:jc w:val="both"/>
        <w:keepLines/>
        <w:keepNext/>
        <w:spacing w:before="200" w:after="0"/>
      </w:pPr>
      <w:r>
        <w:rPr>
          <w:rFonts w:eastAsia="SimSun;宋体"/>
          <w:b/>
          <w:bCs/>
          <w:sz w:val="28"/>
        </w:rPr>
        <w:t xml:space="preserve">4.2. </w:t>
      </w: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keepLines/>
        <w:keepNext/>
        <w:rPr>
          <w:rFonts w:eastAsia="SimSun;宋体"/>
          <w:bCs/>
        </w:rPr>
      </w:pPr>
      <w:r>
        <w:rPr>
          <w:rFonts w:eastAsia="SimSun;宋体"/>
          <w:bCs/>
        </w:rPr>
      </w:r>
      <w:r/>
    </w:p>
    <w:p>
      <w:pPr>
        <w:pStyle w:val="940"/>
        <w:ind w:firstLine="708"/>
        <w:jc w:val="both"/>
        <w:keepLines/>
        <w:keepNext/>
        <w:rPr>
          <w:rFonts w:eastAsia="SimSun;宋体"/>
          <w:bCs/>
          <w:lang w:val="en-US"/>
        </w:rPr>
      </w:pPr>
      <w:r>
        <w:rPr>
          <w:rFonts w:eastAsia="SimSun;宋体"/>
          <w:bCs/>
          <w:lang w:val="en-US"/>
        </w:rPr>
        <w:t xml:space="preserve">На методических объединениях учителей предметников необходимо обсуждать трудности, возникающие у</w:t>
      </w:r>
      <w:r>
        <w:rPr>
          <w:rFonts w:eastAsia="SimSun;宋体"/>
          <w:bCs/>
          <w:lang w:val="en-US"/>
        </w:rPr>
        <w:t xml:space="preserve"> школьников при выполнении заданий тестовой части и части с развернутыми ответами; организовывать курсы повышения квалификации, направленные на развитие компетенций необходимых для обучения школьников выполнению заданий с развернутым ответом (особенно 40).</w:t>
      </w:r>
      <w:r/>
    </w:p>
    <w:p>
      <w:pPr>
        <w:pStyle w:val="940"/>
        <w:jc w:val="both"/>
        <w:rPr>
          <w:rFonts w:eastAsia="SimSun;宋体"/>
          <w:b/>
          <w:bCs/>
          <w:sz w:val="28"/>
        </w:rPr>
      </w:pPr>
      <w:r>
        <w:rPr>
          <w:rFonts w:eastAsia="SimSun;宋体"/>
          <w:b/>
          <w:bCs/>
          <w:sz w:val="28"/>
        </w:rPr>
      </w:r>
      <w:r/>
    </w:p>
    <w:p>
      <w:pPr>
        <w:pStyle w:val="940"/>
        <w:jc w:val="both"/>
        <w:rPr>
          <w:rFonts w:eastAsia="SimSun;宋体"/>
          <w:b/>
          <w:bCs/>
          <w:sz w:val="28"/>
        </w:rPr>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rPr>
          <w:rFonts w:eastAsia="SimSun;宋体"/>
          <w:b/>
          <w:bCs/>
          <w:sz w:val="28"/>
        </w:rPr>
      </w:pPr>
      <w:r>
        <w:rPr>
          <w:rFonts w:eastAsia="SimSun;宋体"/>
          <w:b/>
          <w:bCs/>
          <w:sz w:val="28"/>
        </w:rPr>
      </w:r>
      <w:r/>
    </w:p>
    <w:p>
      <w:pPr>
        <w:pStyle w:val="940"/>
        <w:jc w:val="both"/>
      </w:pPr>
      <w:r/>
      <w:hyperlink r:id="rId36"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rPr>
      </w:pPr>
      <w:r>
        <w:rPr>
          <w:rFonts w:eastAsia="SimSun;宋体"/>
          <w:b/>
          <w:bCs/>
          <w:sz w:val="28"/>
          <w:szCs w:val="28"/>
        </w:rPr>
      </w:r>
      <w:r/>
    </w:p>
    <w:p>
      <w:pPr>
        <w:pStyle w:val="940"/>
        <w:jc w:val="center"/>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jc w:val="center"/>
        <w:rPr>
          <w:rFonts w:eastAsia="SimSun;宋体"/>
          <w:b/>
          <w:bCs/>
          <w:sz w:val="28"/>
          <w:szCs w:val="28"/>
          <w:lang w:val="en-US"/>
        </w:rPr>
      </w:pPr>
      <w:r>
        <w:rPr>
          <w:rFonts w:eastAsia="SimSun;宋体"/>
          <w:b/>
          <w:bCs/>
          <w:sz w:val="28"/>
          <w:szCs w:val="28"/>
          <w:lang w:val="en-US"/>
        </w:rPr>
      </w:r>
      <w:r/>
    </w:p>
    <w:p>
      <w:pPr>
        <w:pStyle w:val="940"/>
        <w:jc w:val="center"/>
      </w:pPr>
      <w:r>
        <w:rPr>
          <w:b/>
          <w:sz w:val="28"/>
          <w:szCs w:val="28"/>
        </w:rPr>
        <w:t xml:space="preserve">«Иностранные языки (английский язык)» (устная часть)</w:t>
      </w:r>
      <w:r/>
    </w:p>
    <w:p>
      <w:pPr>
        <w:pStyle w:val="940"/>
        <w:numPr>
          <w:ilvl w:val="0"/>
          <w:numId w:val="21"/>
        </w:numPr>
        <w:ind w:left="0" w:firstLine="0"/>
        <w:jc w:val="both"/>
        <w:keepLines/>
        <w:keepNext/>
        <w:spacing w:before="200" w:after="0"/>
        <w:rPr>
          <w:rFonts w:eastAsia="SimSun;宋体"/>
          <w:b/>
          <w:bCs/>
          <w:vanish/>
          <w:sz w:val="28"/>
          <w:szCs w:val="28"/>
        </w:rPr>
      </w:pPr>
      <w:r>
        <w:rPr>
          <w:rFonts w:eastAsia="SimSun;宋体"/>
          <w:b/>
          <w:bCs/>
          <w:vanish/>
          <w:sz w:val="28"/>
          <w:szCs w:val="28"/>
        </w:rPr>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940"/>
        <w:contextualSpacing/>
        <w:jc w:val="both"/>
        <w:spacing w:before="0" w:after="0"/>
        <w:rPr>
          <w:iCs/>
        </w:rPr>
      </w:pPr>
      <w:r>
        <w:rPr>
          <w:iCs/>
        </w:rPr>
      </w:r>
      <w:r/>
    </w:p>
    <w:p>
      <w:pPr>
        <w:pStyle w:val="940"/>
        <w:contextualSpacing/>
        <w:ind w:firstLine="708"/>
        <w:jc w:val="both"/>
        <w:spacing w:before="0" w:after="0"/>
        <w:rPr>
          <w:iCs/>
        </w:rPr>
      </w:pPr>
      <w:r>
        <w:rPr>
          <w:iCs/>
        </w:rPr>
        <w:t xml:space="preserve">В 2021 году в КИМ ЕГЭ по английскому языку были представлены две части: письменная и устная. КИМ устной части сост</w:t>
      </w:r>
      <w:r>
        <w:rPr>
          <w:iCs/>
        </w:rPr>
        <w:t xml:space="preserve">оял из 4-х заданий: «Чтение вслух фрагмента научно-популярного стилистически нейтрального текста», «Условный диалог-расспрос с опорой на вербальную ситуацию и фотографию», «Монологическое тематическое высказывание с опорой на вербальную ситуацию и фотограф</w:t>
      </w:r>
      <w:r>
        <w:rPr>
          <w:iCs/>
        </w:rPr>
        <w:t xml:space="preserve">ию», «Монологическое тематическое высказывание с элементами рассуждения и сравнения, с опорой на вербальную ситуацию и фотографию». Цель экзаменационной работы определила объекты контроля, распределенные по соответствующим разделам экзаменационной работы. </w:t>
      </w:r>
      <w:r/>
    </w:p>
    <w:p>
      <w:pPr>
        <w:pStyle w:val="940"/>
        <w:contextualSpacing/>
        <w:ind w:firstLine="708"/>
        <w:jc w:val="both"/>
        <w:spacing w:before="0" w:after="0"/>
        <w:rPr>
          <w:iCs/>
        </w:rPr>
      </w:pPr>
      <w:r>
        <w:rPr>
          <w:iCs/>
        </w:rPr>
        <w:t xml:space="preserve">По сложности все задания в устной части были разделены на два уровня: базовый (1, 2, 3 задании) и высокий (4 задание). Уровень сложности заданий определяется уровнями сложности языкового материала и проверяемых умений, а также типом задания. </w:t>
      </w:r>
      <w:r/>
    </w:p>
    <w:p>
      <w:pPr>
        <w:pStyle w:val="940"/>
        <w:contextualSpacing/>
        <w:ind w:firstLine="708"/>
        <w:jc w:val="both"/>
        <w:spacing w:before="0" w:after="0"/>
        <w:rPr>
          <w:iCs/>
        </w:rPr>
      </w:pPr>
      <w:r>
        <w:rPr>
          <w:iCs/>
        </w:rPr>
        <w:t xml:space="preserve">Описание содержательных особенностей может быть проведено только час</w:t>
      </w:r>
      <w:r>
        <w:rPr>
          <w:iCs/>
        </w:rPr>
        <w:t xml:space="preserve">тично, т.к. не был представлен вариант КИМ устной части. В задании 1 участникам экзамена был представлен информационные, стилистически-нейтральные тексты о Древнем Риме. В задании 2 участники экзамена должны были провести условный диалог-расспрос о ветерин</w:t>
      </w:r>
      <w:r>
        <w:rPr>
          <w:iCs/>
        </w:rPr>
        <w:t xml:space="preserve">арной клинике. В задании 3 участники экзамена создают монологическое высказывание с опорой на одну из трех фотографию, на всех фотографиях представлены ситуации, которые могли бы произойти в реальной жизни и привлечь внимание подростка. В задании 4 участни</w:t>
      </w:r>
      <w:r>
        <w:rPr>
          <w:iCs/>
        </w:rPr>
        <w:t xml:space="preserve">кам экзамена предлагают провести сопоставление и сравнение двух фотографий, связанных с определенной темой – способами получения новостей. Предполагается, что выявленные сходства и различия должны быть связаны с данной темой, объединяющей эти две картинки.</w:t>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numPr>
          <w:ilvl w:val="2"/>
          <w:numId w:val="68"/>
        </w:numPr>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jc w:val="right"/>
        <w:keepNext/>
        <w:spacing w:before="0" w:after="200"/>
        <w:rPr>
          <w:bCs/>
          <w:i/>
          <w:sz w:val="18"/>
          <w:szCs w:val="18"/>
        </w:rPr>
      </w:pPr>
      <w:r>
        <w:rPr>
          <w:bCs/>
          <w:i/>
          <w:sz w:val="18"/>
          <w:szCs w:val="18"/>
        </w:rPr>
      </w:r>
      <w:r/>
    </w:p>
    <w:p>
      <w:pPr>
        <w:pStyle w:val="940"/>
        <w:jc w:val="right"/>
        <w:keepNext/>
        <w:spacing w:before="0" w:after="200"/>
        <w:rPr>
          <w:bCs/>
          <w:i/>
          <w:sz w:val="18"/>
          <w:szCs w:val="18"/>
        </w:rPr>
      </w:pPr>
      <w:r>
        <w:rPr>
          <w:bCs/>
          <w:i/>
          <w:sz w:val="18"/>
          <w:szCs w:val="18"/>
        </w:rPr>
      </w:r>
      <w:r/>
    </w:p>
    <w:p>
      <w:pPr>
        <w:pStyle w:val="940"/>
        <w:jc w:val="right"/>
        <w:keepNext/>
        <w:spacing w:before="0" w:after="200"/>
        <w:rPr>
          <w:bCs/>
          <w:i/>
          <w:sz w:val="18"/>
          <w:szCs w:val="18"/>
        </w:rPr>
      </w:pPr>
      <w:r>
        <w:rPr>
          <w:bCs/>
          <w:i/>
          <w:sz w:val="18"/>
          <w:szCs w:val="18"/>
        </w:rPr>
        <w:t xml:space="preserve">Таблица 2-13</w:t>
      </w:r>
      <w:r/>
    </w:p>
    <w:tbl>
      <w:tblPr>
        <w:tblW w:w="9679" w:type="dxa"/>
        <w:tblInd w:w="26" w:type="dxa"/>
        <w:tblLayout w:type="fixed"/>
        <w:tblCellMar>
          <w:left w:w="57" w:type="dxa"/>
          <w:top w:w="0" w:type="dxa"/>
          <w:right w:w="57" w:type="dxa"/>
          <w:bottom w:w="0" w:type="dxa"/>
        </w:tblCellMar>
        <w:tblLook w:val="04A0" w:firstRow="1" w:lastRow="0" w:firstColumn="1" w:lastColumn="0" w:noHBand="0" w:noVBand="1"/>
      </w:tblPr>
      <w:tblGrid>
        <w:gridCol w:w="806"/>
        <w:gridCol w:w="1376"/>
        <w:gridCol w:w="1259"/>
        <w:gridCol w:w="838"/>
        <w:gridCol w:w="1582"/>
        <w:gridCol w:w="1526"/>
        <w:gridCol w:w="820"/>
        <w:gridCol w:w="1472"/>
      </w:tblGrid>
      <w:tr>
        <w:trPr>
          <w:cantSplit/>
          <w:trHeight w:val="313"/>
          <w:tblHeader/>
        </w:trPr>
        <w:tc>
          <w:tcPr>
            <w:tcBorders>
              <w:top w:val="single" w:color="000000" w:sz="8" w:space="0"/>
              <w:left w:val="single" w:color="000000" w:sz="8" w:space="0"/>
            </w:tcBorders>
            <w:tcW w:w="806"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p>
            <w:pPr>
              <w:pStyle w:val="940"/>
              <w:jc w:val="center"/>
              <w:rPr>
                <w:bCs/>
              </w:rPr>
            </w:pPr>
            <w:r>
              <w:rPr>
                <w:bCs/>
              </w:rPr>
            </w:r>
            <w:r/>
          </w:p>
        </w:tc>
        <w:tc>
          <w:tcPr>
            <w:tcBorders>
              <w:top w:val="single" w:color="000000" w:sz="8" w:space="0"/>
              <w:left w:val="single" w:color="000000" w:sz="8" w:space="0"/>
            </w:tcBorders>
            <w:tcW w:w="1376"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259"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6238" w:type="dxa"/>
            <w:textDirection w:val="lrTb"/>
            <w:noWrap w:val="false"/>
          </w:tcPr>
          <w:p>
            <w:pPr>
              <w:pStyle w:val="940"/>
              <w:jc w:val="center"/>
            </w:pPr>
            <w:r>
              <w:t xml:space="preserve">Процент выполнения задания </w:t>
              <w:br/>
              <w:t xml:space="preserve">в субъекте Российской Федерации</w:t>
            </w:r>
            <w:r/>
          </w:p>
        </w:tc>
      </w:tr>
      <w:tr>
        <w:trPr>
          <w:cantSplit/>
          <w:trHeight w:val="635"/>
          <w:tblHeader/>
        </w:trPr>
        <w:tc>
          <w:tcPr>
            <w:tcBorders>
              <w:top w:val="single" w:color="000000" w:sz="8" w:space="0"/>
              <w:left w:val="single" w:color="000000" w:sz="8" w:space="0"/>
            </w:tcBorders>
            <w:tcW w:w="806"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376"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25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pPr>
            <w:r>
              <w:t xml:space="preserve">средний</w:t>
            </w:r>
            <w:r/>
          </w:p>
        </w:tc>
        <w:tc>
          <w:tcPr>
            <w:tcBorders>
              <w:top w:val="single" w:color="000000" w:sz="8" w:space="0"/>
              <w:left w:val="single" w:color="000000" w:sz="8" w:space="0"/>
              <w:bottom w:val="single" w:color="000000" w:sz="8" w:space="0"/>
            </w:tcBorders>
            <w:tcW w:w="1582" w:type="dxa"/>
            <w:textDirection w:val="lrTb"/>
            <w:noWrap w:val="false"/>
          </w:tcPr>
          <w:p>
            <w:pPr>
              <w:pStyle w:val="940"/>
              <w:jc w:val="center"/>
              <w:rPr>
                <w:bCs/>
              </w:rPr>
            </w:pPr>
            <w:r>
              <w:rPr>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bCs/>
              </w:rPr>
            </w:pPr>
            <w:r>
              <w:rPr>
                <w:bCs/>
              </w:rPr>
              <w:t xml:space="preserve">в группе от минимального до 60 т.б.</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bCs/>
              </w:rPr>
            </w:pPr>
            <w:r>
              <w:rPr>
                <w:bCs/>
              </w:rPr>
              <w:t xml:space="preserve">в группе от 61 до 80 т.б.</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bCs/>
              </w:rPr>
            </w:pPr>
            <w:r>
              <w:rPr>
                <w:bCs/>
              </w:rPr>
              <w:t xml:space="preserve">в группе от 81 до 100 т.б.</w:t>
            </w:r>
            <w:r/>
          </w:p>
        </w:tc>
      </w:tr>
      <w:tr>
        <w:trPr>
          <w:cantSplit/>
          <w:trHeight w:val="423"/>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tabs>
                <w:tab w:val="clear" w:pos="708" w:leader="none"/>
                <w:tab w:val="left" w:pos="718" w:leader="none"/>
              </w:tabs>
            </w:pPr>
            <w:r>
              <w:t xml:space="preserve">1</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tabs>
                <w:tab w:val="clear" w:pos="708" w:leader="none"/>
                <w:tab w:val="left" w:pos="718" w:leader="none"/>
              </w:tabs>
            </w:pPr>
            <w:r>
              <w:t xml:space="preserve">Чтение вслух</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tabs>
                <w:tab w:val="clear" w:pos="708" w:leader="none"/>
                <w:tab w:val="left" w:pos="718" w:leader="none"/>
              </w:tabs>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65,65</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30,71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72,41</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95,00</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tabs>
                <w:tab w:val="clear" w:pos="708" w:leader="none"/>
                <w:tab w:val="left" w:pos="718" w:leader="none"/>
              </w:tabs>
            </w:pPr>
            <w:r>
              <w:t xml:space="preserve">2</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tabs>
                <w:tab w:val="clear" w:pos="708" w:leader="none"/>
                <w:tab w:val="left" w:pos="718" w:leader="none"/>
              </w:tabs>
            </w:pPr>
            <w:r>
              <w:t xml:space="preserve">Условный диалог-расспрос</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tabs>
                <w:tab w:val="clear" w:pos="708" w:leader="none"/>
                <w:tab w:val="left" w:pos="718" w:leader="none"/>
              </w:tabs>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71,68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20,00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48,00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76,55</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91,43</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3 (к1)</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(описание выбранной фотографии) (Решение коммуникативной задачи)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82,32</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22,22</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68,81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86,67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92,62</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3 (к2)</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(описание выбранной фотографии) (Организация высказывания)</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73,48</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16,67</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55,71</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76,90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88,93</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3 (к3)</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(описание выбранной фотографии) (Языковое оформление высказывания)</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Базовый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58,41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32,50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83,93</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4(к1)</w:t>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с элементами рассуждения (сравнение двух фотографий) (Решение коммуникативной задачи)</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58,96</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35,00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62,99</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80,00</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4(к2)</w:t>
            </w:r>
            <w:r/>
          </w:p>
          <w:p>
            <w:pPr>
              <w:pStyle w:val="940"/>
              <w:jc w:val="center"/>
              <w:rPr>
                <w:color w:val="000000"/>
              </w:rPr>
            </w:pPr>
            <w:r>
              <w:rPr>
                <w:color w:val="000000"/>
              </w:rPr>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с элементами рассуждения (сравнение двух фотографий) (Организация высказывания)</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61,21</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36,07</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65,17</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83,57</w:t>
            </w:r>
            <w:r/>
          </w:p>
        </w:tc>
      </w:tr>
      <w:tr>
        <w:trPr>
          <w:cantSplit/>
          <w:trHeight w:val="309"/>
        </w:trPr>
        <w:tc>
          <w:tcPr>
            <w:tcBorders>
              <w:top w:val="single" w:color="000000" w:sz="8" w:space="0"/>
              <w:left w:val="single" w:color="000000" w:sz="8" w:space="0"/>
              <w:bottom w:val="single" w:color="000000" w:sz="8" w:space="0"/>
            </w:tcBorders>
            <w:tcW w:w="806" w:type="dxa"/>
            <w:vAlign w:val="center"/>
            <w:textDirection w:val="lrTb"/>
            <w:noWrap w:val="false"/>
          </w:tcPr>
          <w:p>
            <w:pPr>
              <w:pStyle w:val="940"/>
              <w:jc w:val="center"/>
              <w:rPr>
                <w:color w:val="000000"/>
              </w:rPr>
            </w:pPr>
            <w:r>
              <w:rPr>
                <w:color w:val="000000"/>
              </w:rPr>
              <w:t xml:space="preserve">4(к3)</w:t>
            </w:r>
            <w:r/>
          </w:p>
          <w:p>
            <w:pPr>
              <w:pStyle w:val="940"/>
              <w:jc w:val="center"/>
              <w:rPr>
                <w:color w:val="000000"/>
              </w:rPr>
            </w:pPr>
            <w:r>
              <w:rPr>
                <w:color w:val="000000"/>
              </w:rPr>
            </w:r>
            <w:r/>
          </w:p>
        </w:tc>
        <w:tc>
          <w:tcPr>
            <w:tcBorders>
              <w:top w:val="single" w:color="000000" w:sz="8" w:space="0"/>
              <w:left w:val="single" w:color="000000" w:sz="8" w:space="0"/>
              <w:bottom w:val="single" w:color="000000" w:sz="8" w:space="0"/>
            </w:tcBorders>
            <w:tcW w:w="1376" w:type="dxa"/>
            <w:vAlign w:val="center"/>
            <w:textDirection w:val="lrTb"/>
            <w:noWrap w:val="false"/>
          </w:tcPr>
          <w:p>
            <w:pPr>
              <w:pStyle w:val="940"/>
              <w:jc w:val="center"/>
            </w:pPr>
            <w:r>
              <w:t xml:space="preserve">Тематическое монологическое высказывание с элементами рассуждения (сравнение двух фотографий) (Языковое оформление высказывания)</w:t>
            </w:r>
            <w:r/>
          </w:p>
        </w:tc>
        <w:tc>
          <w:tcPr>
            <w:tcBorders>
              <w:top w:val="single" w:color="000000" w:sz="8" w:space="0"/>
              <w:left w:val="single" w:color="000000" w:sz="8" w:space="0"/>
              <w:bottom w:val="single" w:color="000000" w:sz="8" w:space="0"/>
            </w:tcBorders>
            <w:tcW w:w="1259" w:type="dxa"/>
            <w:vAlign w:val="center"/>
            <w:textDirection w:val="lrTb"/>
            <w:noWrap w:val="false"/>
          </w:tcPr>
          <w:p>
            <w:pPr>
              <w:pStyle w:val="940"/>
              <w:jc w:val="center"/>
            </w:pPr>
            <w:r>
              <w:t xml:space="preserve">Высокий</w:t>
            </w:r>
            <w:r/>
          </w:p>
        </w:tc>
        <w:tc>
          <w:tcPr>
            <w:tcBorders>
              <w:top w:val="single" w:color="000000" w:sz="8" w:space="0"/>
              <w:left w:val="single" w:color="000000" w:sz="8" w:space="0"/>
              <w:bottom w:val="single" w:color="000000" w:sz="8" w:space="0"/>
            </w:tcBorders>
            <w:tcW w:w="838" w:type="dxa"/>
            <w:vAlign w:val="center"/>
            <w:textDirection w:val="lrTb"/>
            <w:noWrap w:val="false"/>
          </w:tcPr>
          <w:p>
            <w:pPr>
              <w:pStyle w:val="940"/>
              <w:jc w:val="center"/>
              <w:rPr>
                <w:color w:val="000000"/>
              </w:rPr>
            </w:pPr>
            <w:r>
              <w:rPr>
                <w:color w:val="000000"/>
              </w:rPr>
              <w:t xml:space="preserve">37,85</w:t>
            </w:r>
            <w:r/>
          </w:p>
        </w:tc>
        <w:tc>
          <w:tcPr>
            <w:tcBorders>
              <w:top w:val="single" w:color="000000" w:sz="8" w:space="0"/>
              <w:left w:val="single" w:color="000000" w:sz="8" w:space="0"/>
              <w:bottom w:val="single" w:color="000000" w:sz="8" w:space="0"/>
            </w:tcBorders>
            <w:tcW w:w="1582" w:type="dxa"/>
            <w:vAlign w:val="center"/>
            <w:textDirection w:val="lrTb"/>
            <w:noWrap w:val="false"/>
          </w:tcPr>
          <w:p>
            <w:pPr>
              <w:pStyle w:val="940"/>
              <w:jc w:val="center"/>
              <w:rPr>
                <w:color w:val="000000"/>
              </w:rPr>
            </w:pPr>
            <w:r>
              <w:rPr>
                <w:color w:val="000000"/>
              </w:rPr>
              <w:t xml:space="preserve">0,00</w:t>
            </w:r>
            <w:r/>
          </w:p>
        </w:tc>
        <w:tc>
          <w:tcPr>
            <w:tcBorders>
              <w:top w:val="single" w:color="000000" w:sz="8" w:space="0"/>
              <w:left w:val="single" w:color="000000" w:sz="8" w:space="0"/>
              <w:bottom w:val="single" w:color="000000" w:sz="8" w:space="0"/>
            </w:tcBorders>
            <w:tcW w:w="1526" w:type="dxa"/>
            <w:vAlign w:val="center"/>
            <w:textDirection w:val="lrTb"/>
            <w:noWrap w:val="false"/>
          </w:tcPr>
          <w:p>
            <w:pPr>
              <w:pStyle w:val="940"/>
              <w:jc w:val="center"/>
              <w:rPr>
                <w:color w:val="000000"/>
              </w:rPr>
            </w:pPr>
            <w:r>
              <w:rPr>
                <w:color w:val="000000"/>
              </w:rPr>
              <w:t xml:space="preserve">10,00</w:t>
            </w:r>
            <w:r/>
          </w:p>
        </w:tc>
        <w:tc>
          <w:tcPr>
            <w:tcBorders>
              <w:top w:val="single" w:color="000000" w:sz="8" w:space="0"/>
              <w:left w:val="single" w:color="000000" w:sz="8" w:space="0"/>
              <w:bottom w:val="single" w:color="000000" w:sz="8" w:space="0"/>
            </w:tcBorders>
            <w:tcW w:w="820" w:type="dxa"/>
            <w:vAlign w:val="center"/>
            <w:textDirection w:val="lrTb"/>
            <w:noWrap w:val="false"/>
          </w:tcPr>
          <w:p>
            <w:pPr>
              <w:pStyle w:val="940"/>
              <w:jc w:val="center"/>
              <w:rPr>
                <w:color w:val="000000"/>
              </w:rPr>
            </w:pPr>
            <w:r>
              <w:rPr>
                <w:color w:val="000000"/>
              </w:rPr>
              <w:t xml:space="preserve">40,00</w:t>
            </w:r>
            <w:r/>
          </w:p>
        </w:tc>
        <w:tc>
          <w:tcPr>
            <w:tcBorders>
              <w:top w:val="single" w:color="000000" w:sz="8" w:space="0"/>
              <w:left w:val="single" w:color="000000" w:sz="8" w:space="0"/>
              <w:bottom w:val="single" w:color="000000" w:sz="8" w:space="0"/>
              <w:right w:val="single" w:color="000000" w:sz="8" w:space="0"/>
            </w:tcBorders>
            <w:tcW w:w="1472" w:type="dxa"/>
            <w:vAlign w:val="center"/>
            <w:textDirection w:val="lrTb"/>
            <w:noWrap w:val="false"/>
          </w:tcPr>
          <w:p>
            <w:pPr>
              <w:pStyle w:val="940"/>
              <w:jc w:val="center"/>
              <w:rPr>
                <w:color w:val="000000"/>
              </w:rPr>
            </w:pPr>
            <w:r>
              <w:rPr>
                <w:color w:val="000000"/>
              </w:rPr>
              <w:t xml:space="preserve">64,29</w:t>
            </w:r>
            <w:r/>
          </w:p>
        </w:tc>
      </w:tr>
    </w:tbl>
    <w:p>
      <w:pPr>
        <w:pStyle w:val="940"/>
        <w:keepNext/>
        <w:spacing w:before="0" w:after="200"/>
        <w:rPr>
          <w:bCs/>
          <w:sz w:val="18"/>
          <w:szCs w:val="18"/>
        </w:rPr>
      </w:pPr>
      <w:r>
        <w:rPr>
          <w:bCs/>
          <w:sz w:val="18"/>
          <w:szCs w:val="18"/>
        </w:rPr>
      </w:r>
      <w:r/>
    </w:p>
    <w:p>
      <w:pPr>
        <w:pStyle w:val="940"/>
        <w:numPr>
          <w:ilvl w:val="2"/>
          <w:numId w:val="68"/>
        </w:numPr>
        <w:ind w:left="567" w:firstLine="0"/>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jc w:val="both"/>
        <w:rPr>
          <w:iCs/>
        </w:rPr>
      </w:pPr>
      <w:r>
        <w:rPr>
          <w:iCs/>
        </w:rPr>
      </w:r>
      <w:r/>
    </w:p>
    <w:p>
      <w:pPr>
        <w:pStyle w:val="940"/>
        <w:ind w:firstLine="708"/>
        <w:jc w:val="both"/>
        <w:rPr>
          <w:iCs/>
        </w:rPr>
      </w:pPr>
      <w:r>
        <w:rPr>
          <w:iCs/>
        </w:rPr>
        <w:t xml:space="preserve">Устная часть экзамена состоит из 4-х заданий, в которых объектами контроля являются навыки техники чтения, умение вести диалог-расспрос, умение создавать монологические высказывания разной направленности и уровня сложности.</w:t>
      </w:r>
      <w:r/>
    </w:p>
    <w:p>
      <w:pPr>
        <w:pStyle w:val="940"/>
        <w:ind w:firstLine="708"/>
        <w:jc w:val="both"/>
        <w:rPr>
          <w:iCs/>
        </w:rPr>
      </w:pPr>
      <w:r>
        <w:rPr>
          <w:iCs/>
        </w:rPr>
        <w:t xml:space="preserve">Фрагмент текста в КИМ 2021 </w:t>
      </w:r>
      <w:r>
        <w:rPr>
          <w:iCs/>
        </w:rPr>
        <w:t xml:space="preserve">соответствует базовому уровню, но содержит отдельные лексические единицы (Roman Empire, privileges, inhabitants, reasonably, height) которые вызвали трудности, о чём свидетельствует процент в группе не преодолевших минимальный балл (0,00%) и низкий процент</w:t>
      </w:r>
      <w:r>
        <w:rPr>
          <w:iCs/>
        </w:rPr>
        <w:t xml:space="preserve"> в группе участников от минимального балла до 60 баллов (30,71%). Самые высокие показатели выполнения были достигнуты в группе 81-100 т.б. – 95,00%. Таким образом, можно утверждать, что у участников экзамена 2021 года навык чтения сформирован недостаточно.</w:t>
      </w:r>
      <w:r/>
    </w:p>
    <w:p>
      <w:pPr>
        <w:pStyle w:val="940"/>
        <w:ind w:firstLine="708"/>
        <w:jc w:val="both"/>
        <w:rPr>
          <w:iCs/>
        </w:rPr>
      </w:pPr>
      <w:r>
        <w:rPr>
          <w:iCs/>
        </w:rPr>
        <w:t xml:space="preserve">В задании 2 экзаменуемые должны задать 5 вопросов, имея в качестве опоры вербальную ситуацию и фотогр</w:t>
      </w:r>
      <w:r>
        <w:rPr>
          <w:iCs/>
        </w:rPr>
        <w:t xml:space="preserve">афию. В КИМ ЕГЭ 2021 года задание 2 полностью соответствует базовому уровню и составлено из вербальных опор, которые часто встречаются в пособиях по подготовке к ЕГЭ по английскому языку. Наибольшую трудность вызывало словосочетание «operation hours», т.к.</w:t>
      </w:r>
      <w:r>
        <w:rPr>
          <w:iCs/>
        </w:rPr>
        <w:t xml:space="preserve"> английское слово «operation» является «ложным другом переводчика» и переводится на русский язык не только как «операция», но и как «работа, активная деятельность». Несмотря на легкость задания, участники из группы, не преодолевшей минимальный балл, показа</w:t>
      </w:r>
      <w:r>
        <w:rPr>
          <w:iCs/>
        </w:rPr>
        <w:t xml:space="preserve">ли низкие результаты, 20,00%. Такие результаты свидетельствуют о несформированности определенных грамматических навыков (порядок слов в вопросительном предложении, типы вопросов) и коммуникативных навыков (незнание вопросов – клише “Where is it located?”).</w:t>
      </w:r>
      <w:r/>
    </w:p>
    <w:p>
      <w:pPr>
        <w:pStyle w:val="940"/>
        <w:ind w:firstLine="708"/>
        <w:jc w:val="both"/>
        <w:rPr>
          <w:iCs/>
        </w:rPr>
      </w:pPr>
      <w:r>
        <w:rPr>
          <w:iCs/>
        </w:rPr>
        <w:t xml:space="preserve">В задании 3 экзаменуемые должны продемонстрировать умение создавать монологическое высказыван</w:t>
      </w:r>
      <w:r>
        <w:rPr>
          <w:iCs/>
        </w:rPr>
        <w:t xml:space="preserve">ие с опорой на вербальную ситуацию и фотографию. На фотографиях в задании 3 в КИМ ЕГЭ 2021 года даны жизненные ситуации для описания, в которых можно использовать лексику и грамматические структуры, соответствующие базовому уровню. Самые высокие результаты</w:t>
      </w:r>
      <w:r>
        <w:rPr>
          <w:iCs/>
        </w:rPr>
        <w:t xml:space="preserve"> показали участники экзамена из группы 81 – 100 т.б.: «Решение коммуникативной задачи» - 92,62%; «Организация высказывания» - 88,93%; «Языковое оформление высказывания» - 83,93%. Самые низкие результаты показали участники экзамена из группы, не преодолевше</w:t>
      </w:r>
      <w:r>
        <w:rPr>
          <w:iCs/>
        </w:rPr>
        <w:t xml:space="preserve">й минимального балла: «Решение коммуникативной задачи» - 22,22%; «Организация высказывания» - 16,67%; «Языковое оформление высказывания» - 0,00%. Низкие показатели свидетельствуют о том, что речевые и языковые навыки не сформированы даже на базовом уровне.</w:t>
      </w:r>
      <w:r/>
    </w:p>
    <w:p>
      <w:pPr>
        <w:pStyle w:val="940"/>
        <w:ind w:firstLine="708"/>
        <w:jc w:val="both"/>
        <w:rPr>
          <w:iCs/>
        </w:rPr>
      </w:pPr>
      <w:r>
        <w:rPr>
          <w:iCs/>
        </w:rPr>
        <w:t xml:space="preserve">Задание 4 яв</w:t>
      </w:r>
      <w:r>
        <w:rPr>
          <w:iCs/>
        </w:rPr>
        <w:t xml:space="preserve">ляется заданием высокого уровня сложности, в ходе выполнения которого экзаменуемы должны продемонстрировать умение создавать монологическое высказывание с элементами сопоставления и сравнения, с опорой на вербальную ситуацию и фотографии. На фотографиях в </w:t>
      </w:r>
      <w:r>
        <w:rPr>
          <w:iCs/>
        </w:rPr>
        <w:t xml:space="preserve">КИМ 2021 года представлены понятные жизненные ситуации, фотографии имеют достаточное количество сходств и отличий, которые можно определить. У участников экзамена возникали определенные трудности при выполнении пункта 2, 3 и 4. Выполняя пункты 2 и 3, участ</w:t>
      </w:r>
      <w:r>
        <w:rPr>
          <w:iCs/>
        </w:rPr>
        <w:t xml:space="preserve">ники экзамена не всегда связывали сходства и различия с темой, объединяющей эти фотографии. При выполнении пункта 4 (предпочтения) в плане высказывания, экзаменуемые часто употребляли форму I’d prefer вместо I prefer и наоборот. Самые высокие результаты у </w:t>
      </w:r>
      <w:r>
        <w:rPr>
          <w:iCs/>
        </w:rPr>
        <w:t xml:space="preserve">группы от 81 до 100 т.б, однако по критерию «Решение коммуникативной задачи» процент выполнения (80,00%) – ниже, чем в 3-м задании, что говорит о возможных проблемах, которые возникали, когда нужно было связать сходства и различия с темой фотографий. Участ</w:t>
      </w:r>
      <w:r>
        <w:rPr>
          <w:iCs/>
        </w:rPr>
        <w:t xml:space="preserve">ники экзамена из группы, не преодолевшей минимальный балл, вообще не справились с поставленной задачей ни по одному критерию оценивания (по 0,00;); в группе от 61 до 80 участники справились с заданием повышенного уровня сложности, но показатели по 4-му зад</w:t>
      </w:r>
      <w:r>
        <w:rPr>
          <w:iCs/>
        </w:rPr>
        <w:t xml:space="preserve">анию значительно ниже по сравнению с 3-им заданием. Участники группы от минимального балла до 60 баллов в целом с заданием справились, показав невысокие результаты по 3-м критериям: «Решение коммуникативной задачи» - 35,00%; «Организация высказывания» - 36</w:t>
      </w:r>
      <w:r>
        <w:rPr>
          <w:iCs/>
        </w:rPr>
        <w:t xml:space="preserve">,07%; «Языковое оформление высказывания» - 10,00%. Более низкие баллы по 4-му заданию в сравнении с 3-м заданием, несомненно, связаны с тем, что 4-е здание является заданием повышенного уровня сложности и требует высокого уровня владения английским языком.</w:t>
      </w:r>
      <w:r/>
    </w:p>
    <w:p>
      <w:pPr>
        <w:pStyle w:val="940"/>
        <w:ind w:firstLine="708"/>
        <w:jc w:val="both"/>
        <w:rPr>
          <w:i/>
          <w:iCs/>
        </w:rPr>
      </w:pPr>
      <w:r>
        <w:rPr>
          <w:i/>
          <w:iCs/>
        </w:rPr>
        <w:t xml:space="preserve">Соотнесение результатов выполнения заданий с учебными программами, УМК и иными особенностями региональной/муниципальной систем образования</w:t>
      </w:r>
      <w:r/>
    </w:p>
    <w:p>
      <w:pPr>
        <w:pStyle w:val="940"/>
        <w:ind w:firstLine="708"/>
        <w:jc w:val="both"/>
        <w:rPr>
          <w:iCs/>
        </w:rPr>
      </w:pPr>
      <w:r>
        <w:rPr>
          <w:iCs/>
        </w:rPr>
        <w:t xml:space="preserve">В основном все общеобразовательные учреждения Астраханской области работают по следующим УМК: Афанасьева О.В., Дули Д., Михеева И.В. «Английский язык» (Spotlight) (базовый уровень) АО «Издате</w:t>
      </w:r>
      <w:r>
        <w:rPr>
          <w:iCs/>
        </w:rPr>
        <w:t xml:space="preserve">льство «Просвещение», Баранова К.М., Дули Д., Копылова В.В. и др. «Английский язык» (Starlight) (углубленный уровень) АО «Издательство «Просвещение», Вербицкая М.В. и др. «Английский язык» (Forward) (базовый уровень), ООО «Издательский центр ВЕНТАНА-ГРАФ».</w:t>
      </w:r>
      <w:r/>
    </w:p>
    <w:p>
      <w:pPr>
        <w:pStyle w:val="940"/>
        <w:ind w:firstLine="708"/>
        <w:jc w:val="both"/>
        <w:rPr>
          <w:iCs/>
        </w:rPr>
      </w:pPr>
      <w:r>
        <w:rPr>
          <w:iCs/>
        </w:rPr>
        <w:t xml:space="preserve">Проанализировав содержание и структурные компоненты действующих УМК по английскому языку на предмет</w:t>
      </w:r>
      <w:r>
        <w:rPr>
          <w:iCs/>
        </w:rPr>
        <w:t xml:space="preserve"> соответствия содержания, структурных компонентов и характера задний КИМ для проведения ЕГЭ можно сделать вывод о том, что все УМК созданы с учетом требований ФГОС, а так же в соответствии с Европейскими стандартами в области изучения иностранных языков, ч</w:t>
      </w:r>
      <w:r>
        <w:rPr>
          <w:iCs/>
        </w:rPr>
        <w:t xml:space="preserve">то является их отличительной особенностью. Во всех УМК уделяется внимание развитию видов речевой деятельности, необходимых для выполнения заданий устной части КИМ ЕГЭ (чтение, составление условного диалога-расспроса, говорение) с помощью разнообразных комм</w:t>
      </w:r>
      <w:r>
        <w:rPr>
          <w:iCs/>
        </w:rPr>
        <w:t xml:space="preserve">уникативных заданий и упражнений. Формат упражнений и заданий полностью соответствует формату заданий КИМ на ЕГЭ.  Во всех УМК имеется отдельный раздел «Подготовка к ЕГЭ», который имеет целью уделить повышенное внимание заданиям формата ЕГЭ, организовать п</w:t>
      </w:r>
      <w:r>
        <w:rPr>
          <w:iCs/>
        </w:rPr>
        <w:t xml:space="preserve">рактику их выполнения в процессе обучения в рамках изучаемых тем. В разделе «Подготовка к ЕГЭ» содержатся задания на чтение и говорение, но количество заданий ограничено, необходимо увеличить количество заданий для развития навыков устной речи. Существующа</w:t>
      </w:r>
      <w:r>
        <w:rPr>
          <w:iCs/>
        </w:rPr>
        <w:t xml:space="preserve">я структура УМК с рубрикой ЕГЭ (RNE) обеспечивает достаточную готовность учащихся к итоговой аттестации в форме ЕГЭ как итогу обучения в школе. Таким образом можно сделать вывод, что данные УМК отвечают всем современным требованиям при подготовке к ЕГЭ, но</w:t>
      </w:r>
      <w:r>
        <w:rPr>
          <w:iCs/>
        </w:rPr>
        <w:t xml:space="preserve"> учебный материал целью которого является подготовка к устной части КИМ ЕГЭ нуждается в доработке, а именно необходимо увеличить количество заданий, чтобы обеспечить целенаправленность обучения с ориентацией на достижение конкретного конечного результата. </w:t>
      </w:r>
      <w:r/>
    </w:p>
    <w:p>
      <w:pPr>
        <w:pStyle w:val="940"/>
        <w:ind w:firstLine="708"/>
        <w:jc w:val="both"/>
        <w:rPr>
          <w:iCs/>
        </w:rPr>
      </w:pPr>
      <w:r>
        <w:rPr>
          <w:iCs/>
        </w:rPr>
        <w:t xml:space="preserve">Содержательный анализ выполнения заданий КИМ показывает, что в целом обучающиеся владеют необходимыми языковыми компетенциями и достаточно сформированы коммуникативные умения в говорении. Т</w:t>
      </w:r>
      <w:r>
        <w:rPr>
          <w:iCs/>
        </w:rPr>
        <w:t xml:space="preserve">ак же возможно считать, что обучающиеся показали сформированность коммуникативных навыков Некоторые задания вызвали трудности при их решении, но они не связаны с обучением по УМК, скорее с индивидуальными особенностями подготовки к ЕГЭ отдельных педагогов.</w:t>
      </w:r>
      <w:r/>
    </w:p>
    <w:p>
      <w:pPr>
        <w:pStyle w:val="940"/>
        <w:numPr>
          <w:ilvl w:val="2"/>
          <w:numId w:val="68"/>
        </w:numPr>
        <w:ind w:left="567" w:firstLine="0"/>
        <w:keepLines/>
        <w:keepNext/>
        <w:spacing w:before="200" w:after="0"/>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ind w:firstLine="708"/>
        <w:jc w:val="both"/>
        <w:keepLines/>
        <w:keepNext/>
        <w:rPr>
          <w:i/>
        </w:rPr>
      </w:pPr>
      <w:r>
        <w:rPr>
          <w:i/>
        </w:rPr>
      </w:r>
      <w:r/>
    </w:p>
    <w:p>
      <w:pPr>
        <w:pStyle w:val="940"/>
        <w:ind w:firstLine="708"/>
        <w:jc w:val="both"/>
        <w:keepLines/>
        <w:keepNext/>
        <w:rPr>
          <w:i/>
        </w:rPr>
      </w:pPr>
      <w:r>
        <w:rPr>
          <w:i/>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rPr>
          <w:iCs/>
        </w:rPr>
      </w:pPr>
      <w:r>
        <w:rPr>
          <w:iCs/>
        </w:rPr>
        <w:t xml:space="preserve">- условный диалог-расспрос (задание 2 устной части);</w:t>
      </w:r>
      <w:r/>
    </w:p>
    <w:p>
      <w:pPr>
        <w:pStyle w:val="940"/>
        <w:ind w:firstLine="708"/>
        <w:jc w:val="both"/>
        <w:rPr>
          <w:iCs/>
        </w:rPr>
      </w:pPr>
      <w:r>
        <w:rPr>
          <w:iCs/>
        </w:rPr>
        <w:t xml:space="preserve">- тематическое монологическое высказывание (описание выбранной фотографии) (Решение коммуникативной задачи и организация текста).</w:t>
      </w:r>
      <w:r/>
    </w:p>
    <w:p>
      <w:pPr>
        <w:pStyle w:val="940"/>
        <w:ind w:firstLine="708"/>
        <w:jc w:val="both"/>
        <w:rPr>
          <w:i/>
        </w:rPr>
      </w:pPr>
      <w:r>
        <w:rPr>
          <w:i/>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pPr>
      <w:r>
        <w:t xml:space="preserve">- чтение текста вслух (задание 1);</w:t>
      </w:r>
      <w:r/>
    </w:p>
    <w:p>
      <w:pPr>
        <w:pStyle w:val="940"/>
        <w:ind w:firstLine="708"/>
      </w:pPr>
      <w:r>
        <w:t xml:space="preserve">- тематическое монологическое высказывание (описание выбранной фотографии) (языковое оформление);</w:t>
      </w:r>
      <w:r/>
    </w:p>
    <w:p>
      <w:pPr>
        <w:pStyle w:val="940"/>
        <w:ind w:firstLine="708"/>
      </w:pPr>
      <w:r>
        <w:t xml:space="preserve">- сравнение двух фотографий (решение коммуникативной задачи, организация высказывания, языковое оформление высказывания).</w:t>
      </w:r>
      <w:r/>
    </w:p>
    <w:p>
      <w:pPr>
        <w:pStyle w:val="940"/>
        <w:ind w:firstLine="708"/>
        <w:jc w:val="both"/>
        <w:rPr>
          <w:i/>
        </w:rPr>
      </w:pPr>
      <w:r>
        <w:rPr>
          <w:i/>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708"/>
        <w:jc w:val="both"/>
        <w:rPr>
          <w:iCs/>
        </w:rPr>
      </w:pPr>
      <w:r>
        <w:rPr>
          <w:iCs/>
        </w:rPr>
        <w:t xml:space="preserve">По сравнению с предыдущими годами выпускники региона менее успешно справились с заданием 1 (чтение текста).</w:t>
      </w:r>
      <w:r/>
    </w:p>
    <w:p>
      <w:pPr>
        <w:pStyle w:val="940"/>
        <w:ind w:firstLine="708"/>
        <w:jc w:val="both"/>
        <w:rPr>
          <w:i/>
        </w:rPr>
      </w:pPr>
      <w:r>
        <w:rPr>
          <w:i/>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rPr>
          <w:iCs/>
        </w:rPr>
      </w:pPr>
      <w:r>
        <w:rPr>
          <w:iCs/>
        </w:rPr>
        <w:t xml:space="preserve">В 2021 году в КИМ устной части по английскому языку изменения не вносились.</w:t>
      </w:r>
      <w:r/>
    </w:p>
    <w:p>
      <w:pPr>
        <w:pStyle w:val="940"/>
        <w:ind w:firstLine="708"/>
        <w:jc w:val="both"/>
        <w:rPr>
          <w:i/>
          <w:iCs/>
        </w:rPr>
      </w:pPr>
      <w:r>
        <w:rPr>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708"/>
        <w:jc w:val="both"/>
        <w:rPr>
          <w:iCs/>
        </w:rPr>
      </w:pPr>
      <w:r>
        <w:rPr>
          <w:iCs/>
        </w:rPr>
        <w:t xml:space="preserve">Динамика результатов практически не наблюдается. Есть небольшое снижение среднего балла.</w:t>
      </w:r>
      <w:r/>
    </w:p>
    <w:p>
      <w:pPr>
        <w:pStyle w:val="940"/>
        <w:ind w:firstLine="708"/>
        <w:jc w:val="both"/>
        <w:rPr>
          <w:i/>
          <w:iCs/>
        </w:rPr>
      </w:pPr>
      <w:r>
        <w:rPr>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ind w:firstLine="708"/>
        <w:jc w:val="both"/>
        <w:rPr>
          <w:iCs/>
        </w:rPr>
      </w:pPr>
      <w:r>
        <w:rPr>
          <w:iCs/>
        </w:rPr>
        <w:t xml:space="preserve">Мероприятия, предложенные для включения в дорожную карту в 2019 году, и проведенные в 2021 году не повлияли на динамику результатов проведения ЕГЭ.</w:t>
      </w:r>
      <w:r/>
    </w:p>
    <w:p>
      <w:pPr>
        <w:pStyle w:val="940"/>
        <w:ind w:firstLine="708"/>
        <w:jc w:val="both"/>
        <w:rPr>
          <w:i/>
        </w:rPr>
      </w:pPr>
      <w:r>
        <w:rPr>
          <w:i/>
        </w:rPr>
        <w:t xml:space="preserve">Прочие выводы</w:t>
      </w:r>
      <w:r/>
    </w:p>
    <w:p>
      <w:pPr>
        <w:pStyle w:val="940"/>
        <w:ind w:firstLine="708"/>
        <w:jc w:val="both"/>
        <w:keepLines/>
        <w:keepNext/>
        <w:rPr>
          <w:rFonts w:eastAsia="SimSun;宋体"/>
          <w:bCs/>
          <w:iCs/>
        </w:rPr>
      </w:pPr>
      <w:r>
        <w:rPr>
          <w:rFonts w:eastAsia="SimSun;宋体"/>
          <w:bCs/>
          <w:iCs/>
        </w:rPr>
        <w:t xml:space="preserve">Подготовка учащихся к устной части ЕГЭ по английскому языку не должна сводиться к натаскиванию на использование универсал</w:t>
      </w:r>
      <w:r>
        <w:rPr>
          <w:rFonts w:eastAsia="SimSun;宋体"/>
          <w:bCs/>
          <w:iCs/>
        </w:rPr>
        <w:t xml:space="preserve">ьных фраз и клише при выполнении заданий  разного уровня сложности. Работа по подготовке к экзамену должна заключатся в повышении общего уровня владения иностранным языком и приближении его к заявленному уровню В2 в соответствии с Европейскими стандартами.</w:t>
      </w:r>
      <w:r/>
    </w:p>
    <w:p>
      <w:pPr>
        <w:pStyle w:val="940"/>
        <w:jc w:val="both"/>
        <w:rPr>
          <w:rFonts w:eastAsia="SimSun;宋体"/>
          <w:bCs/>
          <w:iCs/>
        </w:rPr>
      </w:pPr>
      <w:r>
        <w:rPr>
          <w:rFonts w:eastAsia="SimSun;宋体"/>
          <w:bCs/>
          <w:iCs/>
        </w:rPr>
      </w:r>
      <w:r/>
    </w:p>
    <w:p>
      <w:pPr>
        <w:pStyle w:val="940"/>
        <w:jc w:val="both"/>
        <w:rPr>
          <w:rFonts w:eastAsia="SimSun;宋体"/>
          <w:bCs/>
          <w:iCs/>
        </w:rPr>
      </w:pPr>
      <w:r>
        <w:rPr>
          <w:rFonts w:eastAsia="SimSun;宋体"/>
          <w:bCs/>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both"/>
        <w:rPr>
          <w:iCs/>
        </w:rPr>
      </w:pPr>
      <w:r>
        <w:rPr>
          <w:iCs/>
        </w:rPr>
      </w:r>
      <w:r/>
    </w:p>
    <w:p>
      <w:pPr>
        <w:pStyle w:val="940"/>
        <w:jc w:val="center"/>
      </w:pPr>
      <w:r>
        <w:rPr>
          <w:rFonts w:eastAsia="SimSun;宋体"/>
          <w:b/>
          <w:bCs/>
          <w:sz w:val="28"/>
          <w:szCs w:val="28"/>
          <w:lang w:val="en-US"/>
        </w:rPr>
        <w:t xml:space="preserve">Раздел 4. РЕКОМЕНДАЦИИ</w:t>
      </w:r>
      <w:r>
        <w:rPr>
          <w:rFonts w:eastAsia="SimSun;宋体"/>
          <w:b/>
          <w:bCs/>
          <w:sz w:val="28"/>
          <w:szCs w:val="28"/>
        </w:rPr>
        <w:t xml:space="preserve"> </w:t>
      </w:r>
      <w:r>
        <w:rPr>
          <w:rFonts w:eastAsia="SimSun;宋体"/>
          <w:b/>
          <w:bCs/>
          <w:sz w:val="28"/>
          <w:szCs w:val="28"/>
          <w:lang w:val="en-US"/>
        </w:rPr>
        <w:t xml:space="preserve">ДЛЯ СИСТЕМЫ ОБРАЗОВАНИЯ СУБЪЕКТА РОССИЙСКОЙ ФЕДЕРАЦИИ</w:t>
      </w:r>
      <w:r/>
    </w:p>
    <w:p>
      <w:pPr>
        <w:pStyle w:val="940"/>
        <w:numPr>
          <w:ilvl w:val="1"/>
          <w:numId w:val="62"/>
        </w:numPr>
        <w:ind w:left="0" w:firstLine="0"/>
        <w:jc w:val="both"/>
        <w:keepLines/>
        <w:keepNext/>
        <w:spacing w:before="200" w:after="0"/>
        <w:rPr>
          <w:rFonts w:eastAsia="SimSun;宋体"/>
          <w:b/>
          <w:bCs/>
          <w:sz w:val="28"/>
          <w:lang w:val="en-US"/>
        </w:rPr>
      </w:pP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numPr>
          <w:ilvl w:val="2"/>
          <w:numId w:val="62"/>
        </w:numPr>
        <w:ind w:left="567" w:firstLine="0"/>
        <w:jc w:val="both"/>
        <w:keepLines/>
        <w:keepNext/>
        <w:spacing w:before="200" w:after="0"/>
        <w:rPr>
          <w:rFonts w:eastAsia="SimSun;宋体"/>
          <w:sz w:val="28"/>
          <w:lang w:val="en-US"/>
        </w:rPr>
      </w:pPr>
      <w:r>
        <w:rPr>
          <w:rFonts w:eastAsia="SimSun;宋体"/>
          <w:sz w:val="28"/>
          <w:lang w:val="en-US"/>
        </w:rPr>
        <w:t xml:space="preserve">по совершенствованию преподавания учебного предмета всем обучающимся</w:t>
      </w:r>
      <w:r/>
    </w:p>
    <w:p>
      <w:pPr>
        <w:pStyle w:val="940"/>
        <w:jc w:val="both"/>
        <w:rPr>
          <w:iCs/>
        </w:rPr>
      </w:pPr>
      <w:r>
        <w:rPr>
          <w:iCs/>
        </w:rPr>
      </w:r>
      <w:r/>
    </w:p>
    <w:p>
      <w:pPr>
        <w:pStyle w:val="940"/>
        <w:ind w:firstLine="708"/>
        <w:jc w:val="both"/>
        <w:rPr>
          <w:iCs/>
        </w:rPr>
      </w:pPr>
      <w:r>
        <w:rPr>
          <w:iCs/>
        </w:rPr>
        <w:t xml:space="preserve">При подготовке к заданию 1 устной части следует:</w:t>
      </w:r>
      <w:r/>
    </w:p>
    <w:p>
      <w:pPr>
        <w:pStyle w:val="940"/>
        <w:numPr>
          <w:ilvl w:val="0"/>
          <w:numId w:val="57"/>
        </w:numPr>
        <w:ind w:left="0" w:firstLine="0"/>
        <w:jc w:val="both"/>
      </w:pPr>
      <w:r>
        <w:rPr>
          <w:rFonts w:eastAsia="Times New Roman"/>
          <w:iCs/>
        </w:rPr>
        <w:t xml:space="preserve"> </w:t>
      </w:r>
      <w:r>
        <w:rPr>
          <w:iCs/>
        </w:rPr>
        <w:t xml:space="preserve">научить выделять ключевые слова и фразы в тексте;</w:t>
      </w:r>
      <w:r/>
    </w:p>
    <w:p>
      <w:pPr>
        <w:pStyle w:val="940"/>
        <w:numPr>
          <w:ilvl w:val="0"/>
          <w:numId w:val="57"/>
        </w:numPr>
        <w:ind w:left="0" w:firstLine="0"/>
        <w:jc w:val="both"/>
      </w:pPr>
      <w:r>
        <w:rPr>
          <w:rFonts w:eastAsia="Times New Roman"/>
          <w:iCs/>
        </w:rPr>
        <w:t xml:space="preserve"> </w:t>
      </w:r>
      <w:r>
        <w:rPr>
          <w:iCs/>
        </w:rPr>
        <w:t xml:space="preserve">повторить правила чтения;</w:t>
      </w:r>
      <w:r/>
    </w:p>
    <w:p>
      <w:pPr>
        <w:pStyle w:val="940"/>
        <w:numPr>
          <w:ilvl w:val="0"/>
          <w:numId w:val="57"/>
        </w:numPr>
        <w:ind w:left="0" w:firstLine="0"/>
        <w:jc w:val="both"/>
      </w:pPr>
      <w:r>
        <w:rPr>
          <w:rFonts w:eastAsia="Times New Roman"/>
          <w:iCs/>
        </w:rPr>
        <w:t xml:space="preserve"> </w:t>
      </w:r>
      <w:r>
        <w:rPr>
          <w:iCs/>
        </w:rPr>
        <w:t xml:space="preserve">поработать над артикуляцией наиболее сложных звуков, объяснить, что такое смысловая группа (синтагма);</w:t>
      </w:r>
      <w:r/>
    </w:p>
    <w:p>
      <w:pPr>
        <w:pStyle w:val="940"/>
        <w:numPr>
          <w:ilvl w:val="0"/>
          <w:numId w:val="57"/>
        </w:numPr>
        <w:ind w:left="0" w:firstLine="0"/>
        <w:jc w:val="both"/>
      </w:pPr>
      <w:r>
        <w:rPr>
          <w:rFonts w:eastAsia="Times New Roman"/>
          <w:iCs/>
        </w:rPr>
        <w:t xml:space="preserve"> </w:t>
      </w:r>
      <w:r>
        <w:rPr>
          <w:iCs/>
        </w:rPr>
        <w:t xml:space="preserve">повторить, как интонационно оформляются утверждения и разные типы вопросов;</w:t>
      </w:r>
      <w:r/>
    </w:p>
    <w:p>
      <w:pPr>
        <w:pStyle w:val="940"/>
        <w:numPr>
          <w:ilvl w:val="0"/>
          <w:numId w:val="57"/>
        </w:numPr>
        <w:ind w:left="0" w:firstLine="0"/>
        <w:jc w:val="both"/>
      </w:pPr>
      <w:r>
        <w:rPr>
          <w:rFonts w:eastAsia="Times New Roman"/>
          <w:iCs/>
        </w:rPr>
        <w:t xml:space="preserve"> </w:t>
      </w:r>
      <w:r>
        <w:rPr>
          <w:iCs/>
        </w:rPr>
        <w:t xml:space="preserve">научить размечать интонационно тексты письменно, а затем без разметки читать их вслух.</w:t>
      </w:r>
      <w:r/>
    </w:p>
    <w:p>
      <w:pPr>
        <w:pStyle w:val="940"/>
        <w:ind w:firstLine="708"/>
        <w:jc w:val="both"/>
        <w:rPr>
          <w:iCs/>
        </w:rPr>
      </w:pPr>
      <w:r>
        <w:rPr>
          <w:iCs/>
        </w:rPr>
        <w:t xml:space="preserve">Для успешного выполнения задания 2 устной части участникам экзамена необходимо:</w:t>
      </w:r>
      <w:r/>
    </w:p>
    <w:p>
      <w:pPr>
        <w:pStyle w:val="940"/>
        <w:numPr>
          <w:ilvl w:val="0"/>
          <w:numId w:val="57"/>
        </w:numPr>
        <w:ind w:left="0" w:firstLine="0"/>
        <w:jc w:val="both"/>
      </w:pPr>
      <w:r>
        <w:rPr>
          <w:rFonts w:eastAsia="Times New Roman"/>
          <w:iCs/>
        </w:rPr>
        <w:t xml:space="preserve"> </w:t>
      </w:r>
      <w:r>
        <w:rPr>
          <w:iCs/>
        </w:rPr>
        <w:t xml:space="preserve">объяснить необходимость задавать прямые, а не косвенные вопросы;</w:t>
      </w:r>
      <w:r/>
    </w:p>
    <w:p>
      <w:pPr>
        <w:pStyle w:val="940"/>
        <w:numPr>
          <w:ilvl w:val="0"/>
          <w:numId w:val="57"/>
        </w:numPr>
        <w:ind w:left="0" w:firstLine="0"/>
        <w:jc w:val="both"/>
      </w:pPr>
      <w:r>
        <w:rPr>
          <w:rFonts w:eastAsia="Times New Roman"/>
          <w:iCs/>
        </w:rPr>
        <w:t xml:space="preserve"> </w:t>
      </w:r>
      <w:r>
        <w:rPr>
          <w:iCs/>
        </w:rPr>
        <w:t xml:space="preserve">повторить, как строятся разные типы вопросов, и обратить внимание на их интонационное оформление;</w:t>
      </w:r>
      <w:r/>
    </w:p>
    <w:p>
      <w:pPr>
        <w:pStyle w:val="940"/>
        <w:numPr>
          <w:ilvl w:val="0"/>
          <w:numId w:val="57"/>
        </w:numPr>
        <w:ind w:left="0" w:firstLine="0"/>
        <w:jc w:val="both"/>
      </w:pPr>
      <w:r>
        <w:rPr>
          <w:rFonts w:eastAsia="Times New Roman"/>
          <w:iCs/>
        </w:rPr>
        <w:t xml:space="preserve"> </w:t>
      </w:r>
      <w:r>
        <w:rPr>
          <w:iCs/>
        </w:rPr>
        <w:t xml:space="preserve">объяснить, в каких случаях нужно поставить общий вопрос, в каких – специальные либо другие типы вопросов;</w:t>
      </w:r>
      <w:r/>
    </w:p>
    <w:p>
      <w:pPr>
        <w:pStyle w:val="940"/>
        <w:numPr>
          <w:ilvl w:val="0"/>
          <w:numId w:val="57"/>
        </w:numPr>
        <w:ind w:left="0" w:firstLine="0"/>
        <w:jc w:val="both"/>
      </w:pPr>
      <w:r>
        <w:rPr>
          <w:rFonts w:eastAsia="Times New Roman"/>
          <w:iCs/>
        </w:rPr>
        <w:t xml:space="preserve"> </w:t>
      </w:r>
      <w:r>
        <w:rPr>
          <w:iCs/>
        </w:rPr>
        <w:t xml:space="preserve">обратить внимание на необходимость следить за временем.</w:t>
      </w:r>
      <w:r/>
    </w:p>
    <w:p>
      <w:pPr>
        <w:pStyle w:val="940"/>
        <w:ind w:firstLine="708"/>
        <w:jc w:val="both"/>
        <w:rPr>
          <w:iCs/>
        </w:rPr>
      </w:pPr>
      <w:r>
        <w:rPr>
          <w:iCs/>
        </w:rPr>
        <w:t xml:space="preserve">При подготовке к выполнению заданий 3 и 4 следует обратить внимание обучающихся на следующие аспекты:</w:t>
      </w:r>
      <w:r/>
    </w:p>
    <w:p>
      <w:pPr>
        <w:pStyle w:val="940"/>
        <w:numPr>
          <w:ilvl w:val="0"/>
          <w:numId w:val="57"/>
        </w:numPr>
        <w:ind w:left="0" w:firstLine="0"/>
        <w:jc w:val="both"/>
      </w:pPr>
      <w:r>
        <w:rPr>
          <w:rFonts w:eastAsia="Times New Roman"/>
          <w:iCs/>
        </w:rPr>
        <w:t xml:space="preserve"> </w:t>
      </w:r>
      <w:r>
        <w:rPr>
          <w:iCs/>
        </w:rPr>
        <w:t xml:space="preserve">данные две фотографии, нужно не просто описать, а подробно сравнить их сюжеты, включая детали;</w:t>
      </w:r>
      <w:r/>
    </w:p>
    <w:p>
      <w:pPr>
        <w:pStyle w:val="940"/>
        <w:numPr>
          <w:ilvl w:val="0"/>
          <w:numId w:val="57"/>
        </w:numPr>
        <w:ind w:left="0" w:firstLine="0"/>
        <w:jc w:val="both"/>
      </w:pPr>
      <w:r>
        <w:rPr>
          <w:rFonts w:eastAsia="Times New Roman"/>
          <w:iCs/>
        </w:rPr>
        <w:t xml:space="preserve"> </w:t>
      </w:r>
      <w:r>
        <w:rPr>
          <w:iCs/>
        </w:rPr>
        <w:t xml:space="preserve">в монологическом высказывании необходимо сделать вступление и заключение; вначале нужно описать, что общего имеют две фотографии, а уже затем остановиться на различиях;</w:t>
      </w:r>
      <w:r/>
    </w:p>
    <w:p>
      <w:pPr>
        <w:pStyle w:val="940"/>
        <w:numPr>
          <w:ilvl w:val="0"/>
          <w:numId w:val="57"/>
        </w:numPr>
        <w:ind w:left="0" w:firstLine="0"/>
        <w:jc w:val="both"/>
      </w:pPr>
      <w:r>
        <w:rPr>
          <w:rFonts w:eastAsia="Times New Roman"/>
          <w:iCs/>
        </w:rPr>
        <w:t xml:space="preserve"> </w:t>
      </w:r>
      <w:r>
        <w:rPr>
          <w:iCs/>
        </w:rPr>
        <w:t xml:space="preserve">следует придерживаться плана, чтобы высказывание было логичным и ни один пункт плана не был потерян;</w:t>
      </w:r>
      <w:r/>
    </w:p>
    <w:p>
      <w:pPr>
        <w:pStyle w:val="940"/>
        <w:numPr>
          <w:ilvl w:val="0"/>
          <w:numId w:val="57"/>
        </w:numPr>
        <w:ind w:left="0" w:firstLine="0"/>
        <w:jc w:val="both"/>
      </w:pPr>
      <w:r>
        <w:rPr>
          <w:rFonts w:eastAsia="Times New Roman"/>
          <w:iCs/>
        </w:rPr>
        <w:t xml:space="preserve"> </w:t>
      </w:r>
      <w:r>
        <w:rPr>
          <w:iCs/>
        </w:rPr>
        <w:t xml:space="preserve">необходимо использовать типичные для описания и сравнения картинок клише и средства логической связи;</w:t>
      </w:r>
      <w:r/>
    </w:p>
    <w:p>
      <w:pPr>
        <w:pStyle w:val="940"/>
        <w:numPr>
          <w:ilvl w:val="0"/>
          <w:numId w:val="57"/>
        </w:numPr>
        <w:ind w:left="0" w:firstLine="0"/>
        <w:jc w:val="both"/>
      </w:pPr>
      <w:r>
        <w:rPr>
          <w:rFonts w:eastAsia="Times New Roman"/>
          <w:iCs/>
        </w:rPr>
        <w:t xml:space="preserve"> </w:t>
      </w:r>
      <w:r>
        <w:rPr>
          <w:iCs/>
        </w:rPr>
        <w:t xml:space="preserve">желательно отметить эмоциональный фон обеих фотографий; сказать, какие чувства они вызывают;</w:t>
      </w:r>
      <w:r/>
    </w:p>
    <w:p>
      <w:pPr>
        <w:pStyle w:val="940"/>
        <w:numPr>
          <w:ilvl w:val="0"/>
          <w:numId w:val="57"/>
        </w:numPr>
        <w:ind w:left="0" w:firstLine="0"/>
        <w:jc w:val="both"/>
      </w:pPr>
      <w:r>
        <w:rPr>
          <w:rFonts w:eastAsia="Times New Roman"/>
          <w:iCs/>
        </w:rPr>
        <w:t xml:space="preserve"> </w:t>
      </w:r>
      <w:r>
        <w:rPr>
          <w:iCs/>
        </w:rPr>
        <w:t xml:space="preserve">нужно соблюдать ограничения по времени и по объему.</w:t>
      </w:r>
      <w:r/>
    </w:p>
    <w:p>
      <w:pPr>
        <w:pStyle w:val="940"/>
        <w:ind w:firstLine="708"/>
        <w:jc w:val="both"/>
        <w:rPr>
          <w:iCs/>
        </w:rPr>
      </w:pPr>
      <w:r>
        <w:rPr>
          <w:iCs/>
        </w:rPr>
        <w:t xml:space="preserve">В процессе обучения иностранным языкам важно уделять больше времени и внимания спонтанной речи.</w:t>
      </w:r>
      <w:r/>
    </w:p>
    <w:p>
      <w:pPr>
        <w:pStyle w:val="940"/>
        <w:ind w:firstLine="708"/>
        <w:jc w:val="both"/>
        <w:rPr>
          <w:iCs/>
        </w:rPr>
      </w:pPr>
      <w:r>
        <w:rPr>
          <w:iCs/>
        </w:rPr>
        <w:t xml:space="preserve">Необходимо создавать на уроках коммуникативные ситуации, в ходе которых учащиеся естественно осуществляют запрос информации – задают вопросы – и обмениваются ею. Следует формировать умения спонтанной речи на основе плана и других </w:t>
      </w:r>
      <w:r>
        <w:rPr>
          <w:iCs/>
        </w:rPr>
        <w:t xml:space="preserve">вербальных опор – полезных слов и выражений – и шире использовать визуальные опоры. Рекомендуется также время от времени делать аудиозапись ответов учащихся, а затем обсуждать их достоинства и недостатки, трудности и пути совершенствования спонтанной речи.</w:t>
      </w:r>
      <w:r/>
    </w:p>
    <w:p>
      <w:pPr>
        <w:pStyle w:val="940"/>
        <w:ind w:firstLine="708"/>
        <w:jc w:val="both"/>
        <w:rPr>
          <w:iCs/>
        </w:rPr>
      </w:pPr>
      <w:r>
        <w:rPr>
          <w:iCs/>
        </w:rPr>
        <w:t xml:space="preserve">Как показывает статистика, уровень грамматических навыков в продуктивных видах речевой деятельности ниже, чем в разделе «Грамматика и лексика», несмотря на то, что экзаменуемые вправе сами выбирать грамматические средс</w:t>
      </w:r>
      <w:r>
        <w:rPr>
          <w:iCs/>
        </w:rPr>
        <w:t xml:space="preserve">тва оформления своей письменной или устной речи. Эти данные свидетельствуют о необходимости развивать грамматические навыки в продуктивных видах речевой деятельности, и в первую очередь в спонтанной речи, а не только в отдельных грамматических упражнениях;</w:t>
      </w:r>
      <w:r/>
    </w:p>
    <w:p>
      <w:pPr>
        <w:pStyle w:val="940"/>
        <w:numPr>
          <w:ilvl w:val="0"/>
          <w:numId w:val="57"/>
        </w:numPr>
        <w:ind w:left="0" w:firstLine="0"/>
        <w:jc w:val="both"/>
        <w:rPr>
          <w:iCs/>
        </w:rPr>
      </w:pPr>
      <w:r>
        <w:rPr>
          <w:iCs/>
        </w:rPr>
        <w:t xml:space="preserve">Необходимо совершенствование методики преподавания иностранного языка в целом и алгоритма подготовки к ЕГЭ в рамках процесса обучения. Необходимо внедрять рефлексивный подход, про</w:t>
      </w:r>
      <w:r>
        <w:rPr>
          <w:iCs/>
        </w:rPr>
        <w:t xml:space="preserve">водить профилактику типичных ошибок обучающихся. Важно не просто механически выполнить несколько вариантов экзаменационных работ, но разобрать и проанализировать инструкции к заданиям, критерии и сами выполненные работы, установить причинно-следственные св</w:t>
      </w:r>
      <w:r>
        <w:rPr>
          <w:iCs/>
        </w:rPr>
        <w:t xml:space="preserve">язи, выяснить, какие трудности испытывают обучающиеся. Только рефлексия, разбор и отработка коммуникативных стратегий выполнения заданий по всем разделам экзаменационной работы помогут ликвидировать типичные и устойчивые предметные и метапредметные ошибки.</w:t>
      </w:r>
      <w:r/>
    </w:p>
    <w:p>
      <w:pPr>
        <w:pStyle w:val="940"/>
        <w:ind w:firstLine="708"/>
        <w:jc w:val="both"/>
        <w:rPr>
          <w:iCs/>
        </w:rPr>
      </w:pPr>
      <w:r>
        <w:rPr>
          <w:iCs/>
        </w:rPr>
        <w:t xml:space="preserve">Необходимо подчеркнуть, что в данных методических рекомендациях так много внимания уделяется когнитивному аспекту преподавания иностранных</w:t>
      </w:r>
      <w:r>
        <w:rPr>
          <w:iCs/>
        </w:rPr>
        <w:t xml:space="preserve"> языков и метапредметным умениям, потому что по мере приближения к полному переходу на новые стандарты они приобретают все большее значение. Методическую помощь учителям и обучающимся при подготовке к ЕГЭ могут оказать материалы с сайта ФИПИ (www.fipi.ru):</w:t>
      </w:r>
      <w:r/>
    </w:p>
    <w:p>
      <w:pPr>
        <w:pStyle w:val="940"/>
        <w:numPr>
          <w:ilvl w:val="0"/>
          <w:numId w:val="57"/>
        </w:numPr>
        <w:ind w:left="0" w:firstLine="0"/>
        <w:jc w:val="both"/>
      </w:pPr>
      <w:r>
        <w:rPr>
          <w:rFonts w:eastAsia="Times New Roman"/>
          <w:iCs/>
        </w:rPr>
        <w:t xml:space="preserve"> </w:t>
      </w:r>
      <w:r>
        <w:rPr>
          <w:iCs/>
        </w:rPr>
        <w:t xml:space="preserve">документы, определяющие структуру и содержание КИМ ЕГЭ 2019 г.;</w:t>
      </w:r>
      <w:r/>
    </w:p>
    <w:p>
      <w:pPr>
        <w:pStyle w:val="940"/>
        <w:numPr>
          <w:ilvl w:val="0"/>
          <w:numId w:val="57"/>
        </w:numPr>
        <w:ind w:left="0" w:firstLine="0"/>
        <w:jc w:val="both"/>
      </w:pPr>
      <w:r>
        <w:rPr>
          <w:rFonts w:eastAsia="Times New Roman"/>
          <w:iCs/>
        </w:rPr>
        <w:t xml:space="preserve"> </w:t>
      </w:r>
      <w:r>
        <w:rPr>
          <w:iCs/>
        </w:rPr>
        <w:t xml:space="preserve">Открытый банк заданий ЕГЭ;</w:t>
      </w:r>
      <w:r/>
    </w:p>
    <w:p>
      <w:pPr>
        <w:pStyle w:val="940"/>
        <w:numPr>
          <w:ilvl w:val="0"/>
          <w:numId w:val="57"/>
        </w:numPr>
        <w:ind w:left="0" w:firstLine="0"/>
        <w:jc w:val="both"/>
      </w:pPr>
      <w:r>
        <w:rPr>
          <w:rFonts w:eastAsia="Times New Roman"/>
          <w:iCs/>
        </w:rPr>
        <w:t xml:space="preserve"> </w:t>
      </w:r>
      <w:r>
        <w:rPr>
          <w:iCs/>
        </w:rPr>
        <w:t xml:space="preserve">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 методические рекомендации прошлых лет.</w:t>
      </w:r>
      <w:r/>
    </w:p>
    <w:p>
      <w:pPr>
        <w:pStyle w:val="940"/>
        <w:numPr>
          <w:ilvl w:val="2"/>
          <w:numId w:val="62"/>
        </w:numPr>
        <w:ind w:left="567" w:firstLine="0"/>
        <w:jc w:val="both"/>
        <w:keepLines/>
        <w:keepNext/>
        <w:spacing w:before="200" w:after="0"/>
        <w:rPr>
          <w:rFonts w:eastAsia="SimSun;宋体"/>
          <w:sz w:val="28"/>
        </w:rPr>
      </w:pPr>
      <w:r>
        <w:rPr>
          <w:rFonts w:eastAsia="SimSun;宋体"/>
          <w:sz w:val="28"/>
        </w:rPr>
        <w:t xml:space="preserve">по организации дифференцированного обучения школьников с разными уровнями предметной подготовки</w:t>
      </w:r>
      <w:r/>
    </w:p>
    <w:p>
      <w:pPr>
        <w:pStyle w:val="940"/>
        <w:jc w:val="both"/>
      </w:pPr>
      <w:r/>
      <w:r/>
    </w:p>
    <w:p>
      <w:pPr>
        <w:pStyle w:val="940"/>
        <w:ind w:firstLine="708"/>
        <w:jc w:val="both"/>
      </w:pPr>
      <w:r>
        <w:t xml:space="preserve">При организации дифференцированного обучения школьников с разными уровнями предметной подготовки и при подготовке учащихся к выполнению КИМ по анг</w:t>
      </w:r>
      <w:r>
        <w:t xml:space="preserve">лийскому языку следует обратить особое внимание на формирование необходимых лексических и грамматических навыков, формирование навыков аудирования, чтения текста, проникновение в смысл задания, умения дать полный и точный ответ на вопросы и запросить инфор</w:t>
      </w:r>
      <w:r>
        <w:t xml:space="preserve">мацию. Все эти умения являются не только предметными, но и метапредметными, так как требуют навыков анализа, самоконтроля, самокоррекции, что невозможно развить без тщательного анализа формулировки задания и соблюдения требований, которые даны в критериях.</w:t>
      </w:r>
      <w:r/>
    </w:p>
    <w:p>
      <w:pPr>
        <w:pStyle w:val="940"/>
        <w:numPr>
          <w:ilvl w:val="1"/>
          <w:numId w:val="62"/>
        </w:numPr>
        <w:ind w:left="0" w:firstLine="0"/>
        <w:jc w:val="both"/>
        <w:keepLines/>
        <w:keepNext/>
        <w:spacing w:before="200" w:after="0"/>
        <w:rPr>
          <w:rFonts w:eastAsia="SimSun;宋体"/>
          <w:b/>
          <w:bCs/>
          <w:sz w:val="28"/>
          <w:lang w:val="en-US"/>
        </w:rPr>
      </w:pP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pPr>
      <w:r/>
      <w:r/>
    </w:p>
    <w:p>
      <w:pPr>
        <w:pStyle w:val="940"/>
        <w:ind w:firstLine="708"/>
        <w:jc w:val="both"/>
      </w:pPr>
      <w:r>
        <w:t xml:space="preserve">На методических объединениях учителей предметников необходимо обсуждать трудности, возникающие у школьников при выполнении заданий устной час</w:t>
      </w:r>
      <w:r>
        <w:t xml:space="preserve">ти базового уровня и заданий высокого уровня сложности с развернутыми ответами; организовывать курсы повышения квалификации, направленные на развитие компетенций необходимых для обучения школьников выполнению заданий с развернутым ответом (особенно 3 и 4).</w:t>
      </w:r>
      <w:r/>
    </w:p>
    <w:p>
      <w:pPr>
        <w:pStyle w:val="940"/>
        <w:jc w:val="both"/>
      </w:pPr>
      <w:r/>
      <w:r/>
    </w:p>
    <w:p>
      <w:pPr>
        <w:pStyle w:val="940"/>
        <w:jc w:val="both"/>
      </w:pPr>
      <w:r/>
      <w:r/>
    </w:p>
    <w:p>
      <w:pPr>
        <w:pStyle w:val="940"/>
        <w:jc w:val="both"/>
      </w:pPr>
      <w:r/>
      <w:r/>
    </w:p>
    <w:p>
      <w:pPr>
        <w:pStyle w:val="940"/>
        <w:jc w:val="both"/>
        <w:rPr>
          <w:rFonts w:eastAsia="SimSun;宋体"/>
          <w:b/>
          <w:bCs/>
          <w:sz w:val="28"/>
        </w:rPr>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rPr>
          <w:rFonts w:eastAsia="SimSun;宋体"/>
          <w:b/>
          <w:bCs/>
          <w:sz w:val="28"/>
        </w:rPr>
      </w:pPr>
      <w:r>
        <w:rPr>
          <w:rFonts w:eastAsia="SimSun;宋体"/>
          <w:b/>
          <w:bCs/>
          <w:sz w:val="28"/>
        </w:rPr>
      </w:r>
      <w:r/>
    </w:p>
    <w:p>
      <w:pPr>
        <w:pStyle w:val="940"/>
        <w:jc w:val="both"/>
        <w:rPr>
          <w:sz w:val="28"/>
          <w:szCs w:val="28"/>
        </w:rPr>
      </w:pPr>
      <w:r/>
      <w:hyperlink r:id="rId37" w:tooltip="http://minobr.astrobl.ru/osnovnaya-stranica/informacionnye-materialy" w:history="1">
        <w:r>
          <w:rPr>
            <w:rStyle w:val="1382"/>
            <w:sz w:val="28"/>
            <w:szCs w:val="28"/>
          </w:rPr>
          <w:t xml:space="preserve">http://minobr.astrobl.ru/osnovnaya-stranica/informacionnye-materialy</w:t>
        </w:r>
      </w:hyperlink>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rPr>
      </w:pPr>
      <w:r>
        <w:rPr>
          <w:rFonts w:eastAsia="SimSun;宋体"/>
          <w:b/>
          <w:bCs/>
          <w:sz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rPr>
      </w:pPr>
      <w:r>
        <w:rPr>
          <w:rFonts w:eastAsia="SimSun;宋体"/>
          <w:b/>
          <w:bCs/>
          <w:sz w:val="28"/>
          <w:szCs w:val="28"/>
        </w:rPr>
      </w:r>
      <w:r/>
    </w:p>
    <w:p>
      <w:pPr>
        <w:pStyle w:val="940"/>
        <w:jc w:val="both"/>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jc w:val="right"/>
        <w:keepNext/>
        <w:spacing w:before="0" w:after="200"/>
        <w:rPr>
          <w:bCs/>
          <w:i/>
          <w:sz w:val="18"/>
          <w:szCs w:val="18"/>
        </w:rPr>
      </w:pPr>
      <w:r>
        <w:rPr>
          <w:bCs/>
          <w:i/>
          <w:sz w:val="18"/>
          <w:szCs w:val="18"/>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2021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(английский язык)</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английского языка </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ЕГЭ – 11 в фор</w:t>
            </w:r>
            <w:r>
              <w:rPr>
                <w:lang w:eastAsia="en-US"/>
              </w:rPr>
              <w:t xml:space="preserve">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английскому языку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английскому языку.</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английскому языку .</w:t>
            </w:r>
            <w:r/>
          </w:p>
          <w:p>
            <w:pPr>
              <w:pStyle w:val="940"/>
            </w:pPr>
            <w:r>
              <w:t xml:space="preserve">Разработаны рекомендации по изменению программы повышения квалификации учителей английского языка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 в том числе учителя английского языка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(английский язык)</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rPr>
                <w:lang w:eastAsia="en-US"/>
              </w:rPr>
            </w:pPr>
            <w:r>
              <w:rPr>
                <w:lang w:eastAsia="en-US"/>
              </w:rPr>
              <w:t xml:space="preserve">25 человек, семинар, члены предметной комиссии, учителя английского языка</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образова</w:t>
            </w:r>
            <w:r>
              <w:rPr>
                <w:lang w:eastAsia="en-US"/>
              </w:rPr>
              <w:t xml:space="preserve">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английскому языку;</w:t>
            </w:r>
            <w:r/>
          </w:p>
          <w:p>
            <w:pPr>
              <w:pStyle w:val="940"/>
              <w:jc w:val="both"/>
              <w:spacing w:before="0" w:after="160" w:line="254" w:lineRule="auto"/>
            </w:pPr>
            <w:r>
              <w:rPr>
                <w:lang w:eastAsia="en-US"/>
              </w:rPr>
              <w:t xml:space="preserve">•</w:t>
            </w:r>
            <w:r>
              <w:rPr>
                <w:lang w:eastAsia="en-US"/>
              </w:rPr>
              <w:tab/>
              <w:t xml:space="preserve">формированию у них представления о структуре и содержании  КИМ по английскому языку;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2021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английского языка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включают </w:t>
            </w:r>
            <w:r>
              <w:t xml:space="preserve">вопросы обновления технологий и содержания обучения русскому языку и литературе/ истории/ обществознанию/ географии/ математике/ английскому языку  и астрономии/ химии и др. в соответствии с концепциями преподавания учебных предметов (предметных областей).</w:t>
            </w:r>
            <w:r/>
          </w:p>
        </w:tc>
      </w:tr>
    </w:tbl>
    <w:p>
      <w:pPr>
        <w:pStyle w:val="940"/>
        <w:numPr>
          <w:ilvl w:val="1"/>
          <w:numId w:val="71"/>
        </w:numPr>
        <w:keepLines/>
        <w:keepNext/>
        <w:spacing w:before="200" w:after="0"/>
      </w:pPr>
      <w:r>
        <w:rPr>
          <w:rFonts w:eastAsia="Times New Roman"/>
          <w:b/>
          <w:bCs/>
          <w:sz w:val="28"/>
        </w:rPr>
        <w:t xml:space="preserve"> </w:t>
      </w:r>
      <w:r>
        <w:rPr>
          <w:rFonts w:eastAsia="SimSun;宋体"/>
          <w:b/>
          <w:bCs/>
          <w:sz w:val="28"/>
          <w:lang w:val="en-US"/>
        </w:rPr>
        <w:t xml:space="preserve">Предложения в дорожную карту на 2021-2022 учебный год</w:t>
      </w:r>
      <w:r/>
    </w:p>
    <w:p>
      <w:pPr>
        <w:pStyle w:val="940"/>
        <w:numPr>
          <w:ilvl w:val="2"/>
          <w:numId w:val="71"/>
        </w:numPr>
        <w:jc w:val="both"/>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английского языка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(в том числе учителей английского языка )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2.2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2.3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2.4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numPr>
          <w:ilvl w:val="2"/>
          <w:numId w:val="71"/>
        </w:numPr>
        <w:ind w:left="567" w:firstLine="0"/>
        <w:jc w:val="both"/>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3"/>
        <w:gridCol w:w="799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jc w:val="center"/>
              <w:spacing w:before="0" w:after="0"/>
              <w:rPr>
                <w:lang w:eastAsia="en-US"/>
              </w:rPr>
            </w:pPr>
            <w:r>
              <w:rPr>
                <w:lang w:eastAsia="en-US"/>
              </w:rPr>
              <w:t xml:space="preserve">Мероприятие</w:t>
            </w:r>
            <w:r/>
          </w:p>
          <w:p>
            <w:pPr>
              <w:pStyle w:val="940"/>
              <w:contextualSpacing/>
              <w:jc w:val="center"/>
              <w:spacing w:before="0" w:after="0"/>
              <w:rPr>
                <w:i/>
                <w:lang w:eastAsia="en-US"/>
              </w:rPr>
            </w:pPr>
            <w:r>
              <w:rPr>
                <w:i/>
                <w:lang w:eastAsia="en-US"/>
              </w:rPr>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открытых заседаний предметных секций рег</w:t>
            </w:r>
            <w:r>
              <w:t xml:space="preserve">ионального учебно-методического объединения с участием председателей предметных комиссий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Обновление содержания обучения английскому языку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bl>
    <w:p>
      <w:pPr>
        <w:pStyle w:val="940"/>
        <w:keepNext/>
        <w:spacing w:before="0" w:after="200"/>
        <w:rPr>
          <w:bCs/>
          <w:sz w:val="18"/>
          <w:szCs w:val="18"/>
        </w:rPr>
      </w:pPr>
      <w:r>
        <w:rPr>
          <w:bCs/>
          <w:sz w:val="18"/>
          <w:szCs w:val="18"/>
        </w:rPr>
      </w:r>
      <w:r/>
    </w:p>
    <w:p>
      <w:pPr>
        <w:pStyle w:val="940"/>
        <w:numPr>
          <w:ilvl w:val="2"/>
          <w:numId w:val="71"/>
        </w:numPr>
        <w:ind w:left="567" w:firstLine="0"/>
        <w:jc w:val="both"/>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pPr>
      <w:r>
        <w:rPr>
          <w:rFonts w:eastAsia="SimSun;宋体"/>
          <w:bCs/>
          <w:lang w:val="en-US"/>
        </w:rPr>
        <w:t xml:space="preserve">Не планируются</w:t>
      </w:r>
      <w:r>
        <w:rPr>
          <w:rFonts w:eastAsia="SimSun;宋体"/>
          <w:bCs/>
        </w:rPr>
        <w:t xml:space="preserve">.</w:t>
      </w:r>
      <w:r/>
    </w:p>
    <w:p>
      <w:pPr>
        <w:pStyle w:val="940"/>
        <w:numPr>
          <w:ilvl w:val="2"/>
          <w:numId w:val="71"/>
        </w:numPr>
        <w:ind w:left="567" w:firstLine="0"/>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rPr>
      </w:pPr>
      <w:r>
        <w:rPr>
          <w:bCs/>
          <w:i/>
          <w:sz w:val="18"/>
          <w:szCs w:val="18"/>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56"/>
        <w:gridCol w:w="1114"/>
        <w:gridCol w:w="8089"/>
      </w:tblGrid>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jc w:val="center"/>
              <w:spacing w:before="0" w:after="0"/>
              <w:rPr>
                <w:lang w:eastAsia="en-US"/>
              </w:rPr>
            </w:pPr>
            <w:r>
              <w:rPr>
                <w:lang w:eastAsia="en-US"/>
              </w:rPr>
              <w:t xml:space="preserve">Дата</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английскому языку ,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45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4"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89" w:type="dxa"/>
            <w:textDirection w:val="lrTb"/>
            <w:noWrap w:val="false"/>
          </w:tcPr>
          <w:p>
            <w:pPr>
              <w:pStyle w:val="940"/>
              <w:contextualSpacing/>
              <w:jc w:val="both"/>
              <w:spacing w:before="0" w:after="60"/>
              <w:rPr>
                <w:sz w:val="23"/>
                <w:szCs w:val="23"/>
              </w:rPr>
            </w:pPr>
            <w:r>
              <w:rPr>
                <w:sz w:val="23"/>
                <w:szCs w:val="23"/>
              </w:rPr>
              <w:t xml:space="preserve">Выступ</w:t>
            </w:r>
            <w:r>
              <w:rPr>
                <w:sz w:val="23"/>
                <w:szCs w:val="23"/>
              </w:rPr>
              <w:t xml:space="preserve">ления учителей английского языка ,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английского языка  и подготовки выпускников к ГИА</w:t>
            </w:r>
            <w:r/>
          </w:p>
        </w:tc>
      </w:tr>
    </w:tbl>
    <w:p>
      <w:pPr>
        <w:pStyle w:val="940"/>
        <w:keepNext/>
        <w:spacing w:before="0" w:after="200"/>
        <w:rPr>
          <w:bCs/>
          <w:sz w:val="18"/>
          <w:szCs w:val="18"/>
        </w:rPr>
      </w:pPr>
      <w:r>
        <w:rPr>
          <w:bCs/>
          <w:sz w:val="18"/>
          <w:szCs w:val="18"/>
        </w:rPr>
      </w:r>
      <w:r/>
    </w:p>
    <w:p>
      <w:pPr>
        <w:pStyle w:val="940"/>
        <w:numPr>
          <w:ilvl w:val="2"/>
          <w:numId w:val="71"/>
        </w:numPr>
        <w:ind w:left="567"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jc w:val="both"/>
        <w:keepLines/>
        <w:keepNext/>
        <w:rPr>
          <w:rFonts w:eastAsia="SimSun;宋体"/>
          <w:bCs/>
        </w:rPr>
      </w:pPr>
      <w:r>
        <w:rPr>
          <w:rFonts w:eastAsia="SimSun;宋体"/>
          <w:bCs/>
        </w:rPr>
      </w:r>
      <w:r/>
    </w:p>
    <w:p>
      <w:pPr>
        <w:pStyle w:val="940"/>
        <w:ind w:firstLine="567"/>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«Иностранные языки (английский язык)»</w:t>
      </w:r>
      <w:r/>
    </w:p>
    <w:p>
      <w:pPr>
        <w:pStyle w:val="940"/>
        <w:ind w:right="-1" w:firstLine="708"/>
        <w:jc w:val="both"/>
        <w:spacing w:line="360" w:lineRule="auto"/>
        <w:rPr>
          <w:sz w:val="28"/>
          <w:szCs w:val="28"/>
        </w:rPr>
      </w:pPr>
      <w:r>
        <w:rPr>
          <w:sz w:val="28"/>
          <w:szCs w:val="28"/>
        </w:rPr>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41"/>
        <w:gridCol w:w="3020"/>
        <w:gridCol w:w="3202"/>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Ужакина Светлана Сергеевна, ФГБОУ ВО «Астраханский государственный университет», старший преподаватель</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«Иностранные языки»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t xml:space="preserve">Старший эксперт </w:t>
            </w:r>
            <w:r/>
          </w:p>
          <w:p>
            <w:pPr>
              <w:pStyle w:val="940"/>
              <w:jc w:val="both"/>
              <w:rPr>
                <w:iCs/>
              </w:rPr>
            </w:pPr>
            <w:r>
              <w:rPr>
                <w:iCs/>
              </w:rPr>
              <w:t xml:space="preserve">предметной 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Емельянова Надежда Александровна, ФГБОУ ВО «Астраханский государственный университет», декан ФИЯ, к.ф.н.,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Cs/>
              </w:rPr>
            </w:pPr>
            <w:r>
              <w:rPr>
                <w:iCs/>
              </w:rPr>
              <w:t xml:space="preserve">Учебный предмет </w:t>
            </w:r>
            <w:r/>
          </w:p>
          <w:p>
            <w:pPr>
              <w:pStyle w:val="940"/>
              <w:rPr>
                <w:iCs/>
              </w:rPr>
            </w:pPr>
            <w:r>
              <w:rPr>
                <w:iCs/>
              </w:rPr>
              <w:t xml:space="preserve">«Иностранные языки»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Ли Ирина Георгиевна,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начальник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Рычин Иван </w:t>
            </w:r>
            <w:r/>
          </w:p>
          <w:p>
            <w:pPr>
              <w:pStyle w:val="940"/>
              <w:jc w:val="both"/>
              <w:rPr>
                <w:iCs/>
              </w:rPr>
            </w:pPr>
            <w:r>
              <w:rPr>
                <w:iCs/>
              </w:rPr>
              <w:t xml:space="preserve">Константинович, </w:t>
            </w:r>
            <w:r/>
          </w:p>
          <w:p>
            <w:pPr>
              <w:pStyle w:val="940"/>
              <w:jc w:val="both"/>
              <w:rPr>
                <w:iCs/>
              </w:rPr>
            </w:pPr>
            <w:r>
              <w:rPr>
                <w:iCs/>
              </w:rPr>
              <w:t xml:space="preserve">министерство образования                 </w:t>
            </w:r>
            <w:r/>
          </w:p>
          <w:p>
            <w:pPr>
              <w:pStyle w:val="940"/>
              <w:jc w:val="both"/>
              <w:rPr>
                <w:iCs/>
              </w:rPr>
            </w:pPr>
            <w:r>
              <w:rPr>
                <w:iCs/>
              </w:rPr>
              <w:t xml:space="preserve">и науки Астраханской </w:t>
            </w:r>
            <w:r/>
          </w:p>
          <w:p>
            <w:pPr>
              <w:pStyle w:val="940"/>
              <w:jc w:val="both"/>
              <w:rPr>
                <w:iCs/>
              </w:rPr>
            </w:pPr>
            <w:r>
              <w:rPr>
                <w:iCs/>
              </w:rPr>
              <w:t xml:space="preserve">области, заместитель </w:t>
            </w:r>
            <w:r/>
          </w:p>
          <w:p>
            <w:pPr>
              <w:pStyle w:val="940"/>
              <w:jc w:val="both"/>
              <w:rPr>
                <w:iCs/>
              </w:rPr>
            </w:pPr>
            <w:r>
              <w:rPr>
                <w:iCs/>
              </w:rPr>
              <w:t xml:space="preserve">начальника отдела </w:t>
            </w:r>
            <w:r/>
          </w:p>
          <w:p>
            <w:pPr>
              <w:pStyle w:val="940"/>
              <w:jc w:val="both"/>
              <w:rPr>
                <w:iCs/>
              </w:rPr>
            </w:pPr>
            <w:r>
              <w:rPr>
                <w:iCs/>
              </w:rPr>
              <w:t xml:space="preserve">организации государственной </w:t>
            </w:r>
            <w:r/>
          </w:p>
          <w:p>
            <w:pPr>
              <w:pStyle w:val="940"/>
              <w:jc w:val="both"/>
              <w:rPr>
                <w:iCs/>
              </w:rPr>
            </w:pPr>
            <w:r>
              <w:rPr>
                <w:iCs/>
              </w:rPr>
              <w:t xml:space="preserve">итоговой аттестации                           </w:t>
            </w:r>
            <w:r/>
          </w:p>
          <w:p>
            <w:pPr>
              <w:pStyle w:val="940"/>
              <w:jc w:val="both"/>
              <w:rPr>
                <w:iCs/>
              </w:rPr>
            </w:pPr>
            <w:r>
              <w:rPr>
                <w:iCs/>
              </w:rPr>
              <w:t xml:space="preserve">и мониторинговых </w:t>
            </w:r>
            <w:r/>
          </w:p>
          <w:p>
            <w:pPr>
              <w:pStyle w:val="940"/>
              <w:jc w:val="both"/>
              <w:rPr>
                <w:iCs/>
              </w:rPr>
            </w:pPr>
            <w:r>
              <w:rPr>
                <w:iCs/>
              </w:rPr>
              <w:t xml:space="preserve">исследований качества </w:t>
            </w:r>
            <w:r/>
          </w:p>
          <w:p>
            <w:pPr>
              <w:pStyle w:val="940"/>
              <w:jc w:val="both"/>
              <w:rPr>
                <w:iCs/>
              </w:rPr>
            </w:pPr>
            <w:r>
              <w:rPr>
                <w:iCs/>
              </w:rPr>
              <w:t xml:space="preserve">образования управления </w:t>
            </w:r>
            <w:r/>
          </w:p>
          <w:p>
            <w:pPr>
              <w:pStyle w:val="940"/>
              <w:jc w:val="both"/>
              <w:rPr>
                <w:iCs/>
              </w:rPr>
            </w:pPr>
            <w:r>
              <w:rPr>
                <w:iCs/>
              </w:rPr>
              <w:t xml:space="preserve">контрольно-надзорной деятельности и оценки </w:t>
            </w:r>
            <w:r/>
          </w:p>
          <w:p>
            <w:pPr>
              <w:pStyle w:val="940"/>
              <w:jc w:val="both"/>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Cs/>
              </w:rPr>
            </w:pPr>
            <w:r>
              <w:rPr>
                <w:iCs/>
              </w:rPr>
              <w:t xml:space="preserve">Мясоедова Елена </w:t>
            </w:r>
            <w:r/>
          </w:p>
          <w:p>
            <w:pPr>
              <w:pStyle w:val="940"/>
              <w:jc w:val="both"/>
              <w:rPr>
                <w:iCs/>
              </w:rPr>
            </w:pPr>
            <w:r>
              <w:rPr>
                <w:iCs/>
              </w:rPr>
              <w:t xml:space="preserve">Анатольевна, ГАОУ АО </w:t>
            </w:r>
            <w:r/>
          </w:p>
          <w:p>
            <w:pPr>
              <w:pStyle w:val="940"/>
              <w:jc w:val="both"/>
              <w:rPr>
                <w:iCs/>
              </w:rPr>
            </w:pPr>
            <w:r>
              <w:rPr>
                <w:iCs/>
              </w:rPr>
              <w:t xml:space="preserve">ДПО «Институт развития </w:t>
            </w:r>
            <w:r/>
          </w:p>
          <w:p>
            <w:pPr>
              <w:pStyle w:val="940"/>
              <w:jc w:val="both"/>
            </w:pPr>
            <w:r>
              <w:rPr>
                <w:iCs/>
              </w:rPr>
              <w:t xml:space="preserve">образования», директор               </w:t>
            </w:r>
            <w:r/>
          </w:p>
          <w:p>
            <w:pPr>
              <w:pStyle w:val="940"/>
              <w:jc w:val="both"/>
              <w:rPr>
                <w:iCs/>
              </w:rPr>
            </w:pPr>
            <w:r>
              <w:rPr>
                <w:iCs/>
              </w:rPr>
              <w:t xml:space="preserve">по реализации публичных </w:t>
            </w:r>
            <w:r/>
          </w:p>
          <w:p>
            <w:pPr>
              <w:pStyle w:val="940"/>
              <w:jc w:val="both"/>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highlight w:val="yellow"/>
              </w:rPr>
            </w:pPr>
            <w:r>
              <w:rPr>
                <w:i/>
                <w:iCs/>
                <w:highlight w:val="yellow"/>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highlight w:val="yellow"/>
              </w:rPr>
            </w:pPr>
            <w:r>
              <w:rPr>
                <w:i/>
                <w:iCs/>
                <w:highlight w:val="yellow"/>
              </w:rPr>
            </w:r>
            <w:r/>
          </w:p>
        </w:tc>
      </w:tr>
    </w:tbl>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jc w:val="center"/>
        <w:rPr>
          <w:rFonts w:eastAsia="SimSun;宋体"/>
          <w:b/>
          <w:bCs/>
          <w:sz w:val="28"/>
          <w:szCs w:val="28"/>
          <w:lang w:val="en-US"/>
        </w:rPr>
      </w:pPr>
      <w:r>
        <w:rPr>
          <w:rFonts w:eastAsia="SimSun;宋体"/>
          <w:b/>
          <w:bCs/>
          <w:sz w:val="28"/>
          <w:szCs w:val="28"/>
          <w:lang w:val="en-US"/>
        </w:rPr>
        <w:t xml:space="preserve">Методический анализ результатов ЕГЭ</w:t>
      </w:r>
      <w:r/>
    </w:p>
    <w:p>
      <w:pPr>
        <w:pStyle w:val="940"/>
        <w:jc w:val="center"/>
        <w:keepLines/>
        <w:keepNext/>
      </w:pPr>
      <w:r>
        <w:rPr>
          <w:rFonts w:eastAsia="SimSun;宋体"/>
          <w:b/>
          <w:bCs/>
          <w:sz w:val="28"/>
          <w:szCs w:val="28"/>
          <w:lang w:val="en-US"/>
        </w:rPr>
        <w:t xml:space="preserve">по Обществознани</w:t>
      </w:r>
      <w:r>
        <w:rPr>
          <w:rFonts w:eastAsia="SimSun;宋体"/>
          <w:b/>
          <w:bCs/>
          <w:sz w:val="28"/>
          <w:szCs w:val="28"/>
        </w:rPr>
        <w:t xml:space="preserve">ю</w:t>
      </w:r>
      <w:r>
        <w:rPr>
          <w:rFonts w:eastAsia="SimSun;宋体"/>
          <w:b/>
          <w:bCs/>
          <w:sz w:val="28"/>
          <w:szCs w:val="28"/>
          <w:lang w:val="en-US"/>
        </w:rPr>
        <w:br/>
        <w:t xml:space="preserve">(учебный предмет)</w:t>
      </w:r>
      <w:r/>
    </w:p>
    <w:p>
      <w:pPr>
        <w:pStyle w:val="940"/>
        <w:jc w:val="center"/>
        <w:keepLines/>
        <w:keepNext/>
        <w:rPr>
          <w:rFonts w:eastAsia="SimSun;宋体"/>
          <w:b/>
          <w:bCs/>
          <w:i/>
          <w:iCs/>
          <w:sz w:val="28"/>
          <w:szCs w:val="22"/>
          <w:lang w:val="en-US"/>
        </w:rPr>
      </w:pPr>
      <w:r>
        <w:rPr>
          <w:rFonts w:eastAsia="SimSun;宋体"/>
          <w:b/>
          <w:bCs/>
          <w:i/>
          <w:iCs/>
          <w:sz w:val="28"/>
          <w:szCs w:val="22"/>
          <w:lang w:val="en-US"/>
        </w:rPr>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1. ХАРАКТЕРИСТИКА УЧАСТНИКОВ ЕГЭ</w:t>
        <w:br/>
        <w:t xml:space="preserve"> ПО УЧЕБНОМУ ПРЕДМЕТУ</w:t>
      </w:r>
      <w:r/>
    </w:p>
    <w:p>
      <w:pPr>
        <w:pStyle w:val="940"/>
        <w:jc w:val="both"/>
        <w:rPr>
          <w:rFonts w:eastAsia="SimSun;宋体"/>
          <w:b/>
          <w:bCs/>
          <w:sz w:val="28"/>
          <w:szCs w:val="28"/>
          <w:lang w:val="en-US"/>
        </w:rPr>
      </w:pPr>
      <w:r>
        <w:rPr>
          <w:rFonts w:eastAsia="SimSun;宋体"/>
          <w:b/>
          <w:bCs/>
          <w:sz w:val="28"/>
          <w:szCs w:val="28"/>
          <w:lang w:val="en-US"/>
        </w:rPr>
      </w:r>
      <w:r/>
    </w:p>
    <w:p>
      <w:pPr>
        <w:pStyle w:val="940"/>
        <w:numPr>
          <w:ilvl w:val="1"/>
          <w:numId w:val="52"/>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учебному предмету (за 3 года)</w:t>
      </w:r>
      <w:r/>
    </w:p>
    <w:p>
      <w:pPr>
        <w:pStyle w:val="940"/>
        <w:jc w:val="right"/>
        <w:keepNext/>
        <w:spacing w:before="0" w:after="200"/>
        <w:rPr>
          <w:bCs/>
          <w:i/>
          <w:sz w:val="18"/>
          <w:szCs w:val="18"/>
        </w:rPr>
      </w:pPr>
      <w:r>
        <w:rPr>
          <w:bCs/>
          <w:i/>
          <w:sz w:val="18"/>
          <w:szCs w:val="18"/>
        </w:rPr>
        <w:t xml:space="preserve">Таблица 2</w:t>
        <w:noBreakHyphen/>
        <w:t xml:space="preserve">1</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207"/>
        <w:gridCol w:w="1601"/>
        <w:gridCol w:w="1605"/>
        <w:gridCol w:w="1602"/>
        <w:gridCol w:w="1602"/>
        <w:gridCol w:w="1829"/>
      </w:tblGrid>
      <w:tr>
        <w:trPr/>
        <w:tc>
          <w:tcPr>
            <w:gridSpan w:val="2"/>
            <w:tcBorders>
              <w:top w:val="single" w:color="000000" w:sz="4" w:space="0"/>
              <w:left w:val="single" w:color="000000" w:sz="4" w:space="0"/>
              <w:bottom w:val="single" w:color="000000" w:sz="4" w:space="0"/>
            </w:tcBorders>
            <w:tcW w:w="280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0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431"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0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0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82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07" w:type="dxa"/>
            <w:textDirection w:val="lrTb"/>
            <w:noWrap w:val="false"/>
          </w:tcPr>
          <w:p>
            <w:pPr>
              <w:pStyle w:val="940"/>
              <w:ind w:right="-1" w:firstLine="0"/>
              <w:jc w:val="center"/>
              <w:spacing w:before="0" w:after="160" w:line="254" w:lineRule="auto"/>
              <w:rPr>
                <w:lang w:eastAsia="en-US"/>
              </w:rPr>
            </w:pPr>
            <w:r>
              <w:rPr>
                <w:lang w:eastAsia="en-US"/>
              </w:rPr>
              <w:t xml:space="preserve">2035</w:t>
            </w:r>
            <w:r/>
          </w:p>
        </w:tc>
        <w:tc>
          <w:tcPr>
            <w:tcBorders>
              <w:top w:val="single" w:color="000000" w:sz="4" w:space="0"/>
              <w:left w:val="single" w:color="000000" w:sz="4" w:space="0"/>
              <w:bottom w:val="single" w:color="000000" w:sz="4" w:space="0"/>
            </w:tcBorders>
            <w:tcW w:w="1601" w:type="dxa"/>
            <w:textDirection w:val="lrTb"/>
            <w:noWrap w:val="false"/>
          </w:tcPr>
          <w:p>
            <w:pPr>
              <w:pStyle w:val="940"/>
              <w:ind w:right="-1" w:firstLine="0"/>
              <w:jc w:val="center"/>
              <w:spacing w:before="0" w:after="160" w:line="254" w:lineRule="auto"/>
              <w:rPr>
                <w:lang w:eastAsia="en-US"/>
              </w:rPr>
            </w:pPr>
            <w:r>
              <w:rPr>
                <w:lang w:eastAsia="en-US"/>
              </w:rPr>
              <w:t xml:space="preserve">47,1</w:t>
            </w:r>
            <w:r/>
          </w:p>
        </w:tc>
        <w:tc>
          <w:tcPr>
            <w:tcBorders>
              <w:top w:val="single" w:color="000000" w:sz="4" w:space="0"/>
              <w:left w:val="single" w:color="000000" w:sz="4" w:space="0"/>
              <w:bottom w:val="single" w:color="000000" w:sz="4" w:space="0"/>
            </w:tcBorders>
            <w:tcW w:w="160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1946</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ind w:right="-1" w:firstLine="0"/>
              <w:jc w:val="center"/>
              <w:spacing w:before="0" w:after="160" w:line="254" w:lineRule="auto"/>
              <w:rPr>
                <w:lang w:eastAsia="en-US"/>
              </w:rPr>
            </w:pPr>
            <w:r>
              <w:rPr>
                <w:lang w:eastAsia="en-US"/>
              </w:rPr>
              <w:t xml:space="preserve">47,9</w:t>
            </w:r>
            <w:r/>
          </w:p>
        </w:tc>
        <w:tc>
          <w:tcPr>
            <w:tcBorders>
              <w:top w:val="single" w:color="000000" w:sz="4" w:space="0"/>
              <w:left w:val="single" w:color="000000" w:sz="4" w:space="0"/>
              <w:bottom w:val="single" w:color="000000" w:sz="4" w:space="0"/>
            </w:tcBorders>
            <w:tcW w:w="1602" w:type="dxa"/>
            <w:vAlign w:val="bottom"/>
            <w:textDirection w:val="lrTb"/>
            <w:noWrap w:val="false"/>
          </w:tcPr>
          <w:p>
            <w:pPr>
              <w:pStyle w:val="940"/>
              <w:jc w:val="center"/>
            </w:pPr>
            <w:r>
              <w:t xml:space="preserve">1850</w:t>
            </w:r>
            <w:r/>
          </w:p>
        </w:tc>
        <w:tc>
          <w:tcPr>
            <w:tcBorders>
              <w:top w:val="single" w:color="000000" w:sz="4" w:space="0"/>
              <w:left w:val="single" w:color="000000" w:sz="4" w:space="0"/>
              <w:bottom w:val="single" w:color="000000" w:sz="4" w:space="0"/>
              <w:right w:val="single" w:color="000000" w:sz="4" w:space="0"/>
            </w:tcBorders>
            <w:tcW w:w="1829" w:type="dxa"/>
            <w:vAlign w:val="bottom"/>
            <w:textDirection w:val="lrTb"/>
            <w:noWrap w:val="false"/>
          </w:tcPr>
          <w:p>
            <w:pPr>
              <w:pStyle w:val="940"/>
              <w:jc w:val="center"/>
            </w:pPr>
            <w:r>
              <w:t xml:space="preserve">45,3</w:t>
            </w:r>
            <w:r/>
          </w:p>
        </w:tc>
      </w:tr>
    </w:tbl>
    <w:p>
      <w:pPr>
        <w:pStyle w:val="940"/>
        <w:contextualSpacing/>
        <w:spacing w:before="0" w:after="0"/>
        <w:rPr>
          <w:lang w:eastAsia="en-US"/>
        </w:rPr>
      </w:pPr>
      <w:r>
        <w:rPr>
          <w:lang w:eastAsia="en-US"/>
        </w:rPr>
      </w:r>
      <w:r/>
    </w:p>
    <w:p>
      <w:pPr>
        <w:pStyle w:val="940"/>
        <w:numPr>
          <w:ilvl w:val="1"/>
          <w:numId w:val="52"/>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Процентное соотношение юношей и девушек, участвующих в ЕГЭ</w:t>
      </w:r>
      <w:r/>
    </w:p>
    <w:p>
      <w:pPr>
        <w:pStyle w:val="940"/>
        <w:jc w:val="right"/>
        <w:keepNext/>
        <w:spacing w:before="0" w:after="200"/>
        <w:rPr>
          <w:bCs/>
          <w:i/>
          <w:sz w:val="18"/>
          <w:szCs w:val="18"/>
        </w:rPr>
      </w:pPr>
      <w:r>
        <w:rPr>
          <w:bCs/>
          <w:i/>
          <w:sz w:val="18"/>
          <w:szCs w:val="18"/>
        </w:rPr>
        <w:t xml:space="preserve">Таблица 2-2</w:t>
      </w:r>
      <w:r/>
    </w:p>
    <w:tbl>
      <w:tblPr>
        <w:tblW w:w="4900" w:type="pct"/>
        <w:tblInd w:w="-5" w:type="dxa"/>
        <w:tblLayout w:type="fixed"/>
        <w:tblCellMar>
          <w:left w:w="108" w:type="dxa"/>
          <w:top w:w="0" w:type="dxa"/>
          <w:right w:w="108" w:type="dxa"/>
          <w:bottom w:w="0" w:type="dxa"/>
        </w:tblCellMar>
        <w:tblLook w:val="04A0" w:firstRow="1" w:lastRow="0" w:firstColumn="1" w:lastColumn="0" w:noHBand="0" w:noVBand="1"/>
      </w:tblPr>
      <w:tblGrid>
        <w:gridCol w:w="1127"/>
        <w:gridCol w:w="692"/>
        <w:gridCol w:w="2074"/>
        <w:gridCol w:w="695"/>
        <w:gridCol w:w="2074"/>
        <w:gridCol w:w="692"/>
        <w:gridCol w:w="2092"/>
      </w:tblGrid>
      <w:tr>
        <w:trPr/>
        <w:tc>
          <w:tcPr>
            <w:tcBorders>
              <w:top w:val="single" w:color="000000" w:sz="4" w:space="0"/>
              <w:left w:val="single" w:color="000000" w:sz="4" w:space="0"/>
              <w:bottom w:val="single" w:color="000000" w:sz="4" w:space="0"/>
            </w:tcBorders>
            <w:tcW w:w="1127"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76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69"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78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127"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5"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7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092"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692" w:type="dxa"/>
            <w:textDirection w:val="lrTb"/>
            <w:noWrap w:val="false"/>
          </w:tcPr>
          <w:p>
            <w:pPr>
              <w:pStyle w:val="940"/>
              <w:jc w:val="center"/>
              <w:spacing w:before="0" w:after="160" w:line="254" w:lineRule="auto"/>
              <w:rPr>
                <w:lang w:eastAsia="en-US"/>
              </w:rPr>
            </w:pPr>
            <w:r>
              <w:rPr>
                <w:lang w:eastAsia="en-US"/>
              </w:rPr>
              <w:t xml:space="preserve">1311</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64,4</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1320</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ind w:right="-1" w:firstLine="0"/>
              <w:jc w:val="center"/>
              <w:spacing w:before="0" w:after="160" w:line="254" w:lineRule="auto"/>
              <w:rPr>
                <w:lang w:eastAsia="en-US"/>
              </w:rPr>
            </w:pPr>
            <w:r>
              <w:rPr>
                <w:lang w:eastAsia="en-US"/>
              </w:rPr>
              <w:t xml:space="preserve">67,8</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center"/>
            </w:pPr>
            <w:r>
              <w:t xml:space="preserve">1207</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65,2</w:t>
            </w:r>
            <w:r/>
          </w:p>
        </w:tc>
      </w:tr>
      <w:tr>
        <w:trPr/>
        <w:tc>
          <w:tcPr>
            <w:tcBorders>
              <w:top w:val="single" w:color="000000" w:sz="4" w:space="0"/>
              <w:left w:val="single" w:color="000000" w:sz="4" w:space="0"/>
              <w:bottom w:val="single" w:color="000000" w:sz="4" w:space="0"/>
            </w:tcBorders>
            <w:tcW w:w="1127"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692" w:type="dxa"/>
            <w:textDirection w:val="lrTb"/>
            <w:noWrap w:val="false"/>
          </w:tcPr>
          <w:p>
            <w:pPr>
              <w:pStyle w:val="940"/>
              <w:jc w:val="center"/>
              <w:spacing w:before="0" w:after="160" w:line="254" w:lineRule="auto"/>
              <w:rPr>
                <w:lang w:eastAsia="en-US"/>
              </w:rPr>
            </w:pPr>
            <w:r>
              <w:rPr>
                <w:lang w:eastAsia="en-US"/>
              </w:rPr>
              <w:t xml:space="preserve">724</w:t>
            </w:r>
            <w:r/>
          </w:p>
        </w:tc>
        <w:tc>
          <w:tcPr>
            <w:tcBorders>
              <w:top w:val="single" w:color="000000" w:sz="4" w:space="0"/>
              <w:left w:val="single" w:color="000000" w:sz="4" w:space="0"/>
              <w:bottom w:val="single" w:color="000000" w:sz="4" w:space="0"/>
            </w:tcBorders>
            <w:tcW w:w="2074" w:type="dxa"/>
            <w:textDirection w:val="lrTb"/>
            <w:noWrap w:val="false"/>
          </w:tcPr>
          <w:p>
            <w:pPr>
              <w:pStyle w:val="940"/>
              <w:jc w:val="center"/>
              <w:spacing w:before="0" w:after="160" w:line="254" w:lineRule="auto"/>
              <w:rPr>
                <w:lang w:eastAsia="en-US"/>
              </w:rPr>
            </w:pPr>
            <w:r>
              <w:rPr>
                <w:lang w:eastAsia="en-US"/>
              </w:rPr>
              <w:t xml:space="preserve">35,6</w:t>
            </w:r>
            <w:r/>
          </w:p>
        </w:tc>
        <w:tc>
          <w:tcPr>
            <w:tcBorders>
              <w:top w:val="single" w:color="000000" w:sz="4" w:space="0"/>
              <w:left w:val="single" w:color="000000" w:sz="4" w:space="0"/>
              <w:bottom w:val="single" w:color="000000" w:sz="4" w:space="0"/>
            </w:tcBorders>
            <w:tcW w:w="695" w:type="dxa"/>
            <w:vAlign w:val="bottom"/>
            <w:textDirection w:val="lrTb"/>
            <w:noWrap w:val="false"/>
          </w:tcPr>
          <w:p>
            <w:pPr>
              <w:pStyle w:val="940"/>
              <w:ind w:right="-1" w:firstLine="0"/>
              <w:jc w:val="center"/>
              <w:spacing w:before="0" w:after="160" w:line="254" w:lineRule="auto"/>
              <w:rPr>
                <w:lang w:eastAsia="en-US"/>
              </w:rPr>
            </w:pPr>
            <w:r>
              <w:rPr>
                <w:lang w:eastAsia="en-US"/>
              </w:rPr>
              <w:t xml:space="preserve">626</w:t>
            </w:r>
            <w:r/>
          </w:p>
        </w:tc>
        <w:tc>
          <w:tcPr>
            <w:tcBorders>
              <w:top w:val="single" w:color="000000" w:sz="4" w:space="0"/>
              <w:left w:val="single" w:color="000000" w:sz="4" w:space="0"/>
              <w:bottom w:val="single" w:color="000000" w:sz="4" w:space="0"/>
            </w:tcBorders>
            <w:tcW w:w="2074" w:type="dxa"/>
            <w:vAlign w:val="bottom"/>
            <w:textDirection w:val="lrTb"/>
            <w:noWrap w:val="false"/>
          </w:tcPr>
          <w:p>
            <w:pPr>
              <w:pStyle w:val="940"/>
              <w:ind w:right="-1" w:firstLine="0"/>
              <w:jc w:val="center"/>
              <w:spacing w:before="0" w:after="160" w:line="254" w:lineRule="auto"/>
              <w:rPr>
                <w:lang w:eastAsia="en-US"/>
              </w:rPr>
            </w:pPr>
            <w:r>
              <w:rPr>
                <w:lang w:eastAsia="en-US"/>
              </w:rPr>
              <w:t xml:space="preserve">32,2</w:t>
            </w:r>
            <w:r/>
          </w:p>
        </w:tc>
        <w:tc>
          <w:tcPr>
            <w:tcBorders>
              <w:top w:val="single" w:color="000000" w:sz="4" w:space="0"/>
              <w:left w:val="single" w:color="000000" w:sz="4" w:space="0"/>
              <w:bottom w:val="single" w:color="000000" w:sz="4" w:space="0"/>
            </w:tcBorders>
            <w:tcW w:w="692" w:type="dxa"/>
            <w:vAlign w:val="bottom"/>
            <w:textDirection w:val="lrTb"/>
            <w:noWrap w:val="false"/>
          </w:tcPr>
          <w:p>
            <w:pPr>
              <w:pStyle w:val="940"/>
              <w:jc w:val="center"/>
            </w:pPr>
            <w:r>
              <w:t xml:space="preserve">643</w:t>
            </w:r>
            <w:r/>
          </w:p>
        </w:tc>
        <w:tc>
          <w:tcPr>
            <w:tcBorders>
              <w:top w:val="single" w:color="000000" w:sz="4" w:space="0"/>
              <w:left w:val="single" w:color="000000" w:sz="4" w:space="0"/>
              <w:bottom w:val="single" w:color="000000" w:sz="4" w:space="0"/>
              <w:right w:val="single" w:color="000000" w:sz="4" w:space="0"/>
            </w:tcBorders>
            <w:tcW w:w="2092" w:type="dxa"/>
            <w:vAlign w:val="bottom"/>
            <w:textDirection w:val="lrTb"/>
            <w:noWrap w:val="false"/>
          </w:tcPr>
          <w:p>
            <w:pPr>
              <w:pStyle w:val="940"/>
              <w:jc w:val="center"/>
            </w:pPr>
            <w:r>
              <w:t xml:space="preserve">34,8</w:t>
            </w:r>
            <w:r/>
          </w:p>
        </w:tc>
      </w:tr>
    </w:tbl>
    <w:p>
      <w:pPr>
        <w:pStyle w:val="940"/>
      </w:pPr>
      <w:r/>
      <w:r/>
    </w:p>
    <w:p>
      <w:pPr>
        <w:pStyle w:val="940"/>
        <w:numPr>
          <w:ilvl w:val="1"/>
          <w:numId w:val="52"/>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в регионе по категориям </w:t>
      </w:r>
      <w:r/>
    </w:p>
    <w:p>
      <w:pPr>
        <w:pStyle w:val="940"/>
        <w:jc w:val="right"/>
        <w:keepNext/>
        <w:spacing w:before="0" w:after="200"/>
        <w:rPr>
          <w:bCs/>
          <w:i/>
          <w:sz w:val="18"/>
          <w:szCs w:val="18"/>
        </w:rPr>
      </w:pPr>
      <w:r>
        <w:rPr>
          <w:bCs/>
          <w:i/>
          <w:sz w:val="18"/>
          <w:szCs w:val="18"/>
        </w:rPr>
        <w:t xml:space="preserve">Таблица 2-3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78"/>
        <w:gridCol w:w="2281"/>
      </w:tblGrid>
      <w:tr>
        <w:trPr>
          <w:trHeight w:val="263"/>
        </w:trPr>
        <w:tc>
          <w:tcPr>
            <w:tcBorders>
              <w:top w:val="single" w:color="000000" w:sz="4" w:space="0"/>
              <w:left w:val="single" w:color="000000" w:sz="4" w:space="0"/>
              <w:bottom w:val="single" w:color="000000" w:sz="4" w:space="0"/>
            </w:tcBorders>
            <w:tcW w:w="7378"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1850</w:t>
            </w:r>
            <w:r/>
          </w:p>
        </w:tc>
      </w:tr>
      <w:tr>
        <w:trPr>
          <w:trHeight w:val="519"/>
        </w:trPr>
        <w:tc>
          <w:tcPr>
            <w:tcBorders>
              <w:top w:val="single" w:color="000000" w:sz="4" w:space="0"/>
              <w:left w:val="single" w:color="000000" w:sz="4" w:space="0"/>
              <w:bottom w:val="single" w:color="000000" w:sz="4" w:space="0"/>
            </w:tcBorders>
            <w:tcW w:w="7378"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11"/>
              <w:t xml:space="preserve">*</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1715</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100</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10</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11</w:t>
            </w:r>
            <w:r/>
          </w:p>
        </w:tc>
      </w:tr>
      <w:tr>
        <w:trPr>
          <w:trHeight w:val="263"/>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1</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23</w:t>
            </w:r>
            <w:r/>
          </w:p>
        </w:tc>
      </w:tr>
      <w:tr>
        <w:trPr>
          <w:trHeight w:val="277"/>
        </w:trPr>
        <w:tc>
          <w:tcPr>
            <w:tcBorders>
              <w:top w:val="single" w:color="000000" w:sz="4" w:space="0"/>
              <w:left w:val="single" w:color="000000" w:sz="4" w:space="0"/>
              <w:bottom w:val="single" w:color="000000" w:sz="4" w:space="0"/>
            </w:tcBorders>
            <w:tcW w:w="7378"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281" w:type="dxa"/>
            <w:textDirection w:val="lrTb"/>
            <w:noWrap w:val="false"/>
          </w:tcPr>
          <w:p>
            <w:pPr>
              <w:pStyle w:val="940"/>
              <w:contextualSpacing/>
              <w:jc w:val="both"/>
              <w:spacing w:before="0" w:after="0"/>
            </w:pPr>
            <w:r>
              <w:t xml:space="preserve">-</w:t>
            </w:r>
            <w:r/>
          </w:p>
        </w:tc>
      </w:tr>
    </w:tbl>
    <w:p>
      <w:pPr>
        <w:pStyle w:val="940"/>
        <w:contextualSpacing/>
        <w:spacing w:before="0" w:after="0"/>
        <w:rPr>
          <w:lang w:eastAsia="en-US"/>
        </w:rPr>
      </w:pPr>
      <w:r>
        <w:rPr>
          <w:lang w:eastAsia="en-US"/>
        </w:rPr>
      </w:r>
      <w:r/>
    </w:p>
    <w:p>
      <w:pPr>
        <w:pStyle w:val="940"/>
        <w:numPr>
          <w:ilvl w:val="1"/>
          <w:numId w:val="52"/>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по типам ОО </w:t>
      </w:r>
      <w:r/>
    </w:p>
    <w:p>
      <w:pPr>
        <w:pStyle w:val="940"/>
        <w:jc w:val="right"/>
        <w:keepNext/>
        <w:spacing w:before="0" w:after="200"/>
        <w:rPr>
          <w:bCs/>
          <w:i/>
          <w:sz w:val="18"/>
          <w:szCs w:val="18"/>
        </w:rPr>
      </w:pPr>
      <w:r>
        <w:rPr>
          <w:bCs/>
          <w:i/>
          <w:sz w:val="18"/>
          <w:szCs w:val="18"/>
        </w:rPr>
        <w:t xml:space="preserve">Таблица 2-4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375"/>
        <w:gridCol w:w="2284"/>
      </w:tblGrid>
      <w:tr>
        <w:trPr>
          <w:trHeight w:val="269"/>
        </w:trPr>
        <w:tc>
          <w:tcPr>
            <w:tcBorders>
              <w:top w:val="single" w:color="000000" w:sz="4" w:space="0"/>
              <w:left w:val="single" w:color="000000" w:sz="4" w:space="0"/>
              <w:bottom w:val="single" w:color="000000" w:sz="4" w:space="0"/>
            </w:tcBorders>
            <w:tcW w:w="7375"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284" w:type="dxa"/>
            <w:textDirection w:val="lrTb"/>
            <w:noWrap w:val="false"/>
          </w:tcPr>
          <w:p>
            <w:pPr>
              <w:pStyle w:val="940"/>
              <w:contextualSpacing/>
              <w:jc w:val="both"/>
              <w:spacing w:before="0" w:after="0"/>
            </w:pPr>
            <w:r>
              <w:t xml:space="preserve">1715</w:t>
            </w:r>
            <w:r/>
          </w:p>
        </w:tc>
      </w:tr>
      <w:tr>
        <w:trPr>
          <w:trHeight w:val="538"/>
        </w:trPr>
        <w:tc>
          <w:tcPr>
            <w:tcBorders>
              <w:top w:val="single" w:color="000000" w:sz="4" w:space="0"/>
              <w:left w:val="single" w:color="000000" w:sz="4" w:space="0"/>
              <w:bottom w:val="single" w:color="000000" w:sz="4" w:space="0"/>
            </w:tcBorders>
            <w:tcW w:w="7375" w:type="dxa"/>
            <w:textDirection w:val="lrTb"/>
            <w:noWrap w:val="false"/>
          </w:tcPr>
          <w:p>
            <w:pPr>
              <w:pStyle w:val="940"/>
              <w:contextualSpacing/>
              <w:jc w:val="both"/>
              <w:spacing w:before="0" w:after="0"/>
            </w:pPr>
            <w:r>
              <w:t xml:space="preserve">Из них:</w:t>
            </w:r>
            <w:r/>
          </w:p>
          <w:p>
            <w:pPr>
              <w:pStyle w:val="940"/>
              <w:numPr>
                <w:ilvl w:val="0"/>
                <w:numId w:val="63"/>
              </w:numPr>
              <w:contextualSpacing/>
              <w:ind w:left="0" w:firstLine="0"/>
              <w:jc w:val="both"/>
              <w:spacing w:before="0" w:after="0"/>
              <w:rPr>
                <w:lang w:eastAsia="en-US"/>
              </w:rPr>
            </w:pPr>
            <w:r>
              <w:rPr>
                <w:lang w:eastAsia="en-US"/>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284" w:type="dxa"/>
            <w:textDirection w:val="lrTb"/>
            <w:noWrap w:val="false"/>
          </w:tcPr>
          <w:p>
            <w:pPr>
              <w:pStyle w:val="940"/>
              <w:contextualSpacing/>
              <w:jc w:val="both"/>
              <w:spacing w:before="0" w:after="0"/>
            </w:pPr>
            <w:r>
              <w:t xml:space="preserve">316</w:t>
            </w:r>
            <w:r/>
          </w:p>
        </w:tc>
      </w:tr>
      <w:tr>
        <w:trPr>
          <w:trHeight w:val="284"/>
        </w:trPr>
        <w:tc>
          <w:tcPr>
            <w:tcBorders>
              <w:top w:val="single" w:color="000000" w:sz="4" w:space="0"/>
              <w:left w:val="single" w:color="000000" w:sz="4" w:space="0"/>
              <w:bottom w:val="single" w:color="000000" w:sz="4" w:space="0"/>
            </w:tcBorders>
            <w:tcW w:w="7375" w:type="dxa"/>
            <w:textDirection w:val="lrTb"/>
            <w:noWrap w:val="false"/>
          </w:tcPr>
          <w:p>
            <w:pPr>
              <w:pStyle w:val="940"/>
              <w:numPr>
                <w:ilvl w:val="0"/>
                <w:numId w:val="63"/>
              </w:numPr>
              <w:contextualSpacing/>
              <w:ind w:left="0" w:firstLine="0"/>
              <w:jc w:val="both"/>
              <w:spacing w:before="0" w:after="0"/>
              <w:rPr>
                <w:lang w:eastAsia="en-US"/>
              </w:rPr>
            </w:pPr>
            <w:r>
              <w:rPr>
                <w:lang w:eastAsia="en-US"/>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284" w:type="dxa"/>
            <w:textDirection w:val="lrTb"/>
            <w:noWrap w:val="false"/>
          </w:tcPr>
          <w:p>
            <w:pPr>
              <w:pStyle w:val="940"/>
              <w:contextualSpacing/>
              <w:jc w:val="both"/>
              <w:spacing w:before="0" w:after="0"/>
            </w:pPr>
            <w:r>
              <w:t xml:space="preserve">1296</w:t>
            </w:r>
            <w:r/>
          </w:p>
        </w:tc>
      </w:tr>
      <w:tr>
        <w:trPr>
          <w:trHeight w:val="284"/>
        </w:trPr>
        <w:tc>
          <w:tcPr>
            <w:tcBorders>
              <w:top w:val="single" w:color="000000" w:sz="4" w:space="0"/>
              <w:left w:val="single" w:color="000000" w:sz="4" w:space="0"/>
              <w:bottom w:val="single" w:color="000000" w:sz="4" w:space="0"/>
            </w:tcBorders>
            <w:tcW w:w="737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284" w:type="dxa"/>
            <w:textDirection w:val="lrTb"/>
            <w:noWrap w:val="false"/>
          </w:tcPr>
          <w:p>
            <w:pPr>
              <w:pStyle w:val="940"/>
              <w:contextualSpacing/>
              <w:jc w:val="both"/>
              <w:spacing w:before="0" w:after="0"/>
            </w:pPr>
            <w:r>
              <w:t xml:space="preserve">4</w:t>
            </w:r>
            <w:r/>
          </w:p>
        </w:tc>
      </w:tr>
      <w:tr>
        <w:trPr>
          <w:trHeight w:val="554"/>
        </w:trPr>
        <w:tc>
          <w:tcPr>
            <w:tcBorders>
              <w:top w:val="single" w:color="000000" w:sz="4" w:space="0"/>
              <w:left w:val="single" w:color="000000" w:sz="4" w:space="0"/>
              <w:bottom w:val="single" w:color="000000" w:sz="4" w:space="0"/>
            </w:tcBorders>
            <w:tcW w:w="7375"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284" w:type="dxa"/>
            <w:textDirection w:val="lrTb"/>
            <w:noWrap w:val="false"/>
          </w:tcPr>
          <w:p>
            <w:pPr>
              <w:pStyle w:val="940"/>
              <w:contextualSpacing/>
              <w:jc w:val="both"/>
              <w:spacing w:before="0" w:after="0"/>
            </w:pPr>
            <w:r>
              <w:t xml:space="preserve">99</w:t>
            </w:r>
            <w:r/>
          </w:p>
        </w:tc>
      </w:tr>
    </w:tbl>
    <w:p>
      <w:pPr>
        <w:pStyle w:val="940"/>
      </w:pPr>
      <w:r/>
      <w:r/>
    </w:p>
    <w:p>
      <w:pPr>
        <w:pStyle w:val="940"/>
        <w:numPr>
          <w:ilvl w:val="1"/>
          <w:numId w:val="52"/>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предмету по АТЕ региона</w:t>
      </w:r>
      <w:r/>
    </w:p>
    <w:p>
      <w:pPr>
        <w:pStyle w:val="940"/>
        <w:jc w:val="right"/>
        <w:keepNext/>
        <w:spacing w:before="0" w:after="200"/>
        <w:rPr>
          <w:bCs/>
          <w:i/>
          <w:sz w:val="18"/>
          <w:szCs w:val="18"/>
        </w:rPr>
      </w:pPr>
      <w:r>
        <w:rPr>
          <w:bCs/>
          <w:i/>
          <w:sz w:val="18"/>
          <w:szCs w:val="18"/>
        </w:rPr>
        <w:t xml:space="preserve">Таблица 2-5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155"/>
        <w:gridCol w:w="3402"/>
        <w:gridCol w:w="3102"/>
      </w:tblGrid>
      <w:tr>
        <w:trPr>
          <w:trHeight w:val="630"/>
        </w:trPr>
        <w:tc>
          <w:tcPr>
            <w:shd w:val="clear" w:color="auto" w:fill="ffffff"/>
            <w:tcBorders>
              <w:top w:val="single" w:color="000000" w:sz="4" w:space="0"/>
              <w:left w:val="single" w:color="000000" w:sz="4" w:space="0"/>
              <w:bottom w:val="single" w:color="000000" w:sz="4" w:space="0"/>
            </w:tcBorders>
            <w:tcW w:w="3155"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обществознанию</w:t>
            </w:r>
            <w:r/>
          </w:p>
        </w:tc>
        <w:tc>
          <w:tcPr>
            <w:shd w:val="clear" w:color="auto" w:fill="ffffff"/>
            <w:tcBorders>
              <w:top w:val="single" w:color="000000" w:sz="4" w:space="0"/>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1017</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55,0</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152</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8,2</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35</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1,9</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81</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4,4</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39</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42</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50</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39</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29</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r>
      <w:tr>
        <w:trPr>
          <w:trHeight w:val="386"/>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46</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64</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3,5</w:t>
            </w:r>
            <w:r/>
          </w:p>
        </w:tc>
      </w:tr>
      <w:tr>
        <w:trPr>
          <w:trHeight w:val="239"/>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84</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4,5</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37</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2,0</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100</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5,4</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11</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0,6</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0,1</w:t>
            </w:r>
            <w:r/>
          </w:p>
        </w:tc>
      </w:tr>
      <w:tr>
        <w:trPr>
          <w:trHeight w:val="315"/>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23</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r>
      <w:tr>
        <w:trPr>
          <w:trHeight w:val="630"/>
        </w:trPr>
        <w:tc>
          <w:tcPr>
            <w:shd w:val="clear" w:color="auto" w:fill="ffffff"/>
            <w:tcBorders>
              <w:left w:val="single" w:color="000000" w:sz="4" w:space="0"/>
              <w:bottom w:val="single" w:color="000000" w:sz="4" w:space="0"/>
            </w:tcBorders>
            <w:tcW w:w="3155"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3102"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0"/>
        <w:numPr>
          <w:ilvl w:val="1"/>
          <w:numId w:val="52"/>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jc w:val="right"/>
        <w:keepNext/>
        <w:spacing w:before="0" w:after="200"/>
        <w:rPr>
          <w:bCs/>
          <w:i/>
          <w:sz w:val="18"/>
          <w:szCs w:val="18"/>
        </w:rPr>
      </w:pPr>
      <w:r>
        <w:rPr>
          <w:bCs/>
          <w:i/>
          <w:sz w:val="18"/>
          <w:szCs w:val="18"/>
        </w:rPr>
        <w:t xml:space="preserve">Таблица 2-6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40"/>
        <w:gridCol w:w="6037"/>
        <w:gridCol w:w="3082"/>
      </w:tblGrid>
      <w:tr>
        <w:trPr>
          <w:cantSplit/>
          <w:tblHeader/>
        </w:trPr>
        <w:tc>
          <w:tcPr>
            <w:tcBorders>
              <w:top w:val="single" w:color="000000" w:sz="4" w:space="0"/>
              <w:left w:val="single" w:color="000000" w:sz="4" w:space="0"/>
              <w:bottom w:val="single" w:color="000000" w:sz="4" w:space="0"/>
            </w:tcBorders>
            <w:tcW w:w="540" w:type="dxa"/>
            <w:vAlign w:val="center"/>
            <w:textDirection w:val="lrTb"/>
            <w:noWrap w:val="false"/>
          </w:tcPr>
          <w:p>
            <w:pPr>
              <w:pStyle w:val="940"/>
              <w:contextualSpacing/>
              <w:jc w:val="center"/>
              <w:spacing w:before="0" w:after="0"/>
            </w:pPr>
            <w:r>
              <w:rPr>
                <w:lang w:eastAsia="en-US"/>
              </w:rPr>
              <w:t xml:space="preserve">№</w:t>
            </w:r>
            <w:r>
              <w:rPr>
                <w:rFonts w:eastAsia="Times New Roman"/>
                <w:lang w:eastAsia="en-US"/>
              </w:rPr>
              <w:t xml:space="preserve"> </w:t>
            </w:r>
            <w:r>
              <w:rPr>
                <w:lang w:eastAsia="en-US"/>
              </w:rPr>
              <w:t xml:space="preserve">п/п</w:t>
            </w:r>
            <w:r/>
          </w:p>
        </w:tc>
        <w:tc>
          <w:tcPr>
            <w:tcBorders>
              <w:top w:val="single" w:color="000000" w:sz="4" w:space="0"/>
              <w:left w:val="single" w:color="000000" w:sz="4" w:space="0"/>
              <w:bottom w:val="single" w:color="000000" w:sz="4" w:space="0"/>
            </w:tcBorders>
            <w:tcW w:w="6037" w:type="dxa"/>
            <w:vAlign w:val="center"/>
            <w:textDirection w:val="lrTb"/>
            <w:noWrap w:val="false"/>
          </w:tcPr>
          <w:p>
            <w:pPr>
              <w:pStyle w:val="940"/>
              <w:contextualSpacing/>
              <w:jc w:val="center"/>
              <w:spacing w:before="0" w:after="0"/>
              <w:rPr>
                <w:lang w:eastAsia="en-US"/>
              </w:rPr>
            </w:pPr>
            <w:r>
              <w:rPr>
                <w:lang w:eastAsia="en-US"/>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940"/>
              <w:contextualSpacing/>
              <w:jc w:val="center"/>
              <w:spacing w:before="0" w:after="0"/>
              <w:rPr>
                <w:lang w:eastAsia="en-US"/>
              </w:rPr>
            </w:pPr>
            <w:r>
              <w:rPr>
                <w:lang w:eastAsia="en-US"/>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УМК «ОБЩЕСТВОЗНАНИЕ» (10-11 кл.) О.А. Котова, Т.Е. Лискова, 2020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rPr>
                <w:rFonts w:eastAsia="Times New Roman"/>
              </w:rPr>
              <w:t xml:space="preserve"> </w:t>
            </w:r>
            <w:r>
              <w:t xml:space="preserve">УМК Г.А. Бордовского. Обществознание /Соболева (10-11), 2018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14</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Обществознание.11 кл. Базовый уровень Учебник для общеобр. организ. Под ред. Г.А. Бордовского М. «Вентана-Граф» 2018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Обществознание 10-11 кл. (базовый уровень).                      Л.Н. Боголюбов, Н.И. Городецкая, Л.Ф. Иванова,                        А.И. Матвеев.  М., «Просвещение »,  2019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34</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5.</w:t>
            </w:r>
            <w:r/>
          </w:p>
        </w:tc>
        <w:tc>
          <w:tcPr>
            <w:tcBorders>
              <w:top w:val="single" w:color="000000" w:sz="4" w:space="0"/>
              <w:left w:val="single" w:color="000000" w:sz="4" w:space="0"/>
              <w:bottom w:val="single" w:color="000000" w:sz="4" w:space="0"/>
            </w:tcBorders>
            <w:tcW w:w="6037" w:type="dxa"/>
            <w:textDirection w:val="lrTb"/>
            <w:noWrap w:val="false"/>
          </w:tcPr>
          <w:p>
            <w:pPr>
              <w:pStyle w:val="940"/>
            </w:pPr>
            <w:r>
              <w:t xml:space="preserve">Лазебниковой А.Ю. Обществознание. 11 класс.  Базовый уровень. 2020 г.</w:t>
            </w:r>
            <w:r/>
          </w:p>
        </w:tc>
        <w:tc>
          <w:tcPr>
            <w:tcBorders>
              <w:top w:val="single" w:color="000000" w:sz="4" w:space="0"/>
              <w:left w:val="single" w:color="000000" w:sz="4" w:space="0"/>
              <w:bottom w:val="single" w:color="000000" w:sz="4" w:space="0"/>
              <w:right w:val="single" w:color="000000" w:sz="4" w:space="0"/>
            </w:tcBorders>
            <w:tcW w:w="308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w:t>
            </w:r>
            <w:r/>
          </w:p>
        </w:tc>
      </w:tr>
    </w:tbl>
    <w:p>
      <w:pPr>
        <w:pStyle w:val="940"/>
        <w:contextualSpacing/>
        <w:jc w:val="both"/>
        <w:spacing w:before="0" w:after="0"/>
        <w:rPr>
          <w:lang w:eastAsia="en-US"/>
        </w:rPr>
      </w:pPr>
      <w:r>
        <w:rPr>
          <w:lang w:eastAsia="en-US"/>
        </w:rPr>
      </w:r>
      <w:r/>
    </w:p>
    <w:p>
      <w:pPr>
        <w:pStyle w:val="940"/>
        <w:numPr>
          <w:ilvl w:val="1"/>
          <w:numId w:val="52"/>
        </w:numPr>
        <w:ind w:left="0" w:firstLine="0"/>
        <w:jc w:val="both"/>
        <w:keepLines/>
        <w:keepNext/>
        <w:spacing w:before="200" w:after="0"/>
        <w:rPr>
          <w:rFonts w:eastAsia="SimSun;宋体"/>
          <w:b/>
          <w:bCs/>
          <w:sz w:val="28"/>
          <w:lang w:val="en-US"/>
        </w:rPr>
      </w:pPr>
      <w:r>
        <w:rPr>
          <w:rFonts w:eastAsia="SimSun;宋体"/>
          <w:b/>
          <w:bCs/>
          <w:sz w:val="28"/>
          <w:lang w:val="en-US"/>
        </w:rPr>
        <w:t xml:space="preserve">ВЫВОДЫ о характере изменения количества участников ЕГЭ по учебному предмету. </w:t>
      </w:r>
      <w:r/>
    </w:p>
    <w:p>
      <w:pPr>
        <w:pStyle w:val="940"/>
        <w:jc w:val="both"/>
        <w:rPr>
          <w:rFonts w:eastAsia="SimSun;宋体"/>
          <w:b/>
          <w:bCs/>
          <w:sz w:val="28"/>
          <w:lang w:val="en-US"/>
        </w:rPr>
      </w:pPr>
      <w:r>
        <w:rPr>
          <w:rFonts w:eastAsia="SimSun;宋体"/>
          <w:b/>
          <w:bCs/>
          <w:sz w:val="28"/>
          <w:lang w:val="en-US"/>
        </w:rPr>
      </w:r>
      <w:r/>
    </w:p>
    <w:p>
      <w:pPr>
        <w:pStyle w:val="940"/>
        <w:ind w:firstLine="708"/>
        <w:jc w:val="both"/>
      </w:pPr>
      <w:r>
        <w:t xml:space="preserve">Количество участников экза</w:t>
      </w:r>
      <w:r>
        <w:t xml:space="preserve">мена по обществознанию по сравнению с 2020 годом сократилось на 2,6%. Можно предположить, что причиной явилось осмысление выпускниками сложности данного предмета, а также профессиональное ориентирование в пользу естественно-научных и технических дисциплин.</w:t>
      </w:r>
      <w:r/>
    </w:p>
    <w:p>
      <w:pPr>
        <w:pStyle w:val="940"/>
        <w:ind w:firstLine="708"/>
        <w:jc w:val="both"/>
      </w:pPr>
      <w:r>
        <w:t xml:space="preserve">В гендерном соотношении наибольший процент в выборе предмета (65,2%) принадлежит девушкам. Однако, этот показатель на 2,6% меньше, чем в прошлом году. </w:t>
      </w:r>
      <w:r/>
    </w:p>
    <w:p>
      <w:pPr>
        <w:pStyle w:val="940"/>
        <w:ind w:firstLine="708"/>
        <w:jc w:val="both"/>
      </w:pPr>
      <w:r>
        <w:t xml:space="preserve">Наблюдается увеличение количества участников ЕГЭ по обществознанию среди обучающихся по программам СПО, а т</w:t>
      </w:r>
      <w:r>
        <w:t xml:space="preserve">акже экстернов. Следует отметить, что большая часть экстернов – это обучающиеся по программам СПО, прикрепленные к образовательной организации с целью сдачи ГИА и получения документа о среднем общем образовании. Таким образом, можно предположить следующее:</w:t>
      </w:r>
      <w:r/>
    </w:p>
    <w:p>
      <w:pPr>
        <w:pStyle w:val="940"/>
        <w:jc w:val="both"/>
      </w:pPr>
      <w:r>
        <w:rPr>
          <w:rFonts w:eastAsia="Times New Roman"/>
        </w:rPr>
        <w:t xml:space="preserve"> </w:t>
      </w:r>
      <w:r>
        <w:rPr>
          <w:rFonts w:eastAsia="Times New Roman"/>
        </w:rPr>
        <w:tab/>
      </w:r>
      <w:r>
        <w:t xml:space="preserve">- обучающиеся по программам СПО не ограничиваются возможностью поступления по результатам вступительных испытаний в форме, определенной вузом (ст.70 ФЗ «Об образовании в Российской Федерации), предпочитая подавать документы в несколько вузов;</w:t>
      </w:r>
      <w:r/>
    </w:p>
    <w:p>
      <w:pPr>
        <w:pStyle w:val="940"/>
        <w:jc w:val="both"/>
      </w:pPr>
      <w:r>
        <w:rPr>
          <w:rFonts w:eastAsia="Times New Roman"/>
        </w:rPr>
        <w:t xml:space="preserve"> </w:t>
      </w:r>
      <w:r>
        <w:rPr>
          <w:rFonts w:eastAsia="Times New Roman"/>
        </w:rPr>
        <w:tab/>
      </w:r>
      <w:r>
        <w:t xml:space="preserve">- все большее </w:t>
      </w:r>
      <w:r>
        <w:t xml:space="preserve">количество обучающихся по программам СПО, завершивших освоение программы среднего общего образования (1-2 курс) предпочитают поступить в вуз, не дожидаясь окончания своей образовательной организации, что приводит к увеличению количества экстернов в школах.</w:t>
      </w:r>
      <w:r/>
    </w:p>
    <w:p>
      <w:pPr>
        <w:pStyle w:val="940"/>
        <w:ind w:firstLine="708"/>
        <w:jc w:val="both"/>
      </w:pPr>
      <w:r>
        <w:t xml:space="preserve">Анализируя состав участников</w:t>
      </w:r>
      <w:r>
        <w:t xml:space="preserve"> по видам образовательных организаций, нужно отметить, что уменьшение общего процента участников произошло за счет уменьшения количества участников, выбравших данный предмет, из СОШ, лицеев и гимназий, однако эти ОО по-прежнему занимают лидирующие позиции.</w:t>
      </w:r>
      <w:r/>
    </w:p>
    <w:p>
      <w:pPr>
        <w:pStyle w:val="940"/>
        <w:ind w:firstLine="708"/>
        <w:jc w:val="both"/>
      </w:pPr>
      <w:r>
        <w:t xml:space="preserve">Более 50% участников являются выпускниками ОО г. Астрахани. Среди сельских районов можно отметить уменьшение количества участников в Камызякском и Харабалинском районах.</w:t>
      </w:r>
      <w:r/>
    </w:p>
    <w:p>
      <w:pPr>
        <w:pStyle w:val="940"/>
        <w:jc w:val="both"/>
      </w:pPr>
      <w:r/>
      <w:r/>
    </w:p>
    <w:p>
      <w:pPr>
        <w:pStyle w:val="940"/>
        <w:jc w:val="both"/>
      </w:pPr>
      <w:r/>
      <w:r/>
    </w:p>
    <w:p>
      <w:pPr>
        <w:pStyle w:val="940"/>
        <w:jc w:val="both"/>
      </w:pPr>
      <w:r/>
      <w:r/>
    </w:p>
    <w:p>
      <w:pPr>
        <w:pStyle w:val="940"/>
        <w:jc w:val="both"/>
      </w:pPr>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2.  ОСНОВНЫЕ РЕЗУЛЬТАТЫ ЕГЭ ПО ПРЕДМЕТУ</w:t>
      </w:r>
      <w:r/>
    </w:p>
    <w:p>
      <w:pPr>
        <w:pStyle w:val="940"/>
        <w:jc w:val="center"/>
        <w:rPr>
          <w:rFonts w:eastAsia="SimSun;宋体"/>
          <w:b/>
          <w:bCs/>
          <w:sz w:val="32"/>
          <w:szCs w:val="28"/>
        </w:rPr>
      </w:pPr>
      <w:r>
        <w:rPr>
          <w:rFonts w:eastAsia="SimSun;宋体"/>
          <w:b/>
          <w:bCs/>
          <w:sz w:val="32"/>
          <w:szCs w:val="28"/>
        </w:rPr>
        <w:t xml:space="preserve">«Обществознание»</w:t>
      </w:r>
      <w:r/>
    </w:p>
    <w:p>
      <w:pPr>
        <w:pStyle w:val="940"/>
        <w:numPr>
          <w:ilvl w:val="0"/>
          <w:numId w:val="52"/>
        </w:numPr>
        <w:ind w:left="0" w:firstLine="0"/>
        <w:keepLines/>
        <w:keepNext/>
        <w:spacing w:before="200" w:after="0"/>
        <w:rPr>
          <w:rFonts w:eastAsia="SimSun;宋体"/>
          <w:b/>
          <w:vanish/>
          <w:sz w:val="28"/>
        </w:rPr>
      </w:pPr>
      <w:r>
        <w:rPr>
          <w:rFonts w:eastAsia="SimSun;宋体"/>
          <w:b/>
          <w:vanish/>
          <w:sz w:val="28"/>
        </w:rPr>
      </w:r>
      <w:r/>
    </w:p>
    <w:p>
      <w:pPr>
        <w:pStyle w:val="940"/>
        <w:numPr>
          <w:ilvl w:val="1"/>
          <w:numId w:val="52"/>
        </w:numPr>
        <w:ind w:left="0" w:firstLine="0"/>
        <w:jc w:val="both"/>
        <w:keepLines/>
        <w:keepNext/>
        <w:spacing w:before="200" w:after="0"/>
        <w:tabs>
          <w:tab w:val="left" w:pos="142" w:leader="none"/>
          <w:tab w:val="clear" w:pos="708" w:leader="none"/>
        </w:tabs>
      </w:pPr>
      <w:r>
        <w:rPr>
          <w:rFonts w:eastAsia="SimSun;宋体"/>
          <w:b/>
          <w:bCs/>
          <w:sz w:val="28"/>
          <w:lang w:val="en-US"/>
        </w:rPr>
        <w:t xml:space="preserve">Диаграмма распределения тестовых баллов </w:t>
      </w:r>
      <w:r>
        <w:rPr>
          <w:rFonts w:eastAsia="SimSun;宋体"/>
          <w:b/>
          <w:bCs/>
          <w:sz w:val="28"/>
        </w:rPr>
        <w:t xml:space="preserve">участников ЕГЭ </w:t>
      </w:r>
      <w:r>
        <w:rPr>
          <w:rFonts w:eastAsia="SimSun;宋体"/>
          <w:b/>
          <w:bCs/>
          <w:sz w:val="28"/>
          <w:lang w:val="en-US"/>
        </w:rPr>
        <w:t xml:space="preserve">по предмету</w:t>
      </w:r>
      <w:r>
        <w:rPr>
          <w:rFonts w:eastAsia="SimSun;宋体"/>
          <w:b/>
          <w:bCs/>
          <w:sz w:val="28"/>
        </w:rPr>
        <w:t xml:space="preserve"> </w:t>
      </w:r>
      <w:r>
        <w:rPr>
          <w:rFonts w:eastAsia="SimSun;宋体"/>
          <w:b/>
          <w:bCs/>
          <w:sz w:val="28"/>
          <w:lang w:val="en-US"/>
        </w:rPr>
        <w:t xml:space="preserve">в</w:t>
      </w:r>
      <w:r>
        <w:rPr>
          <w:rFonts w:eastAsia="SimSun;宋体"/>
          <w:b/>
          <w:bCs/>
          <w:sz w:val="28"/>
        </w:rPr>
        <w:t xml:space="preserve"> </w:t>
      </w:r>
      <w:r>
        <w:rPr>
          <w:rFonts w:eastAsia="SimSun;宋体"/>
          <w:b/>
          <w:bCs/>
          <w:sz w:val="28"/>
          <w:lang w:val="en-US"/>
        </w:rPr>
        <w:t xml:space="preserve">2021</w:t>
      </w:r>
      <w:r>
        <w:rPr>
          <w:rFonts w:eastAsia="SimSun;宋体"/>
          <w:b/>
          <w:bCs/>
          <w:sz w:val="28"/>
        </w:rPr>
        <w:t xml:space="preserve"> </w:t>
      </w:r>
      <w:r>
        <w:rPr>
          <w:rFonts w:eastAsia="SimSun;宋体"/>
          <w:b/>
          <w:bCs/>
          <w:sz w:val="28"/>
          <w:lang w:val="en-US"/>
        </w:rPr>
        <w:t xml:space="preserve">г.</w:t>
      </w:r>
      <w:r/>
    </w:p>
    <w:p>
      <w:pPr>
        <w:pStyle w:val="940"/>
        <w:jc w:val="both"/>
        <w:keepLines/>
        <w:keepNext/>
        <w:spacing w:before="200" w:after="0"/>
        <w:tabs>
          <w:tab w:val="left" w:pos="142" w:leader="none"/>
          <w:tab w:val="clear" w:pos="708" w:leader="none"/>
        </w:tabs>
        <w:rPr>
          <w:rFonts w:eastAsia="SimSun;宋体"/>
          <w:bCs/>
          <w:i/>
          <w:lang w:val="en-US"/>
        </w:rPr>
      </w:pPr>
      <w:r>
        <w:rPr>
          <w:rFonts w:eastAsia="SimSun;宋体"/>
          <w:bCs/>
          <w:i/>
          <w:lang w:val="en-US"/>
        </w:rPr>
        <w:t xml:space="preserve">(количество участников, получивших тот или иной тестовый балл)</w:t>
      </w:r>
      <w:r/>
    </w:p>
    <w:p>
      <w:pPr>
        <w:pStyle w:val="940"/>
        <w:rPr>
          <w:rFonts w:eastAsia="SimSun;宋体"/>
          <w:bCs/>
          <w:i/>
          <w:lang w:val="en-US"/>
        </w:rPr>
      </w:pPr>
      <w:r>
        <w:rPr>
          <w:rFonts w:eastAsia="SimSun;宋体"/>
          <w:bCs/>
          <w:i/>
          <w:lang w:val="en-US"/>
        </w:rPr>
      </w:r>
      <w:r/>
    </w:p>
    <w:p>
      <w:pPr>
        <w:pStyle w:val="940"/>
        <w:jc w:val="center"/>
        <w:rPr>
          <w:rFonts w:eastAsia="Times New Roman"/>
          <w:b/>
          <w:bCs/>
          <w:sz w:val="28"/>
        </w:rPr>
      </w:pPr>
      <w:r>
        <w:rPr>
          <w:lang w:val="en-US" w:eastAsia="en-US"/>
        </w:rPr>
        <mc:AlternateContent>
          <mc:Choice Requires="wpg">
            <w:drawing>
              <wp:inline xmlns:wp="http://schemas.openxmlformats.org/drawingml/2006/wordprocessingDrawing" distT="0" distB="0" distL="0" distR="0">
                <wp:extent cx="6096635" cy="1896110"/>
                <wp:effectExtent l="0" t="0" r="0" b="0"/>
                <wp:docPr id="17" name="Image12"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hidden="0"/>
                        <pic:cNvPicPr>
                          <a:picLocks noChangeAspect="1"/>
                        </pic:cNvPicPr>
                        <pic:nvPr isPhoto="0" userDrawn="0"/>
                      </pic:nvPicPr>
                      <pic:blipFill>
                        <a:blip r:embed="rId38"/>
                        <a:srcRect l="0" t="9152" r="0" b="0"/>
                        <a:stretch/>
                      </pic:blipFill>
                      <pic:spPr bwMode="auto">
                        <a:xfrm>
                          <a:off x="0" y="0"/>
                          <a:ext cx="6096635" cy="189611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80.0pt;height:149.3pt;" strokecolor="#000000" strokeweight="0.75pt">
                <v:path textboxrect="0,0,0,0"/>
                <v:imagedata r:id="rId38" o:title=""/>
              </v:shape>
            </w:pict>
          </mc:Fallback>
        </mc:AlternateContent>
      </w:r>
      <w:r/>
    </w:p>
    <w:p>
      <w:pPr>
        <w:pStyle w:val="940"/>
        <w:numPr>
          <w:ilvl w:val="1"/>
          <w:numId w:val="52"/>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Динамика результатов ЕГЭ по предмету за последние 3 года</w:t>
      </w:r>
      <w:r/>
    </w:p>
    <w:p>
      <w:pPr>
        <w:pStyle w:val="940"/>
        <w:jc w:val="right"/>
        <w:keepNext/>
        <w:spacing w:before="0" w:after="200"/>
        <w:rPr>
          <w:bCs/>
          <w:i/>
          <w:sz w:val="18"/>
          <w:szCs w:val="18"/>
        </w:rPr>
      </w:pPr>
      <w:r>
        <w:rPr>
          <w:bCs/>
          <w:i/>
          <w:sz w:val="18"/>
          <w:szCs w:val="18"/>
        </w:rPr>
        <w:t xml:space="preserve">Таблица 2-7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081"/>
        <w:gridCol w:w="1519"/>
        <w:gridCol w:w="1651"/>
        <w:gridCol w:w="1408"/>
      </w:tblGrid>
      <w:tr>
        <w:trPr>
          <w:cantSplit/>
          <w:trHeight w:val="338"/>
          <w:tblHeader/>
        </w:trPr>
        <w:tc>
          <w:tcPr>
            <w:tcBorders>
              <w:top w:val="single" w:color="000000" w:sz="4" w:space="0"/>
              <w:left w:val="single" w:color="000000" w:sz="4" w:space="0"/>
              <w:bottom w:val="single" w:color="000000" w:sz="4" w:space="0"/>
            </w:tcBorders>
            <w:tcW w:w="5081"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578"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5"/>
          <w:tblHeader/>
        </w:trPr>
        <w:tc>
          <w:tcPr>
            <w:tcBorders>
              <w:top w:val="single" w:color="000000" w:sz="4" w:space="0"/>
              <w:left w:val="single" w:color="000000" w:sz="4" w:space="0"/>
              <w:bottom w:val="single" w:color="000000" w:sz="4" w:space="0"/>
            </w:tcBorders>
            <w:tcW w:w="5081"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19"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651"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408"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49"/>
        </w:trPr>
        <w:tc>
          <w:tcPr>
            <w:tcBorders>
              <w:top w:val="single" w:color="000000" w:sz="4" w:space="0"/>
              <w:left w:val="single" w:color="000000" w:sz="4" w:space="0"/>
              <w:bottom w:val="single" w:color="000000" w:sz="4" w:space="0"/>
            </w:tcBorders>
            <w:tcW w:w="5081"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19" w:type="dxa"/>
            <w:vAlign w:val="center"/>
            <w:textDirection w:val="lrTb"/>
            <w:noWrap w:val="false"/>
          </w:tcPr>
          <w:p>
            <w:pPr>
              <w:pStyle w:val="940"/>
              <w:jc w:val="center"/>
              <w:rPr>
                <w:color w:val="000000"/>
              </w:rPr>
            </w:pPr>
            <w:r>
              <w:rPr>
                <w:color w:val="000000"/>
              </w:rPr>
              <w:t xml:space="preserve">24,6</w:t>
            </w:r>
            <w:r/>
          </w:p>
        </w:tc>
        <w:tc>
          <w:tcPr>
            <w:tcBorders>
              <w:top w:val="single" w:color="000000" w:sz="4" w:space="0"/>
              <w:left w:val="single" w:color="000000" w:sz="4" w:space="0"/>
              <w:bottom w:val="single" w:color="000000" w:sz="4" w:space="0"/>
            </w:tcBorders>
            <w:tcW w:w="1651" w:type="dxa"/>
            <w:vAlign w:val="center"/>
            <w:textDirection w:val="lrTb"/>
            <w:noWrap w:val="false"/>
          </w:tcPr>
          <w:p>
            <w:pPr>
              <w:pStyle w:val="940"/>
              <w:jc w:val="center"/>
              <w:rPr>
                <w:color w:val="000000"/>
              </w:rPr>
            </w:pPr>
            <w:r>
              <w:rPr>
                <w:color w:val="000000"/>
              </w:rPr>
              <w:t xml:space="preserve">19,5</w:t>
            </w:r>
            <w:r/>
          </w:p>
        </w:tc>
        <w:tc>
          <w:tcPr>
            <w:tcBorders>
              <w:top w:val="single" w:color="000000" w:sz="4" w:space="0"/>
              <w:left w:val="single" w:color="000000" w:sz="4" w:space="0"/>
              <w:bottom w:val="single" w:color="000000" w:sz="4" w:space="0"/>
              <w:right w:val="single" w:color="000000" w:sz="4" w:space="0"/>
            </w:tcBorders>
            <w:tcW w:w="1408" w:type="dxa"/>
            <w:textDirection w:val="lrTb"/>
            <w:noWrap w:val="false"/>
          </w:tcPr>
          <w:p>
            <w:pPr>
              <w:pStyle w:val="940"/>
              <w:jc w:val="center"/>
            </w:pPr>
            <w:r>
              <w:t xml:space="preserve">19,8</w:t>
            </w:r>
            <w:r/>
          </w:p>
        </w:tc>
      </w:tr>
      <w:tr>
        <w:trPr>
          <w:cantSplit/>
          <w:trHeight w:val="354"/>
        </w:trPr>
        <w:tc>
          <w:tcPr>
            <w:tcBorders>
              <w:top w:val="single" w:color="000000" w:sz="4" w:space="0"/>
              <w:left w:val="single" w:color="000000" w:sz="4" w:space="0"/>
              <w:bottom w:val="single" w:color="000000" w:sz="4" w:space="0"/>
            </w:tcBorders>
            <w:tcW w:w="5081"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19" w:type="dxa"/>
            <w:vAlign w:val="center"/>
            <w:textDirection w:val="lrTb"/>
            <w:noWrap w:val="false"/>
          </w:tcPr>
          <w:p>
            <w:pPr>
              <w:pStyle w:val="940"/>
              <w:jc w:val="center"/>
              <w:rPr>
                <w:color w:val="000000"/>
              </w:rPr>
            </w:pPr>
            <w:r>
              <w:rPr>
                <w:color w:val="000000"/>
              </w:rPr>
              <w:t xml:space="preserve">52,6</w:t>
            </w:r>
            <w:r/>
          </w:p>
        </w:tc>
        <w:tc>
          <w:tcPr>
            <w:tcBorders>
              <w:left w:val="single" w:color="000000" w:sz="4" w:space="0"/>
              <w:bottom w:val="single" w:color="000000" w:sz="4" w:space="0"/>
            </w:tcBorders>
            <w:tcW w:w="1651" w:type="dxa"/>
            <w:vAlign w:val="center"/>
            <w:textDirection w:val="lrTb"/>
            <w:noWrap w:val="false"/>
          </w:tcPr>
          <w:p>
            <w:pPr>
              <w:pStyle w:val="940"/>
              <w:jc w:val="center"/>
              <w:rPr>
                <w:color w:val="000000"/>
              </w:rPr>
            </w:pPr>
            <w:r>
              <w:rPr>
                <w:color w:val="000000"/>
              </w:rPr>
              <w:t xml:space="preserve">54,8</w:t>
            </w:r>
            <w:r/>
          </w:p>
        </w:tc>
        <w:tc>
          <w:tcPr>
            <w:tcBorders>
              <w:top w:val="single" w:color="000000" w:sz="4" w:space="0"/>
              <w:left w:val="single" w:color="000000" w:sz="4" w:space="0"/>
              <w:bottom w:val="single" w:color="000000" w:sz="4" w:space="0"/>
              <w:right w:val="single" w:color="000000" w:sz="4" w:space="0"/>
            </w:tcBorders>
            <w:tcW w:w="1408" w:type="dxa"/>
            <w:textDirection w:val="lrTb"/>
            <w:noWrap w:val="false"/>
          </w:tcPr>
          <w:p>
            <w:pPr>
              <w:pStyle w:val="940"/>
              <w:jc w:val="center"/>
            </w:pPr>
            <w:r>
              <w:t xml:space="preserve">53,7</w:t>
            </w:r>
            <w:r/>
          </w:p>
        </w:tc>
      </w:tr>
      <w:tr>
        <w:trPr>
          <w:cantSplit/>
          <w:trHeight w:val="338"/>
        </w:trPr>
        <w:tc>
          <w:tcPr>
            <w:tcBorders>
              <w:top w:val="single" w:color="000000" w:sz="4" w:space="0"/>
              <w:left w:val="single" w:color="000000" w:sz="4" w:space="0"/>
              <w:bottom w:val="single" w:color="000000" w:sz="4" w:space="0"/>
            </w:tcBorders>
            <w:tcW w:w="508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19" w:type="dxa"/>
            <w:vAlign w:val="center"/>
            <w:textDirection w:val="lrTb"/>
            <w:noWrap w:val="false"/>
          </w:tcPr>
          <w:p>
            <w:pPr>
              <w:pStyle w:val="940"/>
              <w:jc w:val="center"/>
              <w:rPr>
                <w:color w:val="000000"/>
              </w:rPr>
            </w:pPr>
            <w:r>
              <w:rPr>
                <w:color w:val="000000"/>
              </w:rPr>
              <w:t xml:space="preserve">5,3</w:t>
            </w:r>
            <w:r/>
          </w:p>
        </w:tc>
        <w:tc>
          <w:tcPr>
            <w:tcBorders>
              <w:left w:val="single" w:color="000000" w:sz="4" w:space="0"/>
              <w:bottom w:val="single" w:color="000000" w:sz="4" w:space="0"/>
            </w:tcBorders>
            <w:tcW w:w="1651" w:type="dxa"/>
            <w:vAlign w:val="center"/>
            <w:textDirection w:val="lrTb"/>
            <w:noWrap w:val="false"/>
          </w:tcPr>
          <w:p>
            <w:pPr>
              <w:pStyle w:val="940"/>
              <w:jc w:val="center"/>
              <w:rPr>
                <w:color w:val="000000"/>
              </w:rPr>
            </w:pPr>
            <w:r>
              <w:rPr>
                <w:color w:val="000000"/>
              </w:rPr>
              <w:t xml:space="preserve">7,7</w:t>
            </w:r>
            <w:r/>
          </w:p>
        </w:tc>
        <w:tc>
          <w:tcPr>
            <w:tcBorders>
              <w:top w:val="single" w:color="000000" w:sz="4" w:space="0"/>
              <w:left w:val="single" w:color="000000" w:sz="4" w:space="0"/>
              <w:bottom w:val="single" w:color="000000" w:sz="4" w:space="0"/>
              <w:right w:val="single" w:color="000000" w:sz="4" w:space="0"/>
            </w:tcBorders>
            <w:tcW w:w="1408" w:type="dxa"/>
            <w:textDirection w:val="lrTb"/>
            <w:noWrap w:val="false"/>
          </w:tcPr>
          <w:p>
            <w:pPr>
              <w:pStyle w:val="940"/>
              <w:jc w:val="center"/>
            </w:pPr>
            <w:r>
              <w:t xml:space="preserve">4,9</w:t>
            </w:r>
            <w:r/>
          </w:p>
        </w:tc>
      </w:tr>
      <w:tr>
        <w:trPr>
          <w:cantSplit/>
          <w:trHeight w:val="338"/>
        </w:trPr>
        <w:tc>
          <w:tcPr>
            <w:tcBorders>
              <w:top w:val="single" w:color="000000" w:sz="4" w:space="0"/>
              <w:left w:val="single" w:color="000000" w:sz="4" w:space="0"/>
              <w:bottom w:val="single" w:color="000000" w:sz="4" w:space="0"/>
            </w:tcBorders>
            <w:tcW w:w="508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19" w:type="dxa"/>
            <w:vAlign w:val="center"/>
            <w:textDirection w:val="lrTb"/>
            <w:noWrap w:val="false"/>
          </w:tcPr>
          <w:p>
            <w:pPr>
              <w:pStyle w:val="940"/>
              <w:jc w:val="center"/>
              <w:rPr>
                <w:color w:val="000000"/>
              </w:rPr>
            </w:pPr>
            <w:r>
              <w:rPr>
                <w:color w:val="000000"/>
              </w:rPr>
              <w:t xml:space="preserve">1</w:t>
            </w:r>
            <w:r/>
          </w:p>
        </w:tc>
        <w:tc>
          <w:tcPr>
            <w:tcBorders>
              <w:left w:val="single" w:color="000000" w:sz="4" w:space="0"/>
              <w:bottom w:val="single" w:color="000000" w:sz="4" w:space="0"/>
            </w:tcBorders>
            <w:tcW w:w="1651" w:type="dxa"/>
            <w:vAlign w:val="center"/>
            <w:textDirection w:val="lrTb"/>
            <w:noWrap w:val="false"/>
          </w:tcPr>
          <w:p>
            <w:pPr>
              <w:pStyle w:val="940"/>
              <w:jc w:val="center"/>
              <w:rPr>
                <w:color w:val="000000"/>
              </w:rPr>
            </w:pPr>
            <w:r>
              <w:rPr>
                <w:color w:val="000000"/>
              </w:rPr>
              <w:t xml:space="preserve">3</w:t>
            </w:r>
            <w:r/>
          </w:p>
        </w:tc>
        <w:tc>
          <w:tcPr>
            <w:tcBorders>
              <w:top w:val="single" w:color="000000" w:sz="4" w:space="0"/>
              <w:left w:val="single" w:color="000000" w:sz="4" w:space="0"/>
              <w:bottom w:val="single" w:color="000000" w:sz="4" w:space="0"/>
              <w:right w:val="single" w:color="000000" w:sz="4" w:space="0"/>
            </w:tcBorders>
            <w:tcW w:w="1408" w:type="dxa"/>
            <w:textDirection w:val="lrTb"/>
            <w:noWrap w:val="false"/>
          </w:tcPr>
          <w:p>
            <w:pPr>
              <w:pStyle w:val="940"/>
              <w:jc w:val="center"/>
            </w:pPr>
            <w:r>
              <w:t xml:space="preserve">0</w:t>
            </w:r>
            <w:r/>
          </w:p>
        </w:tc>
      </w:tr>
    </w:tbl>
    <w:p>
      <w:pPr>
        <w:pStyle w:val="940"/>
        <w:jc w:val="both"/>
        <w:tabs>
          <w:tab w:val="clear" w:pos="708" w:leader="none"/>
          <w:tab w:val="left" w:pos="709" w:leader="none"/>
        </w:tabs>
      </w:pPr>
      <w:r/>
      <w:r/>
    </w:p>
    <w:p>
      <w:pPr>
        <w:pStyle w:val="940"/>
        <w:numPr>
          <w:ilvl w:val="1"/>
          <w:numId w:val="52"/>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Результаты по группам участников экзамена с различным уровнем подготовки:</w:t>
      </w:r>
      <w:r/>
    </w:p>
    <w:p>
      <w:pPr>
        <w:pStyle w:val="940"/>
        <w:numPr>
          <w:ilvl w:val="2"/>
          <w:numId w:val="52"/>
        </w:numPr>
        <w:ind w:left="567" w:firstLine="0"/>
        <w:keepLines/>
        <w:keepNext/>
        <w:spacing w:before="200" w:after="0"/>
      </w:pPr>
      <w:r>
        <w:rPr>
          <w:rFonts w:eastAsia="SimSun;宋体"/>
          <w:sz w:val="28"/>
          <w:lang w:val="en-US"/>
        </w:rPr>
        <w:t xml:space="preserve">в разрезе категорий</w:t>
      </w:r>
      <w:r>
        <w:rPr>
          <w:rFonts w:eastAsia="SimSun;宋体"/>
          <w:sz w:val="28"/>
        </w:rPr>
        <w:t xml:space="preserve"> </w:t>
      </w:r>
      <w:r>
        <w:rPr>
          <w:rFonts w:eastAsia="SimSun;宋体"/>
          <w:sz w:val="28"/>
          <w:lang w:val="en-US"/>
        </w:rPr>
        <w:t xml:space="preserve">участников ЕГЭ </w:t>
      </w:r>
      <w:r/>
    </w:p>
    <w:p>
      <w:pPr>
        <w:pStyle w:val="940"/>
        <w:jc w:val="right"/>
        <w:keepNext/>
        <w:spacing w:before="0" w:after="200"/>
        <w:rPr>
          <w:bCs/>
          <w:i/>
          <w:sz w:val="18"/>
          <w:szCs w:val="18"/>
        </w:rPr>
      </w:pPr>
      <w:r>
        <w:rPr>
          <w:bCs/>
          <w:i/>
          <w:sz w:val="18"/>
          <w:szCs w:val="18"/>
        </w:rPr>
        <w:t xml:space="preserve">Таблица 2-8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65"/>
        <w:gridCol w:w="1190"/>
        <w:gridCol w:w="1190"/>
        <w:gridCol w:w="1162"/>
        <w:gridCol w:w="1228"/>
        <w:gridCol w:w="1156"/>
        <w:gridCol w:w="1189"/>
        <w:gridCol w:w="1079"/>
      </w:tblGrid>
      <w:tr>
        <w:trPr>
          <w:cantSplit/>
          <w:trHeight w:val="1052"/>
          <w:tblHeader/>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6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28"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18,3</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36,4</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42,0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34,8</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46,6</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54,5</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56,5</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30,0</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9,1</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15,0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30,0</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8,7</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5,1</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20,0</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541"/>
        </w:trPr>
        <w:tc>
          <w:tcPr>
            <w:tcBorders>
              <w:top w:val="single" w:color="000000" w:sz="4" w:space="0"/>
              <w:left w:val="single" w:color="000000" w:sz="4" w:space="0"/>
              <w:bottom w:val="single" w:color="000000" w:sz="4" w:space="0"/>
            </w:tcBorders>
            <w:tcW w:w="146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90"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6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28"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56"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8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79"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keepNext/>
        <w:spacing w:before="0" w:after="200"/>
        <w:rPr>
          <w:bCs/>
          <w:i/>
          <w:sz w:val="18"/>
          <w:szCs w:val="18"/>
        </w:rPr>
      </w:pPr>
      <w:r>
        <w:rPr>
          <w:bCs/>
          <w:i/>
          <w:sz w:val="18"/>
          <w:szCs w:val="18"/>
        </w:rPr>
      </w:r>
      <w:r/>
    </w:p>
    <w:p>
      <w:pPr>
        <w:pStyle w:val="940"/>
        <w:numPr>
          <w:ilvl w:val="2"/>
          <w:numId w:val="52"/>
        </w:numPr>
        <w:ind w:left="567" w:firstLine="0"/>
        <w:keepLines/>
        <w:keepNext/>
        <w:spacing w:before="200" w:after="0"/>
        <w:rPr>
          <w:rFonts w:eastAsia="SimSun;宋体"/>
          <w:sz w:val="28"/>
          <w:lang w:val="en-US"/>
        </w:rPr>
      </w:pPr>
      <w:r>
        <w:rPr>
          <w:rFonts w:eastAsia="SimSun;宋体"/>
          <w:sz w:val="28"/>
          <w:lang w:val="en-US"/>
        </w:rPr>
        <w:t xml:space="preserve">в разрезе типа ОО</w:t>
      </w:r>
      <w:r/>
    </w:p>
    <w:p>
      <w:pPr>
        <w:pStyle w:val="940"/>
        <w:jc w:val="right"/>
        <w:keepNext/>
        <w:spacing w:before="0" w:after="200"/>
        <w:rPr>
          <w:bCs/>
          <w:i/>
          <w:sz w:val="18"/>
          <w:szCs w:val="18"/>
        </w:rPr>
      </w:pPr>
      <w:r>
        <w:rPr>
          <w:bCs/>
          <w:i/>
          <w:sz w:val="18"/>
          <w:szCs w:val="18"/>
        </w:rPr>
        <w:t xml:space="preserve">Таблица 2-9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656"/>
        <w:gridCol w:w="1650"/>
        <w:gridCol w:w="1651"/>
        <w:gridCol w:w="1623"/>
        <w:gridCol w:w="1626"/>
        <w:gridCol w:w="1560"/>
      </w:tblGrid>
      <w:tr>
        <w:trPr>
          <w:trHeight w:val="337"/>
        </w:trPr>
        <w:tc>
          <w:tcPr>
            <w:tcBorders>
              <w:top w:val="single" w:color="000000" w:sz="4" w:space="0"/>
              <w:left w:val="single" w:color="000000" w:sz="4" w:space="0"/>
              <w:bottom w:val="single" w:color="000000" w:sz="4" w:space="0"/>
            </w:tcBorders>
            <w:tcW w:w="1656"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55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60"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37"/>
        </w:trPr>
        <w:tc>
          <w:tcPr>
            <w:tcBorders>
              <w:top w:val="single" w:color="000000" w:sz="4" w:space="0"/>
              <w:left w:val="single" w:color="000000" w:sz="4" w:space="0"/>
              <w:bottom w:val="single" w:color="000000" w:sz="4" w:space="0"/>
            </w:tcBorders>
            <w:tcW w:w="1656"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50"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5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623"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60" w:type="dxa"/>
            <w:vAlign w:val="bottom"/>
            <w:vMerge w:val="continue"/>
            <w:textDirection w:val="lrTb"/>
            <w:noWrap w:val="false"/>
          </w:tcPr>
          <w:p>
            <w:pPr>
              <w:pStyle w:val="940"/>
              <w:rPr>
                <w:rFonts w:eastAsia="Times New Roman"/>
              </w:rPr>
            </w:pPr>
            <w:r>
              <w:rPr>
                <w:rFonts w:eastAsia="Times New Roman"/>
              </w:rPr>
            </w:r>
            <w:r/>
          </w:p>
        </w:tc>
      </w:tr>
      <w:tr>
        <w:trPr>
          <w:trHeight w:val="315"/>
        </w:trPr>
        <w:tc>
          <w:tcPr>
            <w:tcBorders>
              <w:left w:val="single" w:color="000000" w:sz="4" w:space="0"/>
              <w:bottom w:val="single" w:color="000000" w:sz="4" w:space="0"/>
            </w:tcBorders>
            <w:tcW w:w="1656" w:type="dxa"/>
            <w:vAlign w:val="bottom"/>
            <w:textDirection w:val="lrTb"/>
            <w:noWrap w:val="false"/>
          </w:tcPr>
          <w:p>
            <w:pPr>
              <w:pStyle w:val="940"/>
              <w:rPr>
                <w:rFonts w:eastAsia="Times New Roman"/>
              </w:rPr>
            </w:pPr>
            <w:r>
              <w:rPr>
                <w:rFonts w:eastAsia="Times New Roman"/>
              </w:rPr>
              <w:t xml:space="preserve">СОШ</w:t>
            </w:r>
            <w:r/>
          </w:p>
        </w:tc>
        <w:tc>
          <w:tcPr>
            <w:tcBorders>
              <w:left w:val="single" w:color="000000" w:sz="4" w:space="0"/>
              <w:bottom w:val="single" w:color="000000" w:sz="4" w:space="0"/>
            </w:tcBorders>
            <w:tcW w:w="1650" w:type="dxa"/>
            <w:vAlign w:val="bottom"/>
            <w:textDirection w:val="lrTb"/>
            <w:noWrap w:val="false"/>
          </w:tcPr>
          <w:p>
            <w:pPr>
              <w:pStyle w:val="940"/>
              <w:jc w:val="center"/>
              <w:rPr>
                <w:rFonts w:eastAsia="Times New Roman"/>
              </w:rPr>
            </w:pPr>
            <w:r>
              <w:rPr>
                <w:rFonts w:eastAsia="Times New Roman"/>
              </w:rPr>
              <w:t xml:space="preserve">21,5</w:t>
            </w:r>
            <w:r/>
          </w:p>
        </w:tc>
        <w:tc>
          <w:tcPr>
            <w:tcBorders>
              <w:left w:val="single" w:color="000000" w:sz="4" w:space="0"/>
              <w:bottom w:val="single" w:color="000000" w:sz="4" w:space="0"/>
            </w:tcBorders>
            <w:tcW w:w="1651" w:type="dxa"/>
            <w:vAlign w:val="bottom"/>
            <w:textDirection w:val="lrTb"/>
            <w:noWrap w:val="false"/>
          </w:tcPr>
          <w:p>
            <w:pPr>
              <w:pStyle w:val="940"/>
              <w:jc w:val="center"/>
              <w:rPr>
                <w:rFonts w:eastAsia="Times New Roman"/>
              </w:rPr>
            </w:pPr>
            <w:r>
              <w:rPr>
                <w:rFonts w:eastAsia="Times New Roman"/>
              </w:rPr>
              <w:t xml:space="preserve">49,5</w:t>
            </w:r>
            <w:r/>
          </w:p>
        </w:tc>
        <w:tc>
          <w:tcPr>
            <w:tcBorders>
              <w:left w:val="single" w:color="000000" w:sz="4" w:space="0"/>
              <w:bottom w:val="single" w:color="000000" w:sz="4" w:space="0"/>
            </w:tcBorders>
            <w:tcW w:w="1623"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4,0</w:t>
            </w:r>
            <w:r/>
          </w:p>
        </w:tc>
        <w:tc>
          <w:tcPr>
            <w:tcBorders>
              <w:left w:val="single" w:color="000000" w:sz="4" w:space="0"/>
              <w:bottom w:val="single" w:color="000000" w:sz="4" w:space="0"/>
              <w:right w:val="single" w:color="000000" w:sz="4" w:space="0"/>
            </w:tcBorders>
            <w:tcW w:w="1560" w:type="dxa"/>
            <w:vAlign w:val="bottom"/>
            <w:textDirection w:val="lrTb"/>
            <w:noWrap w:val="false"/>
          </w:tcPr>
          <w:p>
            <w:pPr>
              <w:pStyle w:val="940"/>
              <w:jc w:val="center"/>
              <w:rPr>
                <w:rFonts w:eastAsia="Times New Roman"/>
              </w:rPr>
            </w:pPr>
            <w:r>
              <w:rPr>
                <w:rFonts w:eastAsia="Times New Roman"/>
              </w:rPr>
              <w:t xml:space="preserve">0</w:t>
            </w:r>
            <w:r/>
          </w:p>
        </w:tc>
      </w:tr>
      <w:tr>
        <w:trPr>
          <w:trHeight w:val="337"/>
        </w:trPr>
        <w:tc>
          <w:tcPr>
            <w:tcBorders>
              <w:left w:val="single" w:color="000000" w:sz="4" w:space="0"/>
              <w:bottom w:val="single" w:color="000000" w:sz="4" w:space="0"/>
            </w:tcBorders>
            <w:tcW w:w="1656"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50" w:type="dxa"/>
            <w:vAlign w:val="bottom"/>
            <w:textDirection w:val="lrTb"/>
            <w:noWrap w:val="false"/>
          </w:tcPr>
          <w:p>
            <w:pPr>
              <w:pStyle w:val="940"/>
              <w:jc w:val="center"/>
              <w:rPr>
                <w:color w:val="000000"/>
              </w:rPr>
            </w:pPr>
            <w:r>
              <w:rPr>
                <w:color w:val="000000"/>
              </w:rPr>
              <w:t xml:space="preserve">6,3</w:t>
            </w:r>
            <w:r/>
          </w:p>
        </w:tc>
        <w:tc>
          <w:tcPr>
            <w:tcBorders>
              <w:top w:val="single" w:color="000000" w:sz="4" w:space="0"/>
              <w:left w:val="single" w:color="000000" w:sz="4" w:space="0"/>
              <w:bottom w:val="single" w:color="000000" w:sz="4" w:space="0"/>
            </w:tcBorders>
            <w:tcW w:w="1651" w:type="dxa"/>
            <w:vAlign w:val="bottom"/>
            <w:textDirection w:val="lrTb"/>
            <w:noWrap w:val="false"/>
          </w:tcPr>
          <w:p>
            <w:pPr>
              <w:pStyle w:val="940"/>
              <w:jc w:val="center"/>
              <w:rPr>
                <w:color w:val="000000"/>
              </w:rPr>
            </w:pPr>
            <w:r>
              <w:rPr>
                <w:color w:val="000000"/>
              </w:rPr>
              <w:t xml:space="preserve">40,2</w:t>
            </w:r>
            <w:r/>
          </w:p>
        </w:tc>
        <w:tc>
          <w:tcPr>
            <w:tcBorders>
              <w:top w:val="single" w:color="000000" w:sz="4" w:space="0"/>
              <w:left w:val="single" w:color="000000" w:sz="4" w:space="0"/>
              <w:bottom w:val="single" w:color="000000" w:sz="4" w:space="0"/>
            </w:tcBorders>
            <w:tcW w:w="1623" w:type="dxa"/>
            <w:vAlign w:val="bottom"/>
            <w:textDirection w:val="lrTb"/>
            <w:noWrap w:val="false"/>
          </w:tcPr>
          <w:p>
            <w:pPr>
              <w:pStyle w:val="940"/>
              <w:jc w:val="center"/>
              <w:rPr>
                <w:color w:val="000000"/>
              </w:rPr>
            </w:pPr>
            <w:r>
              <w:rPr>
                <w:color w:val="000000"/>
              </w:rPr>
              <w:t xml:space="preserve">43,7</w:t>
            </w:r>
            <w:r/>
          </w:p>
        </w:tc>
        <w:tc>
          <w:tcPr>
            <w:tcBorders>
              <w:top w:val="single" w:color="000000" w:sz="4" w:space="0"/>
              <w:left w:val="single" w:color="000000" w:sz="4" w:space="0"/>
              <w:bottom w:val="single" w:color="000000" w:sz="4" w:space="0"/>
            </w:tcBorders>
            <w:tcW w:w="1626" w:type="dxa"/>
            <w:vAlign w:val="bottom"/>
            <w:textDirection w:val="lrTb"/>
            <w:noWrap w:val="false"/>
          </w:tcPr>
          <w:p>
            <w:pPr>
              <w:pStyle w:val="940"/>
              <w:jc w:val="center"/>
              <w:rPr>
                <w:color w:val="000000"/>
              </w:rPr>
            </w:pPr>
            <w:r>
              <w:rPr>
                <w:color w:val="000000"/>
              </w:rPr>
              <w:t xml:space="preserve">9,8</w:t>
            </w:r>
            <w:r/>
          </w:p>
        </w:tc>
        <w:tc>
          <w:tcPr>
            <w:tcBorders>
              <w:top w:val="single" w:color="000000" w:sz="4" w:space="0"/>
              <w:left w:val="single" w:color="000000" w:sz="4" w:space="0"/>
              <w:bottom w:val="single" w:color="000000" w:sz="4" w:space="0"/>
              <w:right w:val="single" w:color="000000" w:sz="4" w:space="0"/>
            </w:tcBorders>
            <w:tcW w:w="1560" w:type="dxa"/>
            <w:vAlign w:val="bottom"/>
            <w:textDirection w:val="lrTb"/>
            <w:noWrap w:val="false"/>
          </w:tcPr>
          <w:p>
            <w:pPr>
              <w:pStyle w:val="940"/>
              <w:jc w:val="center"/>
              <w:rPr>
                <w:color w:val="000000"/>
                <w:lang w:val="en-US"/>
              </w:rPr>
            </w:pPr>
            <w:r>
              <w:rPr>
                <w:color w:val="000000"/>
                <w:lang w:val="en-US"/>
              </w:rPr>
              <w:t xml:space="preserve">0</w:t>
            </w:r>
            <w:r/>
          </w:p>
        </w:tc>
      </w:tr>
      <w:tr>
        <w:trPr>
          <w:trHeight w:val="337"/>
        </w:trPr>
        <w:tc>
          <w:tcPr>
            <w:tcBorders>
              <w:left w:val="single" w:color="000000" w:sz="4" w:space="0"/>
              <w:bottom w:val="single" w:color="000000" w:sz="4" w:space="0"/>
            </w:tcBorders>
            <w:tcW w:w="1656" w:type="dxa"/>
            <w:vAlign w:val="bottom"/>
            <w:textDirection w:val="lrTb"/>
            <w:noWrap w:val="false"/>
          </w:tcPr>
          <w:p>
            <w:pPr>
              <w:pStyle w:val="940"/>
              <w:rPr>
                <w:rFonts w:eastAsia="Times New Roman"/>
              </w:rPr>
            </w:pPr>
            <w:r>
              <w:rPr>
                <w:rFonts w:eastAsia="Times New Roman"/>
              </w:rPr>
              <w:t xml:space="preserve">О(c)ОШ</w:t>
            </w:r>
            <w:r/>
          </w:p>
        </w:tc>
        <w:tc>
          <w:tcPr>
            <w:tcBorders>
              <w:left w:val="single" w:color="000000" w:sz="4" w:space="0"/>
              <w:bottom w:val="single" w:color="000000" w:sz="4" w:space="0"/>
            </w:tcBorders>
            <w:tcW w:w="1650"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bottom w:val="single" w:color="000000" w:sz="4" w:space="0"/>
            </w:tcBorders>
            <w:tcW w:w="1651"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623"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60" w:type="dxa"/>
            <w:vAlign w:val="bottom"/>
            <w:textDirection w:val="lrTb"/>
            <w:noWrap w:val="false"/>
          </w:tcPr>
          <w:p>
            <w:pPr>
              <w:pStyle w:val="940"/>
              <w:jc w:val="center"/>
              <w:rPr>
                <w:rFonts w:eastAsia="Times New Roman"/>
              </w:rPr>
            </w:pPr>
            <w:r>
              <w:rPr>
                <w:rFonts w:eastAsia="Times New Roman"/>
              </w:rPr>
              <w:t xml:space="preserve">0</w:t>
            </w:r>
            <w:r/>
          </w:p>
        </w:tc>
      </w:tr>
      <w:tr>
        <w:trPr>
          <w:trHeight w:val="337"/>
        </w:trPr>
        <w:tc>
          <w:tcPr>
            <w:tcBorders>
              <w:left w:val="single" w:color="000000" w:sz="4" w:space="0"/>
              <w:bottom w:val="single" w:color="000000" w:sz="4" w:space="0"/>
            </w:tcBorders>
            <w:tcW w:w="1656"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50" w:type="dxa"/>
            <w:vAlign w:val="bottom"/>
            <w:textDirection w:val="lrTb"/>
            <w:noWrap w:val="false"/>
          </w:tcPr>
          <w:p>
            <w:pPr>
              <w:pStyle w:val="940"/>
              <w:jc w:val="center"/>
              <w:rPr>
                <w:color w:val="000000"/>
              </w:rPr>
            </w:pPr>
            <w:r>
              <w:rPr>
                <w:color w:val="000000"/>
              </w:rPr>
              <w:t xml:space="preserve">12,1</w:t>
            </w:r>
            <w:r/>
          </w:p>
        </w:tc>
        <w:tc>
          <w:tcPr>
            <w:tcBorders>
              <w:top w:val="single" w:color="000000" w:sz="4" w:space="0"/>
              <w:left w:val="single" w:color="000000" w:sz="4" w:space="0"/>
              <w:bottom w:val="single" w:color="000000" w:sz="4" w:space="0"/>
            </w:tcBorders>
            <w:tcW w:w="1651" w:type="dxa"/>
            <w:vAlign w:val="bottom"/>
            <w:textDirection w:val="lrTb"/>
            <w:noWrap w:val="false"/>
          </w:tcPr>
          <w:p>
            <w:pPr>
              <w:pStyle w:val="940"/>
              <w:jc w:val="center"/>
              <w:rPr>
                <w:color w:val="000000"/>
              </w:rPr>
            </w:pPr>
            <w:r>
              <w:rPr>
                <w:color w:val="000000"/>
              </w:rPr>
              <w:t xml:space="preserve">30,3</w:t>
            </w:r>
            <w:r/>
          </w:p>
        </w:tc>
        <w:tc>
          <w:tcPr>
            <w:tcBorders>
              <w:top w:val="single" w:color="000000" w:sz="4" w:space="0"/>
              <w:left w:val="single" w:color="000000" w:sz="4" w:space="0"/>
              <w:bottom w:val="single" w:color="000000" w:sz="4" w:space="0"/>
            </w:tcBorders>
            <w:tcW w:w="1623" w:type="dxa"/>
            <w:vAlign w:val="bottom"/>
            <w:textDirection w:val="lrTb"/>
            <w:noWrap w:val="false"/>
          </w:tcPr>
          <w:p>
            <w:pPr>
              <w:pStyle w:val="940"/>
              <w:jc w:val="center"/>
              <w:rPr>
                <w:color w:val="000000"/>
              </w:rPr>
            </w:pPr>
            <w:r>
              <w:rPr>
                <w:color w:val="000000"/>
              </w:rPr>
              <w:t xml:space="preserve">52,5</w:t>
            </w:r>
            <w:r/>
          </w:p>
        </w:tc>
        <w:tc>
          <w:tcPr>
            <w:tcBorders>
              <w:top w:val="single" w:color="000000" w:sz="4" w:space="0"/>
              <w:left w:val="single" w:color="000000" w:sz="4" w:space="0"/>
              <w:bottom w:val="single" w:color="000000" w:sz="4" w:space="0"/>
            </w:tcBorders>
            <w:tcW w:w="1626" w:type="dxa"/>
            <w:vAlign w:val="bottom"/>
            <w:textDirection w:val="lrTb"/>
            <w:noWrap w:val="false"/>
          </w:tcPr>
          <w:p>
            <w:pPr>
              <w:pStyle w:val="940"/>
              <w:jc w:val="center"/>
              <w:rPr>
                <w:color w:val="000000"/>
              </w:rPr>
            </w:pPr>
            <w:r>
              <w:rPr>
                <w:color w:val="000000"/>
              </w:rPr>
              <w:t xml:space="preserve">5,1</w:t>
            </w:r>
            <w:r/>
          </w:p>
        </w:tc>
        <w:tc>
          <w:tcPr>
            <w:tcBorders>
              <w:top w:val="single" w:color="000000" w:sz="4" w:space="0"/>
              <w:left w:val="single" w:color="000000" w:sz="4" w:space="0"/>
              <w:bottom w:val="single" w:color="000000" w:sz="4" w:space="0"/>
              <w:right w:val="single" w:color="000000" w:sz="4" w:space="0"/>
            </w:tcBorders>
            <w:tcW w:w="1560" w:type="dxa"/>
            <w:vAlign w:val="bottom"/>
            <w:textDirection w:val="lrTb"/>
            <w:noWrap w:val="false"/>
          </w:tcPr>
          <w:p>
            <w:pPr>
              <w:pStyle w:val="940"/>
              <w:jc w:val="center"/>
              <w:rPr>
                <w:color w:val="000000"/>
                <w:lang w:val="en-US"/>
              </w:rPr>
            </w:pPr>
            <w:r>
              <w:rPr>
                <w:color w:val="000000"/>
                <w:lang w:val="en-US"/>
              </w:rPr>
              <w:t xml:space="preserve">0</w:t>
            </w:r>
            <w:r/>
          </w:p>
        </w:tc>
      </w:tr>
    </w:tbl>
    <w:p>
      <w:pPr>
        <w:pStyle w:val="940"/>
        <w:keepNext/>
        <w:spacing w:before="0" w:after="200"/>
        <w:rPr>
          <w:bCs/>
          <w:i/>
          <w:sz w:val="18"/>
          <w:szCs w:val="18"/>
        </w:rPr>
      </w:pPr>
      <w:r>
        <w:rPr>
          <w:bCs/>
          <w:i/>
          <w:sz w:val="18"/>
          <w:szCs w:val="18"/>
        </w:rPr>
      </w:r>
      <w:r/>
    </w:p>
    <w:p>
      <w:pPr>
        <w:pStyle w:val="940"/>
        <w:numPr>
          <w:ilvl w:val="2"/>
          <w:numId w:val="52"/>
        </w:numPr>
        <w:ind w:left="567" w:firstLine="0"/>
        <w:keepLines/>
        <w:keepNext/>
        <w:spacing w:before="200" w:after="0"/>
        <w:rPr>
          <w:rFonts w:eastAsia="SimSun;宋体"/>
          <w:sz w:val="28"/>
          <w:lang w:val="en-US"/>
        </w:rPr>
      </w:pPr>
      <w:r>
        <w:rPr>
          <w:rFonts w:eastAsia="SimSun;宋体"/>
          <w:sz w:val="28"/>
          <w:lang w:val="en-US"/>
        </w:rPr>
        <w:t xml:space="preserve">основные результаты ЕГЭ по предмету в сравнении по АТЕ</w:t>
      </w:r>
      <w:r/>
    </w:p>
    <w:p>
      <w:pPr>
        <w:pStyle w:val="940"/>
        <w:jc w:val="right"/>
        <w:keepNext/>
        <w:spacing w:before="0" w:after="200"/>
        <w:rPr>
          <w:bCs/>
          <w:i/>
          <w:sz w:val="18"/>
          <w:szCs w:val="18"/>
        </w:rPr>
      </w:pPr>
      <w:r>
        <w:rPr>
          <w:bCs/>
          <w:i/>
          <w:sz w:val="18"/>
          <w:szCs w:val="18"/>
        </w:rPr>
        <w:t xml:space="preserve">Таблица 2-10</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915"/>
        <w:gridCol w:w="1626"/>
        <w:gridCol w:w="1626"/>
        <w:gridCol w:w="1429"/>
        <w:gridCol w:w="1599"/>
        <w:gridCol w:w="1571"/>
      </w:tblGrid>
      <w:tr>
        <w:trPr>
          <w:trHeight w:val="237"/>
        </w:trPr>
        <w:tc>
          <w:tcPr>
            <w:tcBorders>
              <w:top w:val="single" w:color="000000" w:sz="4" w:space="0"/>
              <w:left w:val="single" w:color="000000" w:sz="4" w:space="0"/>
              <w:bottom w:val="single" w:color="000000" w:sz="4" w:space="0"/>
            </w:tcBorders>
            <w:tcW w:w="1915"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8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71"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22"/>
        </w:trPr>
        <w:tc>
          <w:tcPr>
            <w:tcBorders>
              <w:top w:val="single" w:color="000000" w:sz="4" w:space="0"/>
              <w:left w:val="single" w:color="000000" w:sz="4" w:space="0"/>
              <w:bottom w:val="single" w:color="000000" w:sz="4" w:space="0"/>
            </w:tcBorders>
            <w:tcW w:w="1915"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71" w:type="dxa"/>
            <w:vAlign w:val="bottom"/>
            <w:vMerge w:val="continue"/>
            <w:textDirection w:val="lrTb"/>
            <w:noWrap w:val="false"/>
          </w:tcPr>
          <w:p>
            <w:pPr>
              <w:pStyle w:val="940"/>
              <w:rPr>
                <w:rFonts w:eastAsia="Times New Roman"/>
              </w:rPr>
            </w:pPr>
            <w:r>
              <w:rPr>
                <w:rFonts w:eastAsia="Times New Roman"/>
              </w:rPr>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14,7</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47,4</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32,4</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5,4</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33,6</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44,7</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17,1</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4,6</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51,4</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17,1</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2,9</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30,9</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35,8</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28,4</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4,9</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17,9</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48,7</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28,2</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5,1</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14,3</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57,1</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23,8</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4,8</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18,0</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46,0</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32,0</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4,0</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23,1</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56,4</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17,9</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2,6</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13,8</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34,5</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48,3</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3,4</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15,2</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32,6</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2,2</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9,5</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46,0</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34,9</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9,5</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27,1</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42,4</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28,2</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2,4</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16,2</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45,9</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27,0</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10,8</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42,0</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15,0</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3,0</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ИОО</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36,4</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54,5</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9,1</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15"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34,8</w:t>
            </w:r>
            <w:r/>
          </w:p>
        </w:tc>
        <w:tc>
          <w:tcPr>
            <w:tcBorders>
              <w:left w:val="single" w:color="000000" w:sz="4" w:space="0"/>
              <w:bottom w:val="single" w:color="000000" w:sz="4" w:space="0"/>
            </w:tcBorders>
            <w:tcW w:w="1626" w:type="dxa"/>
            <w:vAlign w:val="bottom"/>
            <w:textDirection w:val="lrTb"/>
            <w:noWrap w:val="false"/>
          </w:tcPr>
          <w:p>
            <w:pPr>
              <w:pStyle w:val="940"/>
              <w:jc w:val="center"/>
              <w:rPr>
                <w:rFonts w:eastAsia="Times New Roman"/>
              </w:rPr>
            </w:pPr>
            <w:r>
              <w:rPr>
                <w:rFonts w:eastAsia="Times New Roman"/>
              </w:rPr>
              <w:t xml:space="preserve">56,5</w:t>
            </w:r>
            <w:r/>
          </w:p>
        </w:tc>
        <w:tc>
          <w:tcPr>
            <w:tcBorders>
              <w:left w:val="single" w:color="000000" w:sz="4" w:space="0"/>
              <w:bottom w:val="single" w:color="000000" w:sz="4" w:space="0"/>
            </w:tcBorders>
            <w:tcW w:w="1429" w:type="dxa"/>
            <w:vAlign w:val="bottom"/>
            <w:textDirection w:val="lrTb"/>
            <w:noWrap w:val="false"/>
          </w:tcPr>
          <w:p>
            <w:pPr>
              <w:pStyle w:val="940"/>
              <w:jc w:val="center"/>
              <w:rPr>
                <w:rFonts w:eastAsia="Times New Roman"/>
              </w:rPr>
            </w:pPr>
            <w:r>
              <w:rPr>
                <w:rFonts w:eastAsia="Times New Roman"/>
              </w:rPr>
              <w:t xml:space="preserve">8,7</w:t>
            </w:r>
            <w:r/>
          </w:p>
        </w:tc>
        <w:tc>
          <w:tcPr>
            <w:tcBorders>
              <w:left w:val="single" w:color="000000" w:sz="4" w:space="0"/>
              <w:bottom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571"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numPr>
          <w:ilvl w:val="1"/>
          <w:numId w:val="52"/>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Выделение перечня ОО, продемонстрировавших наиболее высокие и низкие результаты ЕГЭ по предмету</w:t>
      </w:r>
      <w:r/>
    </w:p>
    <w:p>
      <w:pPr>
        <w:pStyle w:val="940"/>
        <w:numPr>
          <w:ilvl w:val="2"/>
          <w:numId w:val="52"/>
        </w:numPr>
        <w:ind w:left="567" w:firstLine="0"/>
        <w:jc w:val="both"/>
        <w:keepLines/>
        <w:keepNext/>
        <w:spacing w:before="200" w:after="0"/>
      </w:pPr>
      <w:r>
        <w:rPr>
          <w:rFonts w:eastAsia="SimSun;宋体"/>
          <w:sz w:val="28"/>
        </w:rPr>
        <w:t xml:space="preserve">П</w:t>
      </w:r>
      <w:r>
        <w:rPr>
          <w:rFonts w:eastAsia="SimSun;宋体"/>
          <w:sz w:val="28"/>
          <w:lang w:val="en-US"/>
        </w:rPr>
        <w:t xml:space="preserve">еречень ОО, продемонстрировавших наиболее высокие результаты ЕГЭ по предмету</w:t>
      </w:r>
      <w:r/>
    </w:p>
    <w:p>
      <w:pPr>
        <w:pStyle w:val="940"/>
        <w:jc w:val="right"/>
        <w:keepNext/>
        <w:spacing w:before="0" w:after="200"/>
        <w:rPr>
          <w:bCs/>
          <w:i/>
          <w:sz w:val="18"/>
          <w:szCs w:val="18"/>
        </w:rPr>
      </w:pPr>
      <w:r>
        <w:rPr>
          <w:bCs/>
          <w:i/>
          <w:sz w:val="18"/>
          <w:szCs w:val="18"/>
        </w:rPr>
        <w:t xml:space="preserve">Таблица 2-11</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664"/>
        <w:gridCol w:w="972"/>
        <w:gridCol w:w="3533"/>
        <w:gridCol w:w="1401"/>
        <w:gridCol w:w="1585"/>
        <w:gridCol w:w="1606"/>
      </w:tblGrid>
      <w:tr>
        <w:trPr>
          <w:trHeight w:val="1423"/>
        </w:trPr>
        <w:tc>
          <w:tcPr>
            <w:tcBorders>
              <w:top w:val="single" w:color="000000" w:sz="4" w:space="0"/>
              <w:left w:val="single" w:color="000000" w:sz="4" w:space="0"/>
              <w:bottom w:val="single" w:color="000000" w:sz="4" w:space="0"/>
            </w:tcBorders>
            <w:tcW w:w="664"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972" w:type="dxa"/>
            <w:vAlign w:val="center"/>
            <w:textDirection w:val="lrTb"/>
            <w:noWrap w:val="false"/>
          </w:tcPr>
          <w:p>
            <w:pPr>
              <w:pStyle w:val="940"/>
              <w:rPr>
                <w:rFonts w:eastAsia="Times New Roman"/>
                <w:bCs/>
                <w:color w:val="000000"/>
              </w:rPr>
            </w:pPr>
            <w:r>
              <w:rPr>
                <w:rFonts w:eastAsia="Times New Roman"/>
                <w:bCs/>
                <w:color w:val="000000"/>
              </w:rPr>
              <w:t xml:space="preserve">Код ОО</w:t>
            </w:r>
            <w:r/>
          </w:p>
        </w:tc>
        <w:tc>
          <w:tcPr>
            <w:tcBorders>
              <w:top w:val="single" w:color="000000" w:sz="4" w:space="0"/>
              <w:left w:val="single" w:color="000000" w:sz="4" w:space="0"/>
              <w:bottom w:val="single" w:color="000000" w:sz="4" w:space="0"/>
            </w:tcBorders>
            <w:tcW w:w="3533"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401"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85"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606"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20201</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МБОУ г.Астрахани "Гимназия № 1"</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38,5</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38,5</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10003</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ГБОУ АО "Школа-интернат одаренных детей им. А.П.Гужвина"</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25,0</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66,7</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20204</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"Гимназия № 4"</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14,5</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51,6</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3,2</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20461</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61"</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13,3</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40,0</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6,7</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20203</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"Гимназия №3"</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13,0</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40,7</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5,6</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6</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20301</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"Лицей № 1"</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10,8</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59,5</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02"/>
        </w:trPr>
        <w:tc>
          <w:tcPr>
            <w:tcBorders>
              <w:left w:val="single" w:color="000000" w:sz="4" w:space="0"/>
              <w:bottom w:val="single" w:color="000000" w:sz="4" w:space="0"/>
            </w:tcBorders>
            <w:tcW w:w="664" w:type="dxa"/>
            <w:vAlign w:val="bottom"/>
            <w:textDirection w:val="lrTb"/>
            <w:noWrap w:val="false"/>
          </w:tcPr>
          <w:p>
            <w:pPr>
              <w:pStyle w:val="940"/>
              <w:jc w:val="center"/>
              <w:rPr>
                <w:rFonts w:eastAsia="Times New Roman"/>
                <w:color w:val="000000"/>
              </w:rPr>
            </w:pPr>
            <w:r>
              <w:rPr>
                <w:rFonts w:eastAsia="Times New Roman"/>
                <w:color w:val="000000"/>
              </w:rPr>
              <w:t xml:space="preserve">7</w:t>
            </w:r>
            <w:r/>
          </w:p>
        </w:tc>
        <w:tc>
          <w:tcPr>
            <w:tcBorders>
              <w:left w:val="single" w:color="000000" w:sz="4" w:space="0"/>
              <w:bottom w:val="single" w:color="000000" w:sz="4" w:space="0"/>
            </w:tcBorders>
            <w:tcW w:w="972" w:type="dxa"/>
            <w:vAlign w:val="center"/>
            <w:textDirection w:val="lrTb"/>
            <w:noWrap w:val="false"/>
          </w:tcPr>
          <w:p>
            <w:pPr>
              <w:pStyle w:val="940"/>
              <w:jc w:val="center"/>
              <w:rPr>
                <w:rFonts w:eastAsia="Times New Roman"/>
                <w:bCs/>
                <w:color w:val="000000"/>
              </w:rPr>
            </w:pPr>
            <w:r>
              <w:rPr>
                <w:rFonts w:eastAsia="Times New Roman"/>
                <w:bCs/>
                <w:color w:val="000000"/>
              </w:rPr>
              <w:t xml:space="preserve">10002</w:t>
            </w:r>
            <w:r/>
          </w:p>
        </w:tc>
        <w:tc>
          <w:tcPr>
            <w:tcBorders>
              <w:left w:val="single" w:color="000000" w:sz="4" w:space="0"/>
              <w:bottom w:val="single" w:color="000000" w:sz="4" w:space="0"/>
            </w:tcBorders>
            <w:tcW w:w="3533" w:type="dxa"/>
            <w:vAlign w:val="bottom"/>
            <w:textDirection w:val="lrTb"/>
            <w:noWrap w:val="false"/>
          </w:tcPr>
          <w:p>
            <w:pPr>
              <w:pStyle w:val="940"/>
              <w:rPr>
                <w:rFonts w:eastAsia="Times New Roman"/>
                <w:color w:val="000000"/>
              </w:rPr>
            </w:pPr>
            <w:r>
              <w:rPr>
                <w:rFonts w:eastAsia="Times New Roman"/>
                <w:color w:val="000000"/>
              </w:rPr>
              <w:t xml:space="preserve">ГБОУ АО "Астраханская лингвистическая гимназия"</w:t>
            </w:r>
            <w:r/>
          </w:p>
        </w:tc>
        <w:tc>
          <w:tcPr>
            <w:tcBorders>
              <w:left w:val="single" w:color="000000" w:sz="4" w:space="0"/>
              <w:bottom w:val="single" w:color="000000" w:sz="4" w:space="0"/>
            </w:tcBorders>
            <w:tcW w:w="1401" w:type="dxa"/>
            <w:vAlign w:val="bottom"/>
            <w:textDirection w:val="lrTb"/>
            <w:noWrap w:val="false"/>
          </w:tcPr>
          <w:p>
            <w:pPr>
              <w:pStyle w:val="940"/>
              <w:jc w:val="center"/>
              <w:rPr>
                <w:rFonts w:eastAsia="Times New Roman"/>
                <w:color w:val="000000"/>
              </w:rPr>
            </w:pPr>
            <w:r>
              <w:rPr>
                <w:rFonts w:eastAsia="Times New Roman"/>
                <w:color w:val="000000"/>
              </w:rPr>
              <w:t xml:space="preserve">10,5</w:t>
            </w:r>
            <w:r/>
          </w:p>
        </w:tc>
        <w:tc>
          <w:tcPr>
            <w:tcBorders>
              <w:left w:val="single" w:color="000000" w:sz="4" w:space="0"/>
              <w:bottom w:val="single" w:color="000000" w:sz="4" w:space="0"/>
            </w:tcBorders>
            <w:tcW w:w="1585" w:type="dxa"/>
            <w:vAlign w:val="bottom"/>
            <w:textDirection w:val="lrTb"/>
            <w:noWrap w:val="false"/>
          </w:tcPr>
          <w:p>
            <w:pPr>
              <w:pStyle w:val="940"/>
              <w:jc w:val="center"/>
              <w:rPr>
                <w:rFonts w:eastAsia="Times New Roman"/>
                <w:color w:val="000000"/>
              </w:rPr>
            </w:pPr>
            <w:r>
              <w:rPr>
                <w:rFonts w:eastAsia="Times New Roman"/>
                <w:color w:val="000000"/>
              </w:rPr>
              <w:t xml:space="preserve">42,1</w:t>
            </w:r>
            <w:r/>
          </w:p>
        </w:tc>
        <w:tc>
          <w:tcPr>
            <w:tcBorders>
              <w:left w:val="single" w:color="000000" w:sz="4" w:space="0"/>
              <w:bottom w:val="single" w:color="000000" w:sz="4" w:space="0"/>
              <w:right w:val="single" w:color="000000" w:sz="4" w:space="0"/>
            </w:tcBorders>
            <w:tcW w:w="1606"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right"/>
        <w:keepNext/>
        <w:spacing w:before="0" w:after="200"/>
        <w:rPr>
          <w:bCs/>
          <w:i/>
          <w:sz w:val="18"/>
          <w:szCs w:val="18"/>
        </w:rPr>
      </w:pPr>
      <w:r>
        <w:rPr>
          <w:bCs/>
          <w:i/>
          <w:sz w:val="18"/>
          <w:szCs w:val="18"/>
        </w:rPr>
      </w:r>
      <w:r/>
    </w:p>
    <w:p>
      <w:pPr>
        <w:pStyle w:val="940"/>
        <w:numPr>
          <w:ilvl w:val="2"/>
          <w:numId w:val="52"/>
        </w:numPr>
        <w:ind w:left="567" w:firstLine="0"/>
        <w:jc w:val="both"/>
        <w:keepLines/>
        <w:keepNext/>
        <w:spacing w:before="200" w:after="0"/>
      </w:pPr>
      <w:r>
        <w:rPr>
          <w:rFonts w:eastAsia="Times New Roman"/>
          <w:sz w:val="28"/>
          <w:lang w:val="en-US"/>
        </w:rPr>
        <w:t xml:space="preserve"> </w:t>
      </w:r>
      <w:r>
        <w:rPr>
          <w:rFonts w:eastAsia="SimSun;宋体"/>
          <w:sz w:val="28"/>
        </w:rPr>
        <w:t xml:space="preserve">П</w:t>
      </w:r>
      <w:r>
        <w:rPr>
          <w:rFonts w:eastAsia="SimSun;宋体"/>
          <w:sz w:val="28"/>
          <w:lang w:val="en-US"/>
        </w:rPr>
        <w:t xml:space="preserve">еречень ОО, продемонстрировавших низкие результаты ЕГЭ по предмету</w:t>
      </w:r>
      <w:r/>
    </w:p>
    <w:p>
      <w:pPr>
        <w:pStyle w:val="940"/>
        <w:jc w:val="right"/>
        <w:keepNext/>
        <w:spacing w:before="0" w:after="200"/>
        <w:rPr>
          <w:bCs/>
          <w:i/>
          <w:sz w:val="18"/>
          <w:szCs w:val="18"/>
        </w:rPr>
      </w:pPr>
      <w:r>
        <w:rPr>
          <w:bCs/>
          <w:i/>
          <w:sz w:val="18"/>
          <w:szCs w:val="18"/>
        </w:rPr>
        <w:t xml:space="preserve">Таблица 2-12</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606"/>
        <w:gridCol w:w="1011"/>
        <w:gridCol w:w="3603"/>
        <w:gridCol w:w="1645"/>
        <w:gridCol w:w="1438"/>
        <w:gridCol w:w="1458"/>
      </w:tblGrid>
      <w:tr>
        <w:trPr>
          <w:trHeight w:val="1426"/>
        </w:trPr>
        <w:tc>
          <w:tcPr>
            <w:tcBorders>
              <w:top w:val="single" w:color="000000" w:sz="4" w:space="0"/>
              <w:left w:val="single" w:color="000000" w:sz="4" w:space="0"/>
              <w:bottom w:val="single" w:color="000000" w:sz="4" w:space="0"/>
            </w:tcBorders>
            <w:tcW w:w="606"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1011" w:type="dxa"/>
            <w:vAlign w:val="center"/>
            <w:textDirection w:val="lrTb"/>
            <w:noWrap w:val="false"/>
          </w:tcPr>
          <w:p>
            <w:pPr>
              <w:pStyle w:val="940"/>
              <w:rPr>
                <w:rFonts w:eastAsia="Times New Roman"/>
                <w:bCs/>
                <w:color w:val="000000"/>
              </w:rPr>
            </w:pPr>
            <w:r>
              <w:rPr>
                <w:rFonts w:eastAsia="Times New Roman"/>
                <w:bCs/>
                <w:color w:val="000000"/>
              </w:rPr>
              <w:t xml:space="preserve">Код ОО</w:t>
            </w:r>
            <w:r/>
          </w:p>
        </w:tc>
        <w:tc>
          <w:tcPr>
            <w:tcBorders>
              <w:top w:val="single" w:color="000000" w:sz="4" w:space="0"/>
              <w:left w:val="single" w:color="000000" w:sz="4" w:space="0"/>
              <w:bottom w:val="single" w:color="000000" w:sz="4" w:space="0"/>
            </w:tcBorders>
            <w:tcW w:w="3603"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645"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43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45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30405</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"СОШ №5 МО "Ахтубинский район"</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83,3</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130407</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МКОУ "СОШ с. Сасыколи им. Г.Г. Коноплёва"</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50,0</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20,0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50405</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"Зеленгинская СОШ им. Н.В.Кашина"</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50,0</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10,0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20445</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г.Астрахани "СОШ №45"</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43,8</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12,5</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20456</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56"</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41,2</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6</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10005</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ГБОУ АО "Инженерная школа"</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40,0</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20,0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7</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50414</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"Цветновская СОШ"</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38,5</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23,1</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3"/>
        </w:trPr>
        <w:tc>
          <w:tcPr>
            <w:tcBorders>
              <w:left w:val="single" w:color="000000" w:sz="4" w:space="0"/>
              <w:bottom w:val="single" w:color="000000" w:sz="4" w:space="0"/>
            </w:tcBorders>
            <w:tcW w:w="606" w:type="dxa"/>
            <w:vAlign w:val="bottom"/>
            <w:textDirection w:val="lrTb"/>
            <w:noWrap w:val="false"/>
          </w:tcPr>
          <w:p>
            <w:pPr>
              <w:pStyle w:val="940"/>
              <w:jc w:val="center"/>
              <w:rPr>
                <w:rFonts w:eastAsia="Times New Roman"/>
                <w:color w:val="000000"/>
              </w:rPr>
            </w:pPr>
            <w:r>
              <w:rPr>
                <w:rFonts w:eastAsia="Times New Roman"/>
                <w:color w:val="000000"/>
              </w:rPr>
              <w:t xml:space="preserve">8</w:t>
            </w:r>
            <w:r/>
          </w:p>
        </w:tc>
        <w:tc>
          <w:tcPr>
            <w:tcBorders>
              <w:left w:val="single" w:color="000000" w:sz="4" w:space="0"/>
              <w:bottom w:val="single" w:color="000000" w:sz="4" w:space="0"/>
            </w:tcBorders>
            <w:tcW w:w="1011" w:type="dxa"/>
            <w:vAlign w:val="center"/>
            <w:textDirection w:val="lrTb"/>
            <w:noWrap w:val="false"/>
          </w:tcPr>
          <w:p>
            <w:pPr>
              <w:pStyle w:val="940"/>
              <w:jc w:val="center"/>
              <w:rPr>
                <w:rFonts w:eastAsia="Times New Roman"/>
                <w:bCs/>
                <w:color w:val="000000"/>
              </w:rPr>
            </w:pPr>
            <w:r>
              <w:rPr>
                <w:rFonts w:eastAsia="Times New Roman"/>
                <w:bCs/>
                <w:color w:val="000000"/>
              </w:rPr>
              <w:t xml:space="preserve">20409</w:t>
            </w:r>
            <w:r/>
          </w:p>
        </w:tc>
        <w:tc>
          <w:tcPr>
            <w:tcBorders>
              <w:left w:val="single" w:color="000000" w:sz="4" w:space="0"/>
              <w:bottom w:val="single" w:color="000000" w:sz="4" w:space="0"/>
            </w:tcBorders>
            <w:tcW w:w="3603"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№9"</w:t>
            </w:r>
            <w:r/>
          </w:p>
        </w:tc>
        <w:tc>
          <w:tcPr>
            <w:tcBorders>
              <w:left w:val="single" w:color="000000" w:sz="4" w:space="0"/>
              <w:bottom w:val="single" w:color="000000" w:sz="4" w:space="0"/>
            </w:tcBorders>
            <w:tcW w:w="1645" w:type="dxa"/>
            <w:vAlign w:val="bottom"/>
            <w:textDirection w:val="lrTb"/>
            <w:noWrap w:val="false"/>
          </w:tcPr>
          <w:p>
            <w:pPr>
              <w:pStyle w:val="940"/>
              <w:jc w:val="center"/>
              <w:rPr>
                <w:rFonts w:eastAsia="Times New Roman"/>
                <w:color w:val="000000"/>
              </w:rPr>
            </w:pPr>
            <w:r>
              <w:rPr>
                <w:rFonts w:eastAsia="Times New Roman"/>
                <w:color w:val="000000"/>
              </w:rPr>
              <w:t xml:space="preserve">38,1</w:t>
            </w:r>
            <w:r/>
          </w:p>
        </w:tc>
        <w:tc>
          <w:tcPr>
            <w:tcBorders>
              <w:left w:val="single" w:color="000000" w:sz="4" w:space="0"/>
              <w:bottom w:val="single" w:color="000000" w:sz="4" w:space="0"/>
            </w:tcBorders>
            <w:tcW w:w="1438" w:type="dxa"/>
            <w:vAlign w:val="bottom"/>
            <w:textDirection w:val="lrTb"/>
            <w:noWrap w:val="false"/>
          </w:tcPr>
          <w:p>
            <w:pPr>
              <w:pStyle w:val="940"/>
              <w:jc w:val="center"/>
              <w:rPr>
                <w:rFonts w:eastAsia="Times New Roman"/>
                <w:color w:val="000000"/>
              </w:rPr>
            </w:pPr>
            <w:r>
              <w:rPr>
                <w:rFonts w:eastAsia="Times New Roman"/>
                <w:color w:val="000000"/>
              </w:rPr>
              <w:t xml:space="preserve">19,0</w:t>
            </w:r>
            <w:r/>
          </w:p>
        </w:tc>
        <w:tc>
          <w:tcPr>
            <w:tcBorders>
              <w:left w:val="single" w:color="000000" w:sz="4" w:space="0"/>
              <w:bottom w:val="single" w:color="000000" w:sz="4" w:space="0"/>
              <w:right w:val="single" w:color="000000" w:sz="4" w:space="0"/>
            </w:tcBorders>
            <w:tcW w:w="14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numPr>
          <w:ilvl w:val="1"/>
          <w:numId w:val="52"/>
        </w:numPr>
        <w:ind w:left="0" w:firstLine="0"/>
        <w:keepLines/>
        <w:keepNext/>
        <w:spacing w:before="200" w:after="0"/>
        <w:rPr>
          <w:rFonts w:eastAsia="SimSun;宋体"/>
          <w:b/>
          <w:bCs/>
          <w:sz w:val="28"/>
          <w:lang w:val="en-US"/>
        </w:rPr>
      </w:pPr>
      <w:r>
        <w:rPr>
          <w:rFonts w:eastAsia="SimSun;宋体"/>
          <w:b/>
          <w:bCs/>
          <w:sz w:val="28"/>
          <w:lang w:val="en-US"/>
        </w:rPr>
        <w:t xml:space="preserve">ВЫВОДЫ о характере изменения результатов ЕГЭ по предмету</w:t>
      </w:r>
      <w:r/>
    </w:p>
    <w:p>
      <w:pPr>
        <w:pStyle w:val="940"/>
        <w:jc w:val="both"/>
      </w:pPr>
      <w:r/>
      <w:r/>
    </w:p>
    <w:p>
      <w:pPr>
        <w:pStyle w:val="940"/>
        <w:ind w:firstLine="708"/>
        <w:jc w:val="both"/>
      </w:pPr>
      <w:r>
        <w:t xml:space="preserve">В 2021 г. незначительно снизились результаты экзамена. На 0,3% увеличилось количество учащихся, не пре</w:t>
      </w:r>
      <w:r>
        <w:t xml:space="preserve">одолевших минимального балла, % (в 2021 г.- 19,8%, в 2020 г.- 19,5%), но сократилось их количество по сравнению с 2019 г. (24,6%). Средний балл также снизился на 0,4 % (2020 г.- 54,8%, 20201 г.- 54,4%), но увеличился на 1,8% по сравнению с 2019 г. (52,6%).</w:t>
      </w:r>
      <w:r/>
    </w:p>
    <w:p>
      <w:pPr>
        <w:pStyle w:val="940"/>
        <w:ind w:firstLine="708"/>
        <w:jc w:val="both"/>
      </w:pPr>
      <w:r>
        <w:t xml:space="preserve">В 2021 г.  на 0,2 балла уменьшилось количество ВТГ, набравших балл ниже минимального (2020 г.- 18,5%, 2021 г.- 18,3%), но на 2,7 % снизилось количество школьников, получивших свыше 81 балла. (2020 г.- 7,8%,2021 г.- 5,1%)</w:t>
      </w:r>
      <w:r>
        <w:t xml:space="preserve">. На 8,7% снизилось качество подготовки ВПЛ (в 2021 г. количество учащихся, не преодолевших минимального балла, составило 42,0%, в 2020 г.- 33,3%). Но на 2,2 % увеличилась доля участников, получивших от 61 до 80 баллов (2020 г.- 12,8%, 2021 г.- 15,0%).    </w:t>
      </w:r>
      <w:r/>
    </w:p>
    <w:p>
      <w:pPr>
        <w:pStyle w:val="940"/>
        <w:ind w:firstLine="708"/>
        <w:jc w:val="both"/>
      </w:pPr>
      <w:r>
        <w:t xml:space="preserve">По типам ОО возросло расслоение участников по диапазонам. Несмотря на то, что среди лицеистов и гимназистов в 2021 г. по сравнению с 2020 г. на 1,4 % увеличилось количество участников, набравших балл ниже минимального и на 7,7% уменьшилась доля уча</w:t>
      </w:r>
      <w:r>
        <w:t xml:space="preserve">стников, получивших от 81 до 99 баллов (стобалльники в 2021 г. отсутствуют); увеличился процент в группах: в группе, тестовый балл в которой от минимального балла до 60 баллов (на 7,2%) и в группе, участники в которой получили от 61 до 80 баллов (на 0,3%).</w:t>
      </w:r>
      <w:r/>
    </w:p>
    <w:p>
      <w:pPr>
        <w:pStyle w:val="940"/>
        <w:jc w:val="both"/>
      </w:pPr>
      <w:r>
        <w:t xml:space="preserve">Среди выпускников СОШ на 0,4 % увеличилось количество участников, набравших балл ниже миним</w:t>
      </w:r>
      <w:r>
        <w:t xml:space="preserve">ального, но на 2,9% вырос процент выполнивших задания в группе участников, получивших тестовый балл от минимального балла до 60 баллов. По прочим ОО уменьшилось количество выпускников, набравших балл ниже минимального, на 5%, также существенное увеличение </w:t>
      </w:r>
      <w:r>
        <w:t xml:space="preserve">отмечено в группе участников, получивших от 61 до 80 баллов (на 20,1%). Полное ухудшение в 2020 г. было только по выпускникам О(с)ОШ, где не было участников, успешно сдавших экзамен, а в 2021 г.  только 75% учащихся не преодолели минимальный порог баллов. </w:t>
      </w:r>
      <w:r/>
    </w:p>
    <w:p>
      <w:pPr>
        <w:pStyle w:val="940"/>
        <w:ind w:firstLine="708"/>
        <w:jc w:val="both"/>
      </w:pPr>
      <w:r>
        <w:t xml:space="preserve">Так же, как и в пр</w:t>
      </w:r>
      <w:r>
        <w:t xml:space="preserve">ошлом году среди муниципальных образований сложно отметить лидеров и аутсайдеров, т.к. показатели сильно колеблются как внутри диапазонов, так и по АТЕ. Например, доля участников, набравших балл ниже минимального в г. Астрахани составила 14,7% (что на 1,7%</w:t>
      </w:r>
      <w:r>
        <w:t xml:space="preserve"> ниже, чем в 2020 г.). Среди районов ниже всего этот показатель в Приволжском районе -9,5%, что на 2,7 выше, чем в 2020 г.  В 4 районах области в данном году возрос уровень подготовки, что привело к сокращению доли учащихся, набравших балл ниже минимальног</w:t>
      </w:r>
      <w:r>
        <w:t xml:space="preserve">о: Енотаевский район - на 8,4%; Наримановский - на 11,7%; Лиманский - на 2,5%; Черноярский - на 23,2%. Отрицательная динамика в 2021 г отмечена в ЗАТО Знаменск (на 10,8% увеличилось количество, не набравших минимум баллов) и в Ахтубинском районе - на 6,6%.</w:t>
      </w:r>
      <w:r/>
    </w:p>
    <w:p>
      <w:pPr>
        <w:pStyle w:val="940"/>
        <w:ind w:firstLine="708"/>
        <w:jc w:val="both"/>
      </w:pPr>
      <w:r>
        <w:t xml:space="preserve">Среди ОО, продемонстрировавших </w:t>
      </w:r>
      <w:bookmarkStart w:id="1" w:name="_Hlk78729509"/>
      <w:r>
        <w:t xml:space="preserve">наиболее высокие результаты ЕГЭ </w:t>
      </w:r>
      <w:bookmarkEnd w:id="1"/>
      <w:r>
        <w:t xml:space="preserve">по общ</w:t>
      </w:r>
      <w:r>
        <w:t xml:space="preserve">ествознанию в 2021 г.  (выбрано 7 школ) наиболее высокие результаты отмечены в гимназии №1 – доля участников, получивших от 81 до 100 баллов здесь увеличилась на 22,5% (данное учебное заведение возглавило список ОО, показавших наиболее высокие результаты Е</w:t>
      </w:r>
      <w:r>
        <w:t xml:space="preserve">ГЭ в 2021 г, в то время как в 2020 г. оно замыкало этот список).  В ГБОУ АО "Школа-интернат одаренных детей им. А.П. Гужвина" доля учащихся, получивших от 81 до 100 баллов, снизилось почти в 2 раза. В гимназии № 1 и в ГБОУ АО "Школа-интернат одаренных дете</w:t>
      </w:r>
      <w:r>
        <w:t xml:space="preserve">й им. А.П. Гужвина" отсутствовали участники, не достигшие минимального балла (так же, как и в 2020 г.). Несмотря на то, что в ГБОУ АО "Астраханская лингвистическая гимназия" в 2021 гг. уменьшился процент участников в группе, набравшей от 81 до 100 баллов н</w:t>
      </w:r>
      <w:r>
        <w:t xml:space="preserve">а 7,7%, в данном учебном заведении также отсутствовали участники, не достигшие минимального балла (2020 г. они составили 4,6%). Неплохую подготовку к экзамену следует отметить в МБОУ г. Астрахани "СОШ № 61" (доля учеников, набравших выше 80 баллов- 13,3%).</w:t>
      </w:r>
      <w:r/>
    </w:p>
    <w:p>
      <w:pPr>
        <w:pStyle w:val="940"/>
        <w:ind w:firstLine="708"/>
        <w:jc w:val="both"/>
      </w:pPr>
      <w:r>
        <w:t xml:space="preserve">83,3% выпускников МБОУ "СОШ № 5 МО "Ахтубинский район" не преодолели минимальный порог.</w:t>
      </w:r>
      <w:r/>
    </w:p>
    <w:p>
      <w:pPr>
        <w:pStyle w:val="940"/>
        <w:ind w:firstLine="708"/>
        <w:jc w:val="both"/>
      </w:pPr>
      <w:r>
        <w:t xml:space="preserve">Результаты ЕГЭ в 2021 г. по сравнению с 2020 г. изменились незначительно, что свидетельствует, в целом, о стабильной подготовке учащихся на протяжении последних лет. Тем не менее, можно выделить ряд причин,</w:t>
      </w:r>
      <w:r>
        <w:t xml:space="preserve"> обусловивших некоторое падение показателей по предмету. Одна из них -  снижение уровня познавательных возможностей учеников, как отмечают многие учителя, увеличилось количество учащихся, которые часто не справляются с заданиями повышенного уровня сложност</w:t>
      </w:r>
      <w:r>
        <w:t xml:space="preserve">и. По-прежнему, наибольшую трудность для выпускников представляли задания, проверяющие усвоение общих теоретических знаний. Традиционно прослеживаются проблемы в выполнении заданий, связанных с оперированием понятиями высокого уровня теоретического, филосо</w:t>
      </w:r>
      <w:r>
        <w:t xml:space="preserve">фского обобщения. Недостаточен уровень осознанности обществоведческих знаний у значительной части выпускников, недостаточная сформированность аналитических умений выделять главное, соотносить имеющиеся данные с поставленным требованиям, что затрудняет рабо</w:t>
      </w:r>
      <w:r>
        <w:t xml:space="preserve">ту с информацией в текстах, отсутствие рефлексии над собственным опытом, что также объясняет поверхностность примеров, преобладает однобокий взгляд на социальные явления, ученики не умеют выстраивать связи с процессами, истоками и возможными последствиями.</w:t>
      </w:r>
      <w:r/>
    </w:p>
    <w:p>
      <w:pPr>
        <w:pStyle w:val="940"/>
        <w:jc w:val="both"/>
      </w:pPr>
      <w:r/>
      <w:r/>
    </w:p>
    <w:p>
      <w:pPr>
        <w:pStyle w:val="940"/>
        <w:jc w:val="both"/>
      </w:pPr>
      <w:r/>
      <w:r/>
    </w:p>
    <w:p>
      <w:pPr>
        <w:pStyle w:val="940"/>
        <w:jc w:val="both"/>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940"/>
        <w:jc w:val="both"/>
        <w:keepLines/>
        <w:keepNext/>
        <w:rPr>
          <w:rFonts w:eastAsia="SimSun;宋体"/>
        </w:rPr>
      </w:pPr>
      <w:r>
        <w:rPr>
          <w:rFonts w:eastAsia="SimSun;宋体"/>
        </w:rPr>
      </w:r>
      <w:r/>
    </w:p>
    <w:p>
      <w:pPr>
        <w:pStyle w:val="940"/>
        <w:ind w:firstLine="708"/>
        <w:jc w:val="both"/>
        <w:keepLines/>
        <w:keepNext/>
      </w:pPr>
      <w:r>
        <w:rPr>
          <w:rFonts w:eastAsia="SimSun;宋体"/>
          <w:lang w:val="en-US"/>
        </w:rPr>
        <w:t xml:space="preserve">Задания 1–3 – </w:t>
      </w:r>
      <w:r>
        <w:rPr>
          <w:rFonts w:eastAsia="SimSun;宋体"/>
          <w:lang w:val="en-US"/>
        </w:rPr>
        <w:t xml:space="preserve">понятийные задания базового уровня –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w:t>
      </w:r>
      <w:r>
        <w:rPr>
          <w:rFonts w:eastAsia="SimSun;宋体"/>
        </w:rPr>
        <w:t xml:space="preserve">, например, индивид, личность, орган власти, гражданство, преступление.</w:t>
      </w:r>
      <w:r/>
    </w:p>
    <w:p>
      <w:pPr>
        <w:pStyle w:val="940"/>
        <w:ind w:firstLine="708"/>
        <w:jc w:val="both"/>
        <w:keepLines/>
        <w:keepNext/>
      </w:pPr>
      <w:r>
        <w:rPr>
          <w:rFonts w:eastAsia="SimSun;宋体"/>
          <w:lang w:val="en-US"/>
        </w:rPr>
        <w:t xml:space="preserve">Задания 4–19 базового и повышенного уровней направлены на проверку сформированности умений: характеризовать с научных позиций основные социальные объекты (факты, явл</w:t>
      </w:r>
      <w:r>
        <w:rPr>
          <w:rFonts w:eastAsia="SimSun;宋体"/>
          <w:lang w:val="en-US"/>
        </w:rPr>
        <w:t xml:space="preserve">ения, процессы, институты), их место и значение в жизни общества как целостной системы; осуществлять поиск социальной информации, представленной в различных знаковых системах (текст, схема, таблица, диаграмма); применять социально- экономические и гуманита</w:t>
      </w:r>
      <w:r>
        <w:rPr>
          <w:rFonts w:eastAsia="SimSun;宋体"/>
          <w:lang w:val="en-US"/>
        </w:rPr>
        <w:t xml:space="preserve">рные знания в процессе решения познавательных задач по актуальным социальным проблемам. Задания этой группы представляют пять традиционных тематических модулей обществоведческого курса: человек и общество, включая познание и духовную культуру (задания 4–6)</w:t>
      </w:r>
      <w:r>
        <w:rPr>
          <w:rFonts w:eastAsia="SimSun;宋体"/>
        </w:rPr>
        <w:t xml:space="preserve">: глобализация, типы культур, типы обществ;</w:t>
      </w:r>
      <w:r>
        <w:rPr>
          <w:rFonts w:eastAsia="SimSun;宋体"/>
          <w:lang w:val="en-US"/>
        </w:rPr>
        <w:t xml:space="preserve">  экономика (задания 7–10)</w:t>
      </w:r>
      <w:r>
        <w:rPr>
          <w:rFonts w:eastAsia="SimSun;宋体"/>
        </w:rPr>
        <w:t xml:space="preserve">: налог, характеристика систем налогообложения, факторы и типы экономического роста, источники доходов потребителя, умение работать с графиком изменения спроса или предложения</w:t>
      </w:r>
      <w:r>
        <w:rPr>
          <w:rFonts w:eastAsia="SimSun;宋体"/>
          <w:lang w:val="en-US"/>
        </w:rPr>
        <w:t xml:space="preserve">; социальные отношения (задания 11, 12):</w:t>
      </w:r>
      <w:r>
        <w:rPr>
          <w:rFonts w:eastAsia="SimSun;宋体"/>
        </w:rPr>
        <w:t xml:space="preserve">социальные группы</w:t>
      </w:r>
      <w:r>
        <w:rPr>
          <w:rFonts w:eastAsia="SimSun;宋体"/>
          <w:lang w:val="en-US"/>
        </w:rPr>
        <w:t xml:space="preserve">, умение осуществлять поиск социальной информации, представленной в диаграмме;  политика (задания 13–15)</w:t>
      </w:r>
      <w:r>
        <w:rPr>
          <w:rFonts w:eastAsia="SimSun;宋体"/>
        </w:rPr>
        <w:t xml:space="preserve">: государство, понятие, признаки, формы, полномочия субъектов государственной власти РФ</w:t>
      </w:r>
      <w:r>
        <w:rPr>
          <w:rFonts w:eastAsia="SimSun;宋体"/>
          <w:lang w:val="en-US"/>
        </w:rPr>
        <w:t xml:space="preserve">; право (задания 16–19)</w:t>
      </w:r>
      <w:r>
        <w:rPr>
          <w:rFonts w:eastAsia="SimSun;宋体"/>
        </w:rPr>
        <w:t xml:space="preserve">: права и свободы граждан РФ, знание закона о воинской службе РФ, особенности юридической ответственности.</w:t>
      </w:r>
      <w:r/>
    </w:p>
    <w:p>
      <w:pPr>
        <w:pStyle w:val="940"/>
        <w:ind w:firstLine="708"/>
        <w:jc w:val="both"/>
        <w:keepLines/>
        <w:keepNext/>
        <w:rPr>
          <w:rFonts w:eastAsia="SimSun;宋体"/>
          <w:lang w:val="en-US"/>
        </w:rPr>
      </w:pPr>
      <w:r>
        <w:rPr>
          <w:rFonts w:eastAsia="SimSun;宋体"/>
          <w:lang w:val="en-US"/>
        </w:rPr>
        <w:t xml:space="preserve">Во всех вариантах КИМ задания данной части, проверяющие элемен</w:t>
      </w:r>
      <w:r>
        <w:rPr>
          <w:rFonts w:eastAsia="SimSun;宋体"/>
          <w:lang w:val="en-US"/>
        </w:rPr>
        <w:t xml:space="preserve">ты содержания одного и того же блока-модуля, находятся под одинаковыми номерами. Отметим, что задание 14 во всех вариантах проверяет позиции 4.14 и 4.15 кодификатора элементов содержания-  органы государственной власти Российской Федерации и федеративное у</w:t>
      </w:r>
      <w:r>
        <w:rPr>
          <w:rFonts w:eastAsia="SimSun;宋体"/>
          <w:lang w:val="en-US"/>
        </w:rPr>
        <w:t xml:space="preserve">стройство Российской Федерации, а задание 16 – знание основ конституционного строя Российской Федерации, прав и свобод человека и гражданина (позиция 5.4 кодификатора элементов содержания - проверяемых на едином государственном экзамене по обществознанию).</w:t>
      </w:r>
      <w:r/>
    </w:p>
    <w:p>
      <w:pPr>
        <w:pStyle w:val="940"/>
        <w:ind w:firstLine="708"/>
        <w:jc w:val="both"/>
        <w:keepLines/>
        <w:keepNext/>
      </w:pPr>
      <w:r>
        <w:t xml:space="preserve">Задание 20 проверяет умение сист</w:t>
      </w:r>
      <w:r>
        <w:t xml:space="preserve">ематизировать, анализировать и обобщать неупорядоченную социальную информацию. На одной и той же позиции в различных вариантах КИМ находятся задания одного уровня сложности, которые позволяют проверять одни и те же умения на различных элементах содержания.</w:t>
      </w:r>
      <w:r/>
    </w:p>
    <w:p>
      <w:pPr>
        <w:pStyle w:val="940"/>
        <w:ind w:firstLine="708"/>
        <w:jc w:val="both"/>
        <w:keepLines/>
        <w:keepNext/>
      </w:pPr>
      <w:r>
        <w:t xml:space="preserve">Задания части 2 (21–29) в совокупности представляют базовые общественные науки, формирующие обществоведческий курс средней школы (социальную философию, экономику, социологию, политологию, социальную психологию, правоведение).</w:t>
      </w:r>
      <w:r/>
    </w:p>
    <w:p>
      <w:pPr>
        <w:pStyle w:val="940"/>
        <w:ind w:firstLine="708"/>
        <w:jc w:val="both"/>
        <w:keepLines/>
        <w:keepNext/>
      </w:pPr>
      <w:r>
        <w:rPr>
          <w:rFonts w:eastAsia="SimSun;宋体"/>
          <w:bCs/>
        </w:rPr>
        <w:t xml:space="preserve">Задания 21–24 объединены в составное задание с фрагментом научно-популярного текста. Задания 21 и 22 направлены преимущественно </w:t>
      </w:r>
      <w:r>
        <w:rPr>
          <w:rFonts w:eastAsia="SimSun;宋体"/>
          <w:bCs/>
        </w:rPr>
        <w:t xml:space="preserve">на выявление умения находить, осознанно воспринимать и точно воспроизводить информацию, содержащуюся в тексте в явном виде (задание 21): характеристика конкуренции, а также применять ее в заданном контексте (задание 22): объясните смысл понятия «издержки».</w:t>
      </w:r>
      <w:r>
        <w:t xml:space="preserve"> </w:t>
      </w:r>
      <w:r>
        <w:rPr>
          <w:rFonts w:eastAsia="SimSun;宋体"/>
          <w:bCs/>
        </w:rPr>
        <w:t xml:space="preserve">Чем, по мнению авторов, определяется состояние рыночной среды? (Приведите четыре подобных показателя.) Что авторы называют деловой активностью?</w:t>
      </w:r>
      <w:r/>
    </w:p>
    <w:p>
      <w:pPr>
        <w:pStyle w:val="940"/>
        <w:ind w:firstLine="708"/>
        <w:jc w:val="both"/>
      </w:pPr>
      <w:r>
        <w:rPr>
          <w:rFonts w:eastAsia="SimSun;宋体"/>
          <w:bCs/>
        </w:rPr>
        <w:t xml:space="preserve">Задание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w:t>
      </w:r>
      <w:r>
        <w:t xml:space="preserve"> </w:t>
      </w:r>
      <w:r>
        <w:rPr>
          <w:rFonts w:eastAsia="SimSun;宋体"/>
          <w:bCs/>
        </w:rPr>
        <w:t xml:space="preserve">Назовите любые три направления конкурентной борьбы из текста. Используя обществоведческие знания и факты общественной жизни, приведите примеры, иллюстрирующие каждое из них. </w:t>
      </w:r>
      <w:r/>
    </w:p>
    <w:p>
      <w:pPr>
        <w:pStyle w:val="940"/>
        <w:ind w:firstLine="708"/>
        <w:jc w:val="both"/>
      </w:pPr>
      <w:r>
        <w:rPr>
          <w:rFonts w:eastAsia="SimSun;宋体"/>
          <w:bCs/>
        </w:rPr>
        <w:t xml:space="preserve">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w:t>
      </w:r>
      <w:r>
        <w:t xml:space="preserve"> </w:t>
      </w:r>
      <w:r>
        <w:rPr>
          <w:rFonts w:eastAsia="SimSun;宋体"/>
          <w:bCs/>
        </w:rPr>
        <w:t xml:space="preserve">приведите три аргумента, подтверждающих, что конкуренция между фирмами может иметь негативные последствия.</w:t>
      </w:r>
      <w:r/>
    </w:p>
    <w:p>
      <w:pPr>
        <w:pStyle w:val="940"/>
        <w:ind w:firstLine="708"/>
        <w:jc w:val="both"/>
      </w:pPr>
      <w:r>
        <w:rPr>
          <w:rFonts w:eastAsia="SimSun;宋体"/>
          <w:bCs/>
        </w:rPr>
        <w:t xml:space="preserve">Задание 25 проверяет умение самостоятельно раскрывать смысл ключевых обществоведческих понятий и применять их в заданном контексте: понятие</w:t>
      </w:r>
      <w:r>
        <w:t xml:space="preserve"> </w:t>
      </w:r>
      <w:r>
        <w:rPr>
          <w:rFonts w:eastAsia="SimSun;宋体"/>
          <w:bCs/>
        </w:rPr>
        <w:t xml:space="preserve">«потребность». Составьте два предложения: одно предложение, содержащее информацию о любых четырёх социальных потребностях; одно предложение, раскрывающее особенность социальных потребностей.</w:t>
      </w:r>
      <w:r/>
    </w:p>
    <w:p>
      <w:pPr>
        <w:pStyle w:val="940"/>
        <w:ind w:firstLine="708"/>
        <w:jc w:val="both"/>
      </w:pPr>
      <w:r>
        <w:rPr>
          <w:rFonts w:eastAsia="SimSun;宋体"/>
          <w:bCs/>
        </w:rPr>
        <w:t xml:space="preserve">Задание 26 проверяет умение конкретизировать примерами изученные теоретические положения и понятия общественных наук, формирующих обществоведческий курс:</w:t>
      </w:r>
      <w:r>
        <w:t xml:space="preserve"> </w:t>
      </w:r>
      <w:r>
        <w:rPr>
          <w:rFonts w:eastAsia="SimSun;宋体"/>
          <w:bCs/>
        </w:rPr>
        <w:t xml:space="preserve">проиллюстрируйте примерами роль образования: в выборе профессии, в социальной мобильности, в формировании мировоззрения личности.</w:t>
      </w:r>
      <w:r/>
    </w:p>
    <w:p>
      <w:pPr>
        <w:pStyle w:val="940"/>
        <w:ind w:firstLine="708"/>
        <w:jc w:val="both"/>
        <w:rPr>
          <w:rFonts w:eastAsia="SimSun;宋体"/>
          <w:bCs/>
        </w:rPr>
      </w:pPr>
      <w:r>
        <w:rPr>
          <w:rFonts w:eastAsia="SimSun;宋体"/>
          <w:bCs/>
        </w:rPr>
        <w:t xml:space="preserve">Задание-задача 27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w:t>
      </w:r>
      <w:r>
        <w:rPr>
          <w:rFonts w:eastAsia="SimSun;宋体"/>
          <w:bCs/>
        </w:rPr>
        <w:t xml:space="preserve">, прогностических и иных суждений, объяснений, выводов.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 особенности заключения брачного договора.</w:t>
      </w:r>
      <w:r/>
    </w:p>
    <w:p>
      <w:pPr>
        <w:pStyle w:val="940"/>
        <w:ind w:firstLine="708"/>
        <w:jc w:val="both"/>
      </w:pPr>
      <w:r>
        <w:rPr>
          <w:rFonts w:eastAsia="SimSun;宋体"/>
          <w:bCs/>
        </w:rPr>
        <w:t xml:space="preserve">Задание 28 требует составления плана развернутого ответа по конкретной теме обществоведческого курса. При выполнении</w:t>
      </w:r>
      <w:r>
        <w:rPr>
          <w:rFonts w:eastAsia="SimSun;宋体"/>
          <w:bCs/>
        </w:rPr>
        <w:t xml:space="preserve">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составить сложный план:</w:t>
      </w:r>
      <w:r>
        <w:t xml:space="preserve"> </w:t>
      </w:r>
      <w:r>
        <w:rPr>
          <w:rFonts w:eastAsia="SimSun;宋体"/>
          <w:bCs/>
        </w:rPr>
        <w:t xml:space="preserve">«Российская Федерация: форма государства».</w:t>
      </w:r>
      <w:r/>
    </w:p>
    <w:p>
      <w:pPr>
        <w:pStyle w:val="940"/>
        <w:ind w:firstLine="708"/>
        <w:jc w:val="both"/>
        <w:rPr>
          <w:rFonts w:eastAsia="SimSun;宋体"/>
          <w:bCs/>
        </w:rPr>
      </w:pPr>
      <w:r>
        <w:rPr>
          <w:rFonts w:eastAsia="SimSun;宋体"/>
          <w:bCs/>
        </w:rPr>
        <w:t xml:space="preserve">В каждом варианте работы в заданиях 21–28 в совокупности представлены пять тематических блоков-модулей.</w:t>
      </w:r>
      <w:r/>
    </w:p>
    <w:p>
      <w:pPr>
        <w:pStyle w:val="940"/>
        <w:ind w:firstLine="708"/>
        <w:jc w:val="both"/>
      </w:pPr>
      <w:r>
        <w:rPr>
          <w:rFonts w:eastAsia="SimSun;宋体"/>
          <w:bCs/>
        </w:rPr>
        <w:t xml:space="preserve">Завершает работу альтернативное задание 29, н</w:t>
      </w:r>
      <w:r>
        <w:rPr>
          <w:rFonts w:eastAsia="SimSun;宋体"/>
          <w:bCs/>
        </w:rPr>
        <w:t xml:space="preserve">ацеливающее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w:t>
      </w:r>
      <w:r>
        <w:t xml:space="preserve"> </w:t>
      </w:r>
      <w:r>
        <w:rPr>
          <w:rFonts w:eastAsia="SimSun;宋体"/>
          <w:bCs/>
        </w:rPr>
        <w:t xml:space="preserve">афористический характер. Каж</w:t>
      </w:r>
      <w:r>
        <w:rPr>
          <w:rFonts w:eastAsia="SimSun;宋体"/>
          <w:bCs/>
        </w:rPr>
        <w:t xml:space="preserve">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w:t>
      </w:r>
      <w:r>
        <w:rPr>
          <w:rFonts w:eastAsia="SimSun;宋体"/>
          <w:bCs/>
        </w:rPr>
        <w:t xml:space="preserve">.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numPr>
          <w:ilvl w:val="2"/>
          <w:numId w:val="69"/>
        </w:numPr>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contextualSpacing/>
        <w:jc w:val="both"/>
        <w:spacing w:before="0" w:after="0"/>
        <w:rPr>
          <w:rFonts w:eastAsia="SimSun;宋体"/>
          <w:i/>
          <w:iCs/>
          <w:sz w:val="28"/>
        </w:rPr>
      </w:pPr>
      <w:r>
        <w:rPr>
          <w:rFonts w:eastAsia="SimSun;宋体"/>
          <w:i/>
          <w:iCs/>
          <w:sz w:val="28"/>
        </w:rPr>
      </w:r>
      <w:r/>
    </w:p>
    <w:p>
      <w:pPr>
        <w:pStyle w:val="940"/>
        <w:contextualSpacing/>
        <w:jc w:val="both"/>
        <w:spacing w:before="0" w:after="0"/>
        <w:rPr>
          <w:rFonts w:eastAsia="SimSun;宋体"/>
          <w:i/>
          <w:iCs/>
          <w:sz w:val="28"/>
        </w:rPr>
      </w:pPr>
      <w:r>
        <w:rPr>
          <w:rFonts w:eastAsia="SimSun;宋体"/>
          <w:i/>
          <w:iCs/>
          <w:sz w:val="28"/>
        </w:rPr>
      </w:r>
      <w:r/>
    </w:p>
    <w:p>
      <w:pPr>
        <w:pStyle w:val="940"/>
        <w:contextualSpacing/>
        <w:jc w:val="both"/>
        <w:spacing w:before="0" w:after="0"/>
        <w:rPr>
          <w:i/>
          <w:iCs/>
        </w:rPr>
      </w:pPr>
      <w:r>
        <w:rPr>
          <w:i/>
          <w:iCs/>
        </w:rPr>
      </w:r>
      <w:r/>
    </w:p>
    <w:p>
      <w:pPr>
        <w:pStyle w:val="940"/>
        <w:contextualSpacing/>
        <w:jc w:val="both"/>
        <w:spacing w:before="0" w:after="0"/>
        <w:rPr>
          <w:i/>
          <w:iCs/>
        </w:rPr>
      </w:pPr>
      <w:r>
        <w:rPr>
          <w:i/>
          <w:iCs/>
        </w:rPr>
      </w:r>
      <w:r/>
    </w:p>
    <w:p>
      <w:pPr>
        <w:pStyle w:val="1409"/>
        <w:keepNext/>
        <w:rPr>
          <w:i w:val="0"/>
          <w:iCs/>
        </w:rPr>
      </w:pPr>
      <w:r>
        <w:rPr>
          <w:i w:val="0"/>
          <w:iCs/>
        </w:rPr>
      </w:r>
      <w:r/>
    </w:p>
    <w:p>
      <w:pPr>
        <w:pStyle w:val="1409"/>
        <w:keepNext/>
        <w:rPr>
          <w:lang w:val="en-US"/>
        </w:rPr>
      </w:pPr>
      <w:r>
        <w:rPr>
          <w:lang w:val="en-US"/>
        </w:rPr>
        <w:t xml:space="preserve">Таблица 2-13</w:t>
      </w:r>
      <w:r/>
    </w:p>
    <w:tbl>
      <w:tblPr>
        <w:tblW w:w="9751" w:type="dxa"/>
        <w:tblInd w:w="42" w:type="dxa"/>
        <w:tblLayout w:type="fixed"/>
        <w:tblCellMar>
          <w:left w:w="108" w:type="dxa"/>
          <w:top w:w="0" w:type="dxa"/>
          <w:right w:w="108" w:type="dxa"/>
          <w:bottom w:w="0" w:type="dxa"/>
        </w:tblCellMar>
        <w:tblLook w:val="04A0" w:firstRow="1" w:lastRow="0" w:firstColumn="1" w:lastColumn="0" w:noHBand="0" w:noVBand="1"/>
      </w:tblPr>
      <w:tblGrid>
        <w:gridCol w:w="962"/>
        <w:gridCol w:w="2434"/>
        <w:gridCol w:w="1317"/>
        <w:gridCol w:w="847"/>
        <w:gridCol w:w="1334"/>
        <w:gridCol w:w="1335"/>
        <w:gridCol w:w="756"/>
        <w:gridCol w:w="766"/>
      </w:tblGrid>
      <w:tr>
        <w:trPr>
          <w:trHeight w:val="601"/>
        </w:trPr>
        <w:tc>
          <w:tcPr>
            <w:tcBorders>
              <w:top w:val="single" w:color="000000" w:sz="4" w:space="0"/>
              <w:left w:val="single" w:color="000000" w:sz="4" w:space="0"/>
              <w:bottom w:val="single" w:color="000000" w:sz="4" w:space="0"/>
              <w:right w:val="single" w:color="000000" w:sz="4" w:space="0"/>
            </w:tcBorders>
            <w:tcW w:w="962" w:type="dxa"/>
            <w:vMerge w:val="restart"/>
            <w:textDirection w:val="lrTb"/>
            <w:noWrap w:val="false"/>
          </w:tcPr>
          <w:p>
            <w:pPr>
              <w:pStyle w:val="940"/>
              <w:ind w:left="-52" w:firstLine="0"/>
            </w:pPr>
            <w:r/>
            <w:r/>
          </w:p>
          <w:p>
            <w:pPr>
              <w:pStyle w:val="940"/>
              <w:ind w:left="-52" w:firstLine="0"/>
            </w:pPr>
            <w:r/>
            <w:r/>
          </w:p>
          <w:p>
            <w:pPr>
              <w:pStyle w:val="940"/>
              <w:ind w:left="-52" w:firstLine="0"/>
            </w:pPr>
            <w:r/>
            <w:r/>
          </w:p>
          <w:p>
            <w:pPr>
              <w:pStyle w:val="940"/>
              <w:jc w:val="center"/>
              <w:rPr>
                <w:bCs/>
              </w:rPr>
            </w:pPr>
            <w:r>
              <w:rPr>
                <w:bCs/>
              </w:rPr>
              <w:t xml:space="preserve">Номер</w:t>
            </w:r>
            <w:r/>
          </w:p>
          <w:p>
            <w:pPr>
              <w:pStyle w:val="940"/>
              <w:ind w:left="-52" w:firstLine="0"/>
              <w:rPr>
                <w:bCs/>
              </w:rPr>
            </w:pPr>
            <w:r>
              <w:rPr>
                <w:bCs/>
              </w:rPr>
              <w:t xml:space="preserve">задания в КИМ</w:t>
            </w:r>
            <w:r/>
          </w:p>
          <w:p>
            <w:pPr>
              <w:pStyle w:val="940"/>
              <w:ind w:left="-52" w:firstLine="0"/>
            </w:pPr>
            <w:r/>
            <w:r/>
          </w:p>
        </w:tc>
        <w:tc>
          <w:tcPr>
            <w:tcBorders>
              <w:top w:val="single" w:color="000000" w:sz="4" w:space="0"/>
              <w:left w:val="single" w:color="000000" w:sz="4" w:space="0"/>
              <w:bottom w:val="single" w:color="000000" w:sz="4" w:space="0"/>
              <w:right w:val="single" w:color="000000" w:sz="4" w:space="0"/>
            </w:tcBorders>
            <w:tcW w:w="2434" w:type="dxa"/>
            <w:vMerge w:val="restart"/>
            <w:textDirection w:val="lrTb"/>
            <w:noWrap w:val="false"/>
          </w:tcPr>
          <w:p>
            <w:pPr>
              <w:pStyle w:val="940"/>
            </w:pPr>
            <w:r/>
            <w:r/>
          </w:p>
          <w:p>
            <w:pPr>
              <w:pStyle w:val="940"/>
            </w:pPr>
            <w:r/>
            <w:r/>
          </w:p>
          <w:p>
            <w:pPr>
              <w:pStyle w:val="940"/>
            </w:pPr>
            <w:r/>
            <w:r/>
          </w:p>
          <w:p>
            <w:pPr>
              <w:pStyle w:val="940"/>
              <w:rPr>
                <w:bCs/>
              </w:rPr>
            </w:pPr>
            <w:r>
              <w:rPr>
                <w:bCs/>
              </w:rPr>
              <w:t xml:space="preserve">Проверяемые элементы содержания / умения</w:t>
            </w:r>
            <w:r/>
          </w:p>
          <w:p>
            <w:pPr>
              <w:pStyle w:val="940"/>
            </w:pPr>
            <w:r/>
            <w:r/>
          </w:p>
        </w:tc>
        <w:tc>
          <w:tcPr>
            <w:tcBorders>
              <w:top w:val="single" w:color="000000" w:sz="4" w:space="0"/>
              <w:left w:val="single" w:color="000000" w:sz="4" w:space="0"/>
              <w:bottom w:val="single" w:color="000000" w:sz="4" w:space="0"/>
              <w:right w:val="single" w:color="000000" w:sz="4" w:space="0"/>
            </w:tcBorders>
            <w:tcW w:w="1317" w:type="dxa"/>
            <w:vMerge w:val="restart"/>
            <w:textDirection w:val="lrTb"/>
            <w:noWrap w:val="false"/>
          </w:tcPr>
          <w:p>
            <w:pPr>
              <w:pStyle w:val="940"/>
            </w:pPr>
            <w:r/>
            <w:r/>
          </w:p>
          <w:p>
            <w:pPr>
              <w:pStyle w:val="940"/>
            </w:pPr>
            <w:r/>
            <w:r/>
          </w:p>
          <w:p>
            <w:pPr>
              <w:pStyle w:val="940"/>
            </w:pPr>
            <w:r/>
            <w:r/>
          </w:p>
          <w:p>
            <w:pPr>
              <w:pStyle w:val="940"/>
              <w:jc w:val="center"/>
              <w:rPr>
                <w:bCs/>
              </w:rPr>
            </w:pPr>
            <w:r>
              <w:rPr>
                <w:bCs/>
              </w:rPr>
              <w:t xml:space="preserve">Уровень сложности задания</w:t>
            </w:r>
            <w:r/>
          </w:p>
          <w:p>
            <w:pPr>
              <w:pStyle w:val="940"/>
            </w:pPr>
            <w:r/>
            <w:r/>
          </w:p>
          <w:p>
            <w:pPr>
              <w:pStyle w:val="940"/>
            </w:pPr>
            <w:r/>
            <w:r/>
          </w:p>
        </w:tc>
        <w:tc>
          <w:tcPr>
            <w:gridSpan w:val="5"/>
            <w:tcBorders>
              <w:top w:val="single" w:color="000000" w:sz="4" w:space="0"/>
              <w:left w:val="single" w:color="000000" w:sz="4" w:space="0"/>
              <w:bottom w:val="single" w:color="000000" w:sz="4" w:space="0"/>
              <w:right w:val="single" w:color="000000" w:sz="4" w:space="0"/>
            </w:tcBorders>
            <w:tcW w:w="5038" w:type="dxa"/>
            <w:textDirection w:val="lrTb"/>
            <w:noWrap w:val="false"/>
          </w:tcPr>
          <w:p>
            <w:pPr>
              <w:pStyle w:val="940"/>
            </w:pPr>
            <w:r/>
            <w:r/>
          </w:p>
          <w:p>
            <w:pPr>
              <w:pStyle w:val="940"/>
            </w:pPr>
            <w:r>
              <w:t xml:space="preserve">Процент выполнения задания </w:t>
              <w:br/>
              <w:t xml:space="preserve">в субъекте Российской Федерации</w:t>
            </w:r>
            <w:r/>
          </w:p>
        </w:tc>
      </w:tr>
      <w:tr>
        <w:trPr>
          <w:trHeight w:val="1087"/>
        </w:trPr>
        <w:tc>
          <w:tcPr>
            <w:tcBorders>
              <w:top w:val="single" w:color="000000" w:sz="4" w:space="0"/>
              <w:left w:val="single" w:color="000000" w:sz="4" w:space="0"/>
              <w:bottom w:val="single" w:color="000000" w:sz="4" w:space="0"/>
              <w:right w:val="single" w:color="000000" w:sz="4" w:space="0"/>
            </w:tcBorders>
            <w:tcW w:w="962" w:type="dxa"/>
            <w:vMerge w:val="continue"/>
            <w:textDirection w:val="lrTb"/>
            <w:noWrap w:val="false"/>
          </w:tcPr>
          <w:p>
            <w:pPr>
              <w:pStyle w:val="940"/>
              <w:ind w:left="-52" w:firstLine="0"/>
            </w:pPr>
            <w:r/>
            <w:r/>
          </w:p>
        </w:tc>
        <w:tc>
          <w:tcPr>
            <w:tcBorders>
              <w:top w:val="single" w:color="000000" w:sz="4" w:space="0"/>
              <w:left w:val="single" w:color="000000" w:sz="4" w:space="0"/>
              <w:bottom w:val="single" w:color="000000" w:sz="4" w:space="0"/>
              <w:right w:val="single" w:color="000000" w:sz="4" w:space="0"/>
            </w:tcBorders>
            <w:tcW w:w="2434" w:type="dxa"/>
            <w:vMerge w:val="continue"/>
            <w:textDirection w:val="lrTb"/>
            <w:noWrap w:val="false"/>
          </w:tcPr>
          <w:p>
            <w:pPr>
              <w:pStyle w:val="940"/>
            </w:pPr>
            <w:r/>
            <w:r/>
          </w:p>
        </w:tc>
        <w:tc>
          <w:tcPr>
            <w:tcBorders>
              <w:top w:val="single" w:color="000000" w:sz="4" w:space="0"/>
              <w:left w:val="single" w:color="000000" w:sz="4" w:space="0"/>
              <w:bottom w:val="single" w:color="000000" w:sz="4" w:space="0"/>
              <w:right w:val="single" w:color="000000" w:sz="4" w:space="0"/>
            </w:tcBorders>
            <w:tcW w:w="1317" w:type="dxa"/>
            <w:vMerge w:val="continue"/>
            <w:textDirection w:val="lrTb"/>
            <w:noWrap w:val="false"/>
          </w:tcPr>
          <w:p>
            <w:pPr>
              <w:pStyle w:val="940"/>
            </w:pPr>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rPr>
                <w:sz w:val="18"/>
              </w:rPr>
            </w:pPr>
            <w:r>
              <w:rPr>
                <w:sz w:val="18"/>
              </w:rPr>
              <w:t xml:space="preserve">средний</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rPr>
                <w:bCs/>
                <w:sz w:val="18"/>
              </w:rPr>
            </w:pPr>
            <w:r>
              <w:rPr>
                <w:bCs/>
                <w:sz w:val="18"/>
              </w:rPr>
              <w:t xml:space="preserve">в группе не преодолевших минимальный балл</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rPr>
                <w:bCs/>
                <w:sz w:val="18"/>
              </w:rPr>
            </w:pPr>
            <w:r>
              <w:rPr>
                <w:bCs/>
                <w:sz w:val="18"/>
              </w:rPr>
              <w:t xml:space="preserve">в группе от минимального до 60 т.б.</w:t>
            </w:r>
            <w:r/>
          </w:p>
        </w:tc>
        <w:tc>
          <w:tcPr>
            <w:tcBorders>
              <w:top w:val="single" w:color="000000" w:sz="4" w:space="0"/>
              <w:left w:val="single" w:color="000000" w:sz="4" w:space="0"/>
              <w:bottom w:val="single" w:color="000000" w:sz="4" w:space="0"/>
              <w:right w:val="single" w:color="000000" w:sz="4" w:space="0"/>
            </w:tcBorders>
            <w:tcW w:w="756" w:type="dxa"/>
            <w:vAlign w:val="center"/>
            <w:textDirection w:val="lrTb"/>
            <w:noWrap w:val="false"/>
          </w:tcPr>
          <w:p>
            <w:pPr>
              <w:pStyle w:val="940"/>
              <w:jc w:val="center"/>
              <w:rPr>
                <w:bCs/>
                <w:sz w:val="18"/>
              </w:rPr>
            </w:pPr>
            <w:r>
              <w:rPr>
                <w:bCs/>
                <w:sz w:val="18"/>
              </w:rPr>
              <w:t xml:space="preserve">в группе от 61 до 80 т.б.</w:t>
            </w:r>
            <w:r/>
          </w:p>
        </w:tc>
        <w:tc>
          <w:tcPr>
            <w:tcBorders>
              <w:top w:val="single" w:color="000000" w:sz="4" w:space="0"/>
              <w:left w:val="single" w:color="000000" w:sz="4" w:space="0"/>
              <w:bottom w:val="single" w:color="000000" w:sz="4" w:space="0"/>
              <w:right w:val="single" w:color="000000" w:sz="4" w:space="0"/>
            </w:tcBorders>
            <w:tcW w:w="766" w:type="dxa"/>
            <w:vAlign w:val="center"/>
            <w:textDirection w:val="lrTb"/>
            <w:noWrap w:val="false"/>
          </w:tcPr>
          <w:p>
            <w:pPr>
              <w:pStyle w:val="940"/>
              <w:jc w:val="center"/>
              <w:rPr>
                <w:bCs/>
                <w:sz w:val="18"/>
              </w:rPr>
            </w:pPr>
            <w:r>
              <w:rPr>
                <w:bCs/>
                <w:sz w:val="18"/>
              </w:rPr>
              <w:t xml:space="preserve">в группе от 81 до 100 т.б.</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textDirection w:val="lrTb"/>
            <w:noWrap w:val="false"/>
          </w:tcPr>
          <w:p>
            <w:pPr>
              <w:pStyle w:val="940"/>
              <w:jc w:val="center"/>
              <w:rPr>
                <w:bCs/>
              </w:rPr>
            </w:pPr>
            <w:r>
              <w:rPr>
                <w:bCs/>
              </w:rPr>
              <w:t xml:space="preserve">1</w:t>
            </w:r>
            <w:r/>
          </w:p>
        </w:tc>
        <w:tc>
          <w:tcPr>
            <w:tcBorders>
              <w:top w:val="single" w:color="000000" w:sz="4" w:space="0"/>
              <w:left w:val="single" w:color="000000" w:sz="4" w:space="0"/>
              <w:bottom w:val="single" w:color="000000" w:sz="4" w:space="0"/>
              <w:right w:val="single" w:color="000000" w:sz="4" w:space="0"/>
            </w:tcBorders>
            <w:tcW w:w="2434" w:type="dxa"/>
            <w:vMerge w:val="restart"/>
            <w:textDirection w:val="lrTb"/>
            <w:noWrap w:val="false"/>
          </w:tcPr>
          <w:p>
            <w:pPr>
              <w:pStyle w:val="940"/>
              <w:jc w:val="center"/>
            </w:pPr>
            <w:r>
              <w:t xml:space="preserve">Задания 1–3 – понятийные, нацелены на проверку знаний и умений сущность человека;</w:t>
            </w:r>
            <w:r/>
          </w:p>
          <w:p>
            <w:pPr>
              <w:pStyle w:val="940"/>
              <w:jc w:val="center"/>
            </w:pPr>
            <w:r>
              <w:t xml:space="preserve">основные этапы</w:t>
            </w:r>
            <w:r/>
          </w:p>
          <w:p>
            <w:pPr>
              <w:pStyle w:val="940"/>
              <w:jc w:val="center"/>
            </w:pPr>
            <w:r>
              <w:t xml:space="preserve">и факторы</w:t>
            </w:r>
            <w:r/>
          </w:p>
          <w:p>
            <w:pPr>
              <w:pStyle w:val="940"/>
              <w:jc w:val="center"/>
            </w:pPr>
            <w:r>
              <w:t xml:space="preserve">социализации личности;</w:t>
            </w:r>
            <w:r/>
          </w:p>
          <w:p>
            <w:pPr>
              <w:pStyle w:val="940"/>
              <w:jc w:val="center"/>
            </w:pPr>
            <w:r>
              <w:t xml:space="preserve">место и роль человека в</w:t>
            </w:r>
            <w:r/>
          </w:p>
          <w:p>
            <w:pPr>
              <w:pStyle w:val="940"/>
              <w:jc w:val="center"/>
            </w:pPr>
            <w:r>
              <w:t xml:space="preserve">системе общественных</w:t>
            </w:r>
            <w:r/>
          </w:p>
          <w:p>
            <w:pPr>
              <w:pStyle w:val="940"/>
              <w:jc w:val="center"/>
            </w:pPr>
            <w:r>
              <w:t xml:space="preserve">отношений;</w:t>
            </w:r>
            <w:r/>
          </w:p>
          <w:p>
            <w:pPr>
              <w:pStyle w:val="940"/>
              <w:jc w:val="center"/>
            </w:pPr>
            <w:r>
              <w:t xml:space="preserve">закономерности</w:t>
            </w:r>
            <w:r/>
          </w:p>
          <w:p>
            <w:pPr>
              <w:pStyle w:val="940"/>
              <w:jc w:val="center"/>
            </w:pPr>
            <w:r>
              <w:t xml:space="preserve">развития общества как</w:t>
            </w:r>
            <w:r/>
          </w:p>
          <w:p>
            <w:pPr>
              <w:pStyle w:val="940"/>
              <w:jc w:val="center"/>
            </w:pPr>
            <w:r>
              <w:t xml:space="preserve">сложной</w:t>
            </w:r>
            <w:r/>
          </w:p>
          <w:p>
            <w:pPr>
              <w:pStyle w:val="940"/>
              <w:jc w:val="center"/>
            </w:pPr>
            <w:r>
              <w:t xml:space="preserve">самоорганизующейся</w:t>
            </w:r>
            <w:r/>
          </w:p>
          <w:p>
            <w:pPr>
              <w:pStyle w:val="940"/>
              <w:jc w:val="center"/>
            </w:pPr>
            <w:r>
              <w:t xml:space="preserve">системы; тенденции развития общества</w:t>
            </w:r>
            <w:r/>
          </w:p>
          <w:p>
            <w:pPr>
              <w:pStyle w:val="940"/>
              <w:jc w:val="center"/>
              <w:rPr>
                <w:b/>
              </w:rPr>
            </w:pPr>
            <w:r>
              <w:t xml:space="preserve">в целом как сложной</w:t>
            </w:r>
            <w:r/>
          </w:p>
          <w:p>
            <w:pPr>
              <w:pStyle w:val="940"/>
              <w:jc w:val="center"/>
            </w:pPr>
            <w:r>
              <w:t xml:space="preserve">динамичной системы,</w:t>
            </w:r>
            <w:r/>
          </w:p>
          <w:p>
            <w:pPr>
              <w:pStyle w:val="940"/>
              <w:jc w:val="center"/>
            </w:pPr>
            <w:r>
              <w:t xml:space="preserve">а также важнейших</w:t>
            </w:r>
            <w:r/>
          </w:p>
          <w:p>
            <w:pPr>
              <w:pStyle w:val="940"/>
              <w:jc w:val="center"/>
            </w:pPr>
            <w:r>
              <w:t xml:space="preserve">социальных институтов;</w:t>
            </w:r>
            <w:r/>
          </w:p>
          <w:p>
            <w:pPr>
              <w:pStyle w:val="940"/>
              <w:jc w:val="center"/>
            </w:pPr>
            <w:r>
              <w:t xml:space="preserve">основные социальные</w:t>
            </w:r>
            <w:r/>
          </w:p>
          <w:p>
            <w:pPr>
              <w:pStyle w:val="940"/>
              <w:jc w:val="center"/>
            </w:pPr>
            <w:r>
              <w:t xml:space="preserve">институты и процессы;</w:t>
            </w:r>
            <w:r/>
          </w:p>
          <w:p>
            <w:pPr>
              <w:pStyle w:val="940"/>
              <w:jc w:val="center"/>
            </w:pPr>
            <w:r>
              <w:t xml:space="preserve">необходимость</w:t>
            </w:r>
            <w:r/>
          </w:p>
          <w:p>
            <w:pPr>
              <w:pStyle w:val="940"/>
              <w:jc w:val="center"/>
            </w:pPr>
            <w:r>
              <w:t xml:space="preserve">регулирования</w:t>
            </w:r>
            <w:r/>
          </w:p>
          <w:p>
            <w:pPr>
              <w:pStyle w:val="940"/>
              <w:jc w:val="center"/>
            </w:pPr>
            <w:r>
              <w:t xml:space="preserve">общественных</w:t>
            </w:r>
            <w:r/>
          </w:p>
          <w:p>
            <w:pPr>
              <w:pStyle w:val="940"/>
              <w:jc w:val="center"/>
            </w:pPr>
            <w:r>
              <w:t xml:space="preserve">отношений, сущность</w:t>
            </w:r>
            <w:r/>
          </w:p>
          <w:p>
            <w:pPr>
              <w:pStyle w:val="940"/>
              <w:jc w:val="center"/>
            </w:pPr>
            <w:r>
              <w:t xml:space="preserve">социальных норм,</w:t>
            </w:r>
            <w:r/>
          </w:p>
          <w:p>
            <w:pPr>
              <w:pStyle w:val="940"/>
              <w:jc w:val="center"/>
            </w:pPr>
            <w:r>
              <w:t xml:space="preserve">механизмы правового</w:t>
            </w:r>
            <w:r/>
          </w:p>
          <w:p>
            <w:pPr>
              <w:pStyle w:val="940"/>
              <w:jc w:val="center"/>
            </w:pPr>
            <w:r>
              <w:t xml:space="preserve">регулирования;</w:t>
            </w:r>
            <w:r/>
          </w:p>
          <w:p>
            <w:pPr>
              <w:pStyle w:val="940"/>
              <w:jc w:val="center"/>
            </w:pPr>
            <w:r>
              <w:t xml:space="preserve">особенности социально-</w:t>
            </w:r>
            <w:r/>
          </w:p>
          <w:p>
            <w:pPr>
              <w:pStyle w:val="940"/>
              <w:jc w:val="center"/>
            </w:pPr>
            <w:r>
              <w:t xml:space="preserve">гуманитарного</w:t>
            </w:r>
            <w:r/>
          </w:p>
          <w:p>
            <w:pPr>
              <w:pStyle w:val="940"/>
              <w:jc w:val="center"/>
              <w:rPr>
                <w:bCs/>
              </w:rPr>
            </w:pPr>
            <w:r>
              <w:t xml:space="preserve">познания</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87,94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59,74</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91,27</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97,86</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100</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textDirection w:val="lrTb"/>
            <w:noWrap w:val="false"/>
          </w:tcPr>
          <w:p>
            <w:pPr>
              <w:pStyle w:val="940"/>
              <w:jc w:val="center"/>
              <w:rPr>
                <w:bCs/>
              </w:rPr>
            </w:pPr>
            <w:r>
              <w:rPr>
                <w:bCs/>
              </w:rPr>
              <w:t xml:space="preserve">2</w:t>
            </w:r>
            <w:r/>
          </w:p>
        </w:tc>
        <w:tc>
          <w:tcPr>
            <w:tcBorders>
              <w:top w:val="single" w:color="000000" w:sz="4" w:space="0"/>
              <w:left w:val="single" w:color="000000" w:sz="4" w:space="0"/>
              <w:bottom w:val="single" w:color="000000" w:sz="4" w:space="0"/>
              <w:right w:val="single" w:color="000000" w:sz="4" w:space="0"/>
            </w:tcBorders>
            <w:tcW w:w="2434" w:type="dxa"/>
            <w:vMerge w:val="continue"/>
            <w:textDirection w:val="lrTb"/>
            <w:noWrap w:val="false"/>
          </w:tcPr>
          <w:p>
            <w:pPr>
              <w:pStyle w:val="940"/>
              <w:jc w:val="center"/>
              <w:rPr>
                <w:bCs/>
                <w:i/>
              </w:rPr>
            </w:pPr>
            <w:r>
              <w:rPr>
                <w:bCs/>
                <w:i/>
              </w:rPr>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93,24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74,76</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95,76</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99,42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100</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textDirection w:val="lrTb"/>
            <w:noWrap w:val="false"/>
          </w:tcPr>
          <w:p>
            <w:pPr>
              <w:pStyle w:val="940"/>
              <w:jc w:val="center"/>
              <w:rPr>
                <w:bCs/>
              </w:rPr>
            </w:pPr>
            <w:r>
              <w:rPr>
                <w:bCs/>
              </w:rPr>
              <w:t xml:space="preserve">3</w:t>
            </w:r>
            <w:r/>
          </w:p>
        </w:tc>
        <w:tc>
          <w:tcPr>
            <w:tcBorders>
              <w:top w:val="single" w:color="000000" w:sz="4" w:space="0"/>
              <w:left w:val="single" w:color="000000" w:sz="4" w:space="0"/>
              <w:bottom w:val="single" w:color="000000" w:sz="4" w:space="0"/>
              <w:right w:val="single" w:color="000000" w:sz="4" w:space="0"/>
            </w:tcBorders>
            <w:tcW w:w="2434" w:type="dxa"/>
            <w:vMerge w:val="continue"/>
            <w:textDirection w:val="lrTb"/>
            <w:noWrap w:val="false"/>
          </w:tcPr>
          <w:p>
            <w:pPr>
              <w:pStyle w:val="940"/>
              <w:jc w:val="center"/>
              <w:rPr>
                <w:bCs/>
                <w:i/>
              </w:rPr>
            </w:pPr>
            <w:r>
              <w:rPr>
                <w:bCs/>
                <w:i/>
              </w:rPr>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rPr>
                <w:b/>
              </w:rPr>
            </w:pPr>
            <w:r>
              <w:t xml:space="preserve">Б</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83,05</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61,34</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81,3</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96,3</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98,86</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4</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человек и общество, включая познание</w:t>
            </w:r>
            <w:r/>
          </w:p>
          <w:p>
            <w:pPr>
              <w:pStyle w:val="940"/>
              <w:jc w:val="center"/>
            </w:pPr>
            <w:r>
              <w:t xml:space="preserve">и духовную культуру</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66,8</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44,09</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64,21</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80,16</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93,18</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5</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Человек и общество, включая познание</w:t>
            </w:r>
            <w:r/>
          </w:p>
          <w:p>
            <w:pPr>
              <w:pStyle w:val="940"/>
              <w:jc w:val="center"/>
            </w:pPr>
            <w:r>
              <w:t xml:space="preserve">и духовную культуру</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rPr>
                <w:color w:val="000000"/>
                <w:sz w:val="22"/>
                <w:szCs w:val="22"/>
              </w:rPr>
            </w:pPr>
            <w:r>
              <w:rPr>
                <w:color w:val="000000"/>
                <w:sz w:val="22"/>
                <w:szCs w:val="22"/>
              </w:rPr>
              <w:t xml:space="preserve">72,66</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rPr>
                <w:color w:val="000000"/>
                <w:sz w:val="22"/>
                <w:szCs w:val="22"/>
              </w:rPr>
            </w:pPr>
            <w:r>
              <w:rPr>
                <w:color w:val="000000"/>
                <w:sz w:val="22"/>
                <w:szCs w:val="22"/>
              </w:rPr>
              <w:t xml:space="preserve">34,98</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rPr>
                <w:color w:val="000000"/>
                <w:sz w:val="22"/>
                <w:szCs w:val="22"/>
              </w:rPr>
            </w:pPr>
            <w:r>
              <w:rPr>
                <w:color w:val="000000"/>
                <w:sz w:val="22"/>
                <w:szCs w:val="22"/>
              </w:rPr>
              <w:t xml:space="preserve">70,39</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rPr>
                <w:color w:val="000000"/>
                <w:sz w:val="22"/>
                <w:szCs w:val="22"/>
              </w:rPr>
            </w:pPr>
            <w:r>
              <w:rPr>
                <w:color w:val="000000"/>
                <w:sz w:val="22"/>
                <w:szCs w:val="22"/>
              </w:rPr>
              <w:t xml:space="preserve">94,55</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rPr>
                <w:color w:val="000000"/>
                <w:sz w:val="22"/>
                <w:szCs w:val="22"/>
              </w:rPr>
            </w:pPr>
            <w:r>
              <w:rPr>
                <w:color w:val="000000"/>
                <w:sz w:val="22"/>
                <w:szCs w:val="22"/>
              </w:rPr>
              <w:t xml:space="preserve">99,43</w:t>
            </w:r>
            <w:r/>
          </w:p>
          <w:p>
            <w:pPr>
              <w:pStyle w:val="940"/>
              <w:jc w:val="center"/>
              <w:rPr>
                <w:color w:val="000000"/>
                <w:sz w:val="22"/>
                <w:szCs w:val="22"/>
              </w:rPr>
            </w:pPr>
            <w:r>
              <w:rPr>
                <w:color w:val="000000"/>
                <w:sz w:val="22"/>
                <w:szCs w:val="22"/>
              </w:rPr>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6</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человек и общество, включая познание и духовную культуру</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rPr>
                <w:color w:val="000000"/>
                <w:sz w:val="22"/>
                <w:szCs w:val="22"/>
              </w:rPr>
            </w:pPr>
            <w:r>
              <w:rPr>
                <w:color w:val="000000"/>
                <w:sz w:val="22"/>
                <w:szCs w:val="22"/>
              </w:rPr>
              <w:t xml:space="preserve">81,97</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rPr>
                <w:color w:val="000000"/>
                <w:sz w:val="22"/>
                <w:szCs w:val="22"/>
              </w:rPr>
            </w:pPr>
            <w:r>
              <w:rPr>
                <w:color w:val="000000"/>
                <w:sz w:val="22"/>
                <w:szCs w:val="22"/>
              </w:rPr>
              <w:t xml:space="preserve">53,04</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rPr>
                <w:color w:val="000000"/>
                <w:sz w:val="22"/>
                <w:szCs w:val="22"/>
              </w:rPr>
            </w:pPr>
            <w:r>
              <w:rPr>
                <w:color w:val="000000"/>
                <w:sz w:val="22"/>
                <w:szCs w:val="22"/>
              </w:rPr>
              <w:t xml:space="preserve">83,17</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95,53</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rPr>
                <w:color w:val="000000"/>
                <w:sz w:val="22"/>
                <w:szCs w:val="22"/>
              </w:rPr>
            </w:pPr>
            <w:r>
              <w:rPr>
                <w:color w:val="000000"/>
                <w:sz w:val="22"/>
                <w:szCs w:val="22"/>
              </w:rPr>
              <w:t xml:space="preserve">94,89</w:t>
            </w:r>
            <w:r/>
          </w:p>
          <w:p>
            <w:pPr>
              <w:pStyle w:val="940"/>
              <w:jc w:val="center"/>
              <w:rPr>
                <w:color w:val="000000"/>
                <w:sz w:val="22"/>
                <w:szCs w:val="22"/>
              </w:rPr>
            </w:pPr>
            <w:r>
              <w:rPr>
                <w:color w:val="000000"/>
                <w:sz w:val="22"/>
                <w:szCs w:val="22"/>
              </w:rPr>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7</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экономика</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rPr>
                <w:color w:val="000000"/>
                <w:sz w:val="22"/>
                <w:szCs w:val="22"/>
              </w:rPr>
            </w:pPr>
            <w:r>
              <w:rPr>
                <w:color w:val="000000"/>
                <w:sz w:val="22"/>
                <w:szCs w:val="22"/>
              </w:rPr>
              <w:t xml:space="preserve">38,32</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rPr>
                <w:color w:val="000000"/>
                <w:sz w:val="22"/>
                <w:szCs w:val="22"/>
              </w:rPr>
            </w:pPr>
            <w:r>
              <w:rPr>
                <w:color w:val="000000"/>
                <w:sz w:val="22"/>
                <w:szCs w:val="22"/>
              </w:rPr>
              <w:t xml:space="preserve">16,13</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rPr>
                <w:color w:val="000000"/>
                <w:sz w:val="22"/>
                <w:szCs w:val="22"/>
              </w:rPr>
            </w:pPr>
            <w:r>
              <w:rPr>
                <w:color w:val="000000"/>
                <w:sz w:val="22"/>
                <w:szCs w:val="22"/>
              </w:rPr>
              <w:t xml:space="preserve">32,48</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rPr>
                <w:color w:val="000000"/>
                <w:sz w:val="22"/>
                <w:szCs w:val="22"/>
              </w:rPr>
            </w:pPr>
            <w:r>
              <w:rPr>
                <w:color w:val="000000"/>
                <w:sz w:val="22"/>
                <w:szCs w:val="22"/>
              </w:rPr>
              <w:t xml:space="preserve">54,47</w:t>
            </w:r>
            <w:r/>
          </w:p>
          <w:p>
            <w:pPr>
              <w:pStyle w:val="940"/>
              <w:jc w:val="center"/>
              <w:rPr>
                <w:color w:val="000000"/>
                <w:sz w:val="22"/>
                <w:szCs w:val="22"/>
              </w:rPr>
            </w:pPr>
            <w:r>
              <w:rPr>
                <w:color w:val="000000"/>
                <w:sz w:val="22"/>
                <w:szCs w:val="22"/>
              </w:rPr>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rPr>
                <w:color w:val="000000"/>
                <w:sz w:val="22"/>
                <w:szCs w:val="22"/>
              </w:rPr>
            </w:pPr>
            <w:r>
              <w:rPr>
                <w:color w:val="000000"/>
                <w:sz w:val="22"/>
                <w:szCs w:val="22"/>
              </w:rPr>
              <w:t xml:space="preserve">76,14</w:t>
            </w:r>
            <w:r/>
          </w:p>
          <w:p>
            <w:pPr>
              <w:pStyle w:val="940"/>
              <w:jc w:val="center"/>
              <w:rPr>
                <w:color w:val="000000"/>
                <w:sz w:val="22"/>
                <w:szCs w:val="22"/>
              </w:rPr>
            </w:pPr>
            <w:r>
              <w:rPr>
                <w:color w:val="000000"/>
                <w:sz w:val="22"/>
                <w:szCs w:val="22"/>
              </w:rPr>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8</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экономика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rPr>
                <w:color w:val="000000"/>
                <w:sz w:val="22"/>
                <w:szCs w:val="22"/>
              </w:rPr>
            </w:pPr>
            <w:r>
              <w:rPr>
                <w:color w:val="000000"/>
                <w:sz w:val="22"/>
                <w:szCs w:val="22"/>
              </w:rPr>
              <w:t xml:space="preserve">54,19</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rPr>
                <w:color w:val="000000"/>
                <w:sz w:val="22"/>
                <w:szCs w:val="22"/>
              </w:rPr>
            </w:pPr>
            <w:r>
              <w:rPr>
                <w:color w:val="000000"/>
                <w:sz w:val="22"/>
                <w:szCs w:val="22"/>
              </w:rPr>
              <w:t xml:space="preserve">13,26</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48,32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81,52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93,75</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rPr>
                <w:bCs/>
              </w:rPr>
            </w:pPr>
            <w:r>
              <w:rPr>
                <w:bCs/>
              </w:rPr>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экономика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68,26</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38,82</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64,15</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87,65</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97,16</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10</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экономика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63,37</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21,73</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59,73</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88,72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96,59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социальные отношения</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77,66</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57,51</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76,50</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88,72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95,45</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социальные отношения</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85,96</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73,16</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84,79</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93,77</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96,59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политика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66,19</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36,90</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61,97</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85,51</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96,02</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политика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45,84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7,51</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35,22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77,24</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95,45</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15</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политика</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62,84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25,72</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59,23</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85,80</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93,75</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16</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право</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33,37</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9,58</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25,56</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51,36</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84,09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17</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право</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66,95</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45,85</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66,33</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77,14</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88,07</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18</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право</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49,83</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20,29</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42,89</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71,50</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91,48</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19</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право</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72,28</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46,01</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69,26</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88,91</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96,02</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20</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проверяет умение систематизировать, анализировать и</w:t>
            </w:r>
            <w:r/>
          </w:p>
          <w:p>
            <w:pPr>
              <w:pStyle w:val="940"/>
              <w:jc w:val="center"/>
            </w:pPr>
            <w:r>
              <w:t xml:space="preserve">обобщать неупорядоченную социальную информацию</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П</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61,44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23,00</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60,22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80,74</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96,59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right w:val="single" w:color="000000" w:sz="4" w:space="0"/>
            </w:tcBorders>
            <w:tcW w:w="2434" w:type="dxa"/>
            <w:vAlign w:val="center"/>
            <w:vMerge w:val="restart"/>
            <w:textDirection w:val="lrTb"/>
            <w:noWrap w:val="false"/>
          </w:tcPr>
          <w:p>
            <w:pPr>
              <w:pStyle w:val="940"/>
              <w:jc w:val="center"/>
            </w:pPr>
            <w:r>
              <w:t xml:space="preserve">Предполагает поиск</w:t>
            </w:r>
            <w:r/>
          </w:p>
          <w:p>
            <w:pPr>
              <w:pStyle w:val="940"/>
              <w:jc w:val="center"/>
            </w:pPr>
            <w:r>
              <w:t xml:space="preserve">социальной</w:t>
            </w:r>
            <w:r/>
          </w:p>
          <w:p>
            <w:pPr>
              <w:pStyle w:val="940"/>
              <w:jc w:val="center"/>
            </w:pPr>
            <w:r>
              <w:t xml:space="preserve">информации; извлекать</w:t>
            </w:r>
            <w:r/>
          </w:p>
          <w:p>
            <w:pPr>
              <w:pStyle w:val="940"/>
              <w:jc w:val="center"/>
            </w:pPr>
            <w:r>
              <w:t xml:space="preserve">из неадаптированных</w:t>
            </w:r>
            <w:r/>
          </w:p>
          <w:p>
            <w:pPr>
              <w:pStyle w:val="940"/>
              <w:jc w:val="center"/>
            </w:pPr>
            <w:r>
              <w:t xml:space="preserve">оригинальных текстов</w:t>
            </w:r>
            <w:r/>
          </w:p>
          <w:p>
            <w:pPr>
              <w:pStyle w:val="940"/>
              <w:jc w:val="center"/>
            </w:pPr>
            <w:r>
              <w:t xml:space="preserve">(правовых, научно-</w:t>
            </w:r>
            <w:r/>
          </w:p>
          <w:p>
            <w:pPr>
              <w:pStyle w:val="940"/>
              <w:jc w:val="center"/>
            </w:pPr>
            <w:r>
              <w:t xml:space="preserve">популярных,</w:t>
            </w:r>
            <w:r/>
          </w:p>
          <w:p>
            <w:pPr>
              <w:pStyle w:val="940"/>
              <w:jc w:val="center"/>
            </w:pPr>
            <w:r>
              <w:t xml:space="preserve">публицистических и др.)</w:t>
            </w:r>
            <w:r/>
          </w:p>
          <w:p>
            <w:pPr>
              <w:pStyle w:val="940"/>
              <w:jc w:val="center"/>
            </w:pPr>
            <w:r>
              <w:t xml:space="preserve">знания по заданным</w:t>
            </w:r>
            <w:r/>
          </w:p>
          <w:p>
            <w:pPr>
              <w:pStyle w:val="940"/>
              <w:jc w:val="center"/>
            </w:pPr>
            <w:r>
              <w:t xml:space="preserve">темам;</w:t>
            </w:r>
            <w:r/>
          </w:p>
          <w:p>
            <w:pPr>
              <w:pStyle w:val="940"/>
              <w:jc w:val="center"/>
            </w:pPr>
            <w:r>
              <w:t xml:space="preserve">систематизировать,</w:t>
            </w:r>
            <w:r/>
          </w:p>
          <w:p>
            <w:pPr>
              <w:pStyle w:val="940"/>
              <w:jc w:val="center"/>
            </w:pPr>
            <w:r>
              <w:t xml:space="preserve">анализировать</w:t>
            </w:r>
            <w:r/>
          </w:p>
          <w:p>
            <w:pPr>
              <w:pStyle w:val="940"/>
              <w:jc w:val="center"/>
            </w:pPr>
            <w:r>
              <w:t xml:space="preserve">и обобщать</w:t>
            </w:r>
            <w:r/>
          </w:p>
          <w:p>
            <w:pPr>
              <w:pStyle w:val="940"/>
              <w:jc w:val="center"/>
            </w:pPr>
            <w:r>
              <w:t xml:space="preserve">неупорядоченную</w:t>
            </w:r>
            <w:r/>
          </w:p>
          <w:p>
            <w:pPr>
              <w:pStyle w:val="940"/>
              <w:jc w:val="center"/>
            </w:pPr>
            <w:r>
              <w:t xml:space="preserve">социальную</w:t>
            </w:r>
            <w:r/>
          </w:p>
          <w:p>
            <w:pPr>
              <w:pStyle w:val="940"/>
              <w:jc w:val="center"/>
            </w:pPr>
            <w:r>
              <w:t xml:space="preserve">информацию</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92,81</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78,91</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94,64</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97,28</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99,43</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22</w:t>
            </w:r>
            <w:r/>
          </w:p>
        </w:tc>
        <w:tc>
          <w:tcPr>
            <w:tcBorders>
              <w:top w:val="single" w:color="000000" w:sz="4" w:space="0"/>
              <w:left w:val="single" w:color="000000" w:sz="4" w:space="0"/>
              <w:bottom w:val="single" w:color="000000" w:sz="4" w:space="0"/>
              <w:right w:val="single" w:color="000000" w:sz="4" w:space="0"/>
            </w:tcBorders>
            <w:tcW w:w="2434" w:type="dxa"/>
            <w:vAlign w:val="center"/>
            <w:vMerge w:val="continue"/>
            <w:textDirection w:val="lrTb"/>
            <w:noWrap w:val="false"/>
          </w:tcPr>
          <w:p>
            <w:pPr>
              <w:pStyle w:val="940"/>
              <w:jc w:val="center"/>
            </w:pPr>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Б</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74,52</w:t>
            </w:r>
            <w:r/>
          </w:p>
        </w:tc>
        <w:tc>
          <w:tcPr>
            <w:tcBorders>
              <w:top w:val="single" w:color="000000" w:sz="4" w:space="0"/>
              <w:left w:val="single" w:color="000000" w:sz="4" w:space="0"/>
              <w:bottom w:val="single" w:color="000000" w:sz="4" w:space="0"/>
              <w:right w:val="single" w:color="000000" w:sz="4" w:space="0"/>
            </w:tcBorders>
            <w:tcW w:w="1334" w:type="dxa"/>
            <w:vAlign w:val="center"/>
            <w:textDirection w:val="lrTb"/>
            <w:noWrap w:val="false"/>
          </w:tcPr>
          <w:p>
            <w:pPr>
              <w:pStyle w:val="940"/>
              <w:jc w:val="center"/>
            </w:pPr>
            <w:r>
              <w:t xml:space="preserve">46,65</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72,44</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91,05</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96,02</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23</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Нацелено на выявление внутренних</w:t>
            </w:r>
            <w:r/>
          </w:p>
          <w:p>
            <w:pPr>
              <w:pStyle w:val="940"/>
              <w:jc w:val="center"/>
            </w:pPr>
            <w:r>
              <w:t xml:space="preserve">и внешних связей</w:t>
            </w:r>
            <w:r/>
          </w:p>
          <w:p>
            <w:pPr>
              <w:pStyle w:val="940"/>
              <w:jc w:val="center"/>
            </w:pPr>
            <w:r>
              <w:t xml:space="preserve">изученных социальных</w:t>
            </w:r>
            <w:r/>
          </w:p>
          <w:p>
            <w:pPr>
              <w:pStyle w:val="940"/>
              <w:jc w:val="center"/>
            </w:pPr>
            <w:r>
              <w:t xml:space="preserve">объектов, раскрытие на примерах изученные</w:t>
            </w:r>
            <w:r/>
          </w:p>
          <w:p>
            <w:pPr>
              <w:pStyle w:val="940"/>
              <w:jc w:val="center"/>
            </w:pPr>
            <w:r>
              <w:t xml:space="preserve">теоретические</w:t>
            </w:r>
            <w:r/>
          </w:p>
          <w:p>
            <w:pPr>
              <w:pStyle w:val="940"/>
              <w:jc w:val="center"/>
            </w:pPr>
            <w:r>
              <w:t xml:space="preserve">положения и понятия курса</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34,03</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9,58</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27,14</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51,95</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79,17</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24</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Нацелено на выявление внутренних</w:t>
            </w:r>
            <w:r/>
          </w:p>
          <w:p>
            <w:pPr>
              <w:pStyle w:val="940"/>
              <w:jc w:val="center"/>
            </w:pPr>
            <w:r>
              <w:t xml:space="preserve">и внешних связей</w:t>
            </w:r>
            <w:r/>
          </w:p>
          <w:p>
            <w:pPr>
              <w:pStyle w:val="940"/>
              <w:jc w:val="center"/>
            </w:pPr>
            <w:r>
              <w:t xml:space="preserve">изученных социальных</w:t>
            </w:r>
            <w:r/>
          </w:p>
          <w:p>
            <w:pPr>
              <w:pStyle w:val="940"/>
              <w:jc w:val="center"/>
            </w:pPr>
            <w:r>
              <w:t xml:space="preserve">объектов, формулирование и аргументацию оценочных, прогностических и иных</w:t>
            </w:r>
            <w:r/>
          </w:p>
          <w:p>
            <w:pPr>
              <w:pStyle w:val="940"/>
              <w:jc w:val="center"/>
            </w:pPr>
            <w:r>
              <w:t xml:space="preserve">суждений, связанных с проблематикой текста.</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20,83</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4,05</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12,68</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35,08</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71,59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25.1</w:t>
            </w:r>
            <w:r/>
          </w:p>
        </w:tc>
        <w:tc>
          <w:tcPr>
            <w:tcBorders>
              <w:top w:val="single" w:color="000000" w:sz="4" w:space="0"/>
              <w:left w:val="single" w:color="000000" w:sz="4" w:space="0"/>
              <w:bottom w:val="single" w:color="000000" w:sz="4" w:space="0"/>
              <w:right w:val="single" w:color="000000" w:sz="4" w:space="0"/>
            </w:tcBorders>
            <w:tcW w:w="2434" w:type="dxa"/>
            <w:vAlign w:val="center"/>
            <w:vMerge w:val="restart"/>
            <w:textDirection w:val="lrTb"/>
            <w:noWrap w:val="false"/>
          </w:tcPr>
          <w:p>
            <w:pPr>
              <w:pStyle w:val="940"/>
              <w:jc w:val="center"/>
            </w:pPr>
            <w:r>
              <w:t xml:space="preserve">проверяет умение самостоятельно раскрывать смысл</w:t>
            </w:r>
            <w:r/>
          </w:p>
          <w:p>
            <w:pPr>
              <w:pStyle w:val="940"/>
              <w:jc w:val="center"/>
            </w:pPr>
            <w:r>
              <w:t xml:space="preserve">ключевых обществоведческих понятий и применять их в заданном контексте.</w:t>
            </w:r>
            <w:r/>
          </w:p>
        </w:tc>
        <w:tc>
          <w:tcPr>
            <w:tcBorders>
              <w:top w:val="single" w:color="000000" w:sz="4" w:space="0"/>
              <w:left w:val="single" w:color="000000" w:sz="4" w:space="0"/>
              <w:bottom w:val="single" w:color="000000" w:sz="4" w:space="0"/>
              <w:right w:val="single" w:color="000000" w:sz="4" w:space="0"/>
            </w:tcBorders>
            <w:tcW w:w="1317" w:type="dxa"/>
            <w:vAlign w:val="center"/>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vAlign w:val="center"/>
            <w:textDirection w:val="lrTb"/>
            <w:noWrap w:val="false"/>
          </w:tcPr>
          <w:p>
            <w:pPr>
              <w:pStyle w:val="940"/>
              <w:jc w:val="center"/>
            </w:pPr>
            <w:r>
              <w:t xml:space="preserve">55,33</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18,69</w:t>
            </w:r>
            <w:r/>
          </w:p>
        </w:tc>
        <w:tc>
          <w:tcPr>
            <w:tcBorders>
              <w:top w:val="single" w:color="000000" w:sz="4" w:space="0"/>
              <w:left w:val="single" w:color="000000" w:sz="4" w:space="0"/>
              <w:bottom w:val="single" w:color="000000" w:sz="4" w:space="0"/>
              <w:right w:val="single" w:color="000000" w:sz="4" w:space="0"/>
            </w:tcBorders>
            <w:tcW w:w="1335" w:type="dxa"/>
            <w:vAlign w:val="center"/>
            <w:textDirection w:val="lrTb"/>
            <w:noWrap w:val="false"/>
          </w:tcPr>
          <w:p>
            <w:pPr>
              <w:pStyle w:val="940"/>
              <w:jc w:val="center"/>
            </w:pPr>
            <w:r>
              <w:t xml:space="preserve">49,63</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79,77</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94,89</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25.2</w:t>
            </w:r>
            <w:r/>
          </w:p>
        </w:tc>
        <w:tc>
          <w:tcPr>
            <w:tcBorders>
              <w:top w:val="single" w:color="000000" w:sz="4" w:space="0"/>
              <w:left w:val="single" w:color="000000" w:sz="4" w:space="0"/>
              <w:bottom w:val="single" w:color="000000" w:sz="4" w:space="0"/>
              <w:right w:val="single" w:color="000000" w:sz="4" w:space="0"/>
            </w:tcBorders>
            <w:tcW w:w="2434" w:type="dxa"/>
            <w:vAlign w:val="center"/>
            <w:vMerge w:val="continue"/>
            <w:textDirection w:val="lrTb"/>
            <w:noWrap w:val="false"/>
          </w:tcPr>
          <w:p>
            <w:pPr>
              <w:pStyle w:val="940"/>
              <w:jc w:val="both"/>
            </w:pPr>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24,84</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1,76</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16,96</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41,93</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78,98</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26</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задание, предполагающее раскрытие теоретических</w:t>
            </w:r>
            <w:r/>
          </w:p>
          <w:p>
            <w:pPr>
              <w:pStyle w:val="940"/>
              <w:jc w:val="center"/>
            </w:pPr>
            <w:r>
              <w:t xml:space="preserve">положений на примерах</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30,36</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3,30</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19,08</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55,38</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83,33</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27</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При</w:t>
            </w:r>
            <w:r/>
          </w:p>
          <w:p>
            <w:pPr>
              <w:pStyle w:val="940"/>
              <w:jc w:val="center"/>
            </w:pPr>
            <w:r>
              <w:t xml:space="preserve">выполнении этого задания проверяется умение применять обществоведческие</w:t>
            </w:r>
            <w:r/>
          </w:p>
          <w:p>
            <w:pPr>
              <w:pStyle w:val="940"/>
              <w:jc w:val="center"/>
            </w:pPr>
            <w:r>
              <w:t xml:space="preserve">знания в процессе решения познавательных задач по актуальным</w:t>
            </w:r>
            <w:r/>
          </w:p>
          <w:p>
            <w:pPr>
              <w:pStyle w:val="940"/>
              <w:jc w:val="center"/>
            </w:pPr>
            <w:r>
              <w:t xml:space="preserve">социальным проблемам.</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29,97</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1,92</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19,29</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54,09</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86,36</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28.1</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Требует составления плана развернутого ответа по</w:t>
            </w:r>
            <w:r/>
          </w:p>
          <w:p>
            <w:pPr>
              <w:pStyle w:val="940"/>
              <w:jc w:val="center"/>
            </w:pPr>
            <w:r>
              <w:t xml:space="preserve">конкретной теме обществоведческого курса.</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25,98</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4,58</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17,08</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43,97</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78,03</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28.2</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При выполнении заданий</w:t>
            </w:r>
            <w:r/>
          </w:p>
          <w:p>
            <w:pPr>
              <w:pStyle w:val="940"/>
              <w:jc w:val="center"/>
            </w:pPr>
            <w:r>
              <w:t xml:space="preserve">данного типа выявляются умения: систематизировать и обобщать</w:t>
            </w:r>
            <w:r/>
          </w:p>
          <w:p>
            <w:pPr>
              <w:pStyle w:val="940"/>
              <w:jc w:val="center"/>
            </w:pPr>
            <w:r>
              <w:t xml:space="preserve">социальную информацию; устанавливать и отражать в структуре плана</w:t>
            </w:r>
            <w:r/>
          </w:p>
          <w:p>
            <w:pPr>
              <w:pStyle w:val="940"/>
              <w:jc w:val="center"/>
            </w:pPr>
            <w:r>
              <w:t xml:space="preserve">структурные, функциональные, иерархические и иные связи социальных</w:t>
            </w:r>
            <w:r/>
          </w:p>
          <w:p>
            <w:pPr>
              <w:pStyle w:val="940"/>
              <w:jc w:val="center"/>
            </w:pPr>
            <w:r>
              <w:t xml:space="preserve">объектов, явлений, процессов.</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6,00</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0,32</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3,12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9,53</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31,82</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29.1</w:t>
            </w:r>
            <w:r/>
          </w:p>
        </w:tc>
        <w:tc>
          <w:tcPr>
            <w:tcBorders>
              <w:top w:val="single" w:color="000000" w:sz="4" w:space="0"/>
              <w:left w:val="single" w:color="000000" w:sz="4" w:space="0"/>
              <w:bottom w:val="single" w:color="000000" w:sz="4" w:space="0"/>
              <w:right w:val="single" w:color="000000" w:sz="4" w:space="0"/>
            </w:tcBorders>
            <w:tcW w:w="2434" w:type="dxa"/>
            <w:vAlign w:val="center"/>
            <w:textDirection w:val="lrTb"/>
            <w:noWrap w:val="false"/>
          </w:tcPr>
          <w:p>
            <w:pPr>
              <w:pStyle w:val="940"/>
              <w:jc w:val="center"/>
            </w:pPr>
            <w:r>
              <w:t xml:space="preserve">Нацеливает</w:t>
            </w:r>
            <w:r/>
          </w:p>
          <w:p>
            <w:pPr>
              <w:pStyle w:val="940"/>
              <w:jc w:val="center"/>
            </w:pPr>
            <w:r>
              <w:t xml:space="preserve">учащегося на написание мини-сочинения по одной из пяти</w:t>
            </w:r>
            <w:r/>
          </w:p>
          <w:p>
            <w:pPr>
              <w:pStyle w:val="940"/>
              <w:jc w:val="center"/>
            </w:pPr>
            <w:r>
              <w:t xml:space="preserve">предлагаемых тем.</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54,63</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27,16</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49,00</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72,57</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98,86</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29.2</w:t>
            </w:r>
            <w:r/>
          </w:p>
        </w:tc>
        <w:tc>
          <w:tcPr>
            <w:tcBorders>
              <w:top w:val="single" w:color="000000" w:sz="4" w:space="0"/>
              <w:left w:val="single" w:color="000000" w:sz="4" w:space="0"/>
              <w:bottom w:val="single" w:color="000000" w:sz="4" w:space="0"/>
              <w:right w:val="single" w:color="000000" w:sz="4" w:space="0"/>
            </w:tcBorders>
            <w:tcW w:w="2434" w:type="dxa"/>
            <w:vAlign w:val="center"/>
            <w:vMerge w:val="restart"/>
            <w:textDirection w:val="lrTb"/>
            <w:noWrap w:val="false"/>
          </w:tcPr>
          <w:p>
            <w:pPr>
              <w:pStyle w:val="940"/>
              <w:jc w:val="center"/>
            </w:pPr>
            <w:r>
              <w:t xml:space="preserve">Данное задание проверяет широкий комплекс умений,</w:t>
            </w:r>
            <w:r/>
          </w:p>
          <w:p>
            <w:pPr>
              <w:pStyle w:val="940"/>
              <w:jc w:val="center"/>
            </w:pPr>
            <w:r>
              <w:t xml:space="preserve">в частности, раскрывать смысл авторского суждения, привлекать изученные</w:t>
            </w:r>
            <w:r/>
          </w:p>
          <w:p>
            <w:pPr>
              <w:pStyle w:val="940"/>
              <w:jc w:val="center"/>
            </w:pPr>
            <w:r>
              <w:t xml:space="preserve">теоретические положения общественных наук, самостоятельно</w:t>
            </w:r>
            <w:r/>
          </w:p>
          <w:p>
            <w:pPr>
              <w:pStyle w:val="940"/>
              <w:jc w:val="center"/>
            </w:pPr>
            <w:r>
              <w:t xml:space="preserve">формулировать и конкретизировать примерами свои рассуждения, делать выводы</w:t>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17,21</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0,64</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7,92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31,52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77,27</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29.3</w:t>
            </w:r>
            <w:r/>
          </w:p>
        </w:tc>
        <w:tc>
          <w:tcPr>
            <w:tcBorders>
              <w:top w:val="single" w:color="000000" w:sz="4" w:space="0"/>
              <w:left w:val="single" w:color="000000" w:sz="4" w:space="0"/>
              <w:bottom w:val="single" w:color="000000" w:sz="4" w:space="0"/>
              <w:right w:val="single" w:color="000000" w:sz="4" w:space="0"/>
            </w:tcBorders>
            <w:tcW w:w="2434" w:type="dxa"/>
            <w:vAlign w:val="center"/>
            <w:vMerge w:val="continue"/>
            <w:textDirection w:val="lrTb"/>
            <w:noWrap w:val="false"/>
          </w:tcPr>
          <w:p>
            <w:pPr>
              <w:pStyle w:val="940"/>
              <w:jc w:val="both"/>
            </w:pPr>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8,27</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0,32</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1,62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13,42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67,05</w:t>
            </w:r>
            <w:r/>
          </w:p>
        </w:tc>
      </w:tr>
      <w:tr>
        <w:trPr>
          <w:trHeight w:val="593"/>
        </w:trPr>
        <w:tc>
          <w:tcPr>
            <w:tcBorders>
              <w:top w:val="single" w:color="000000" w:sz="4" w:space="0"/>
              <w:left w:val="single" w:color="000000" w:sz="4" w:space="0"/>
              <w:bottom w:val="single" w:color="000000" w:sz="4" w:space="0"/>
              <w:right w:val="single" w:color="000000" w:sz="4" w:space="0"/>
            </w:tcBorders>
            <w:tcW w:w="962" w:type="dxa"/>
            <w:vAlign w:val="center"/>
            <w:textDirection w:val="lrTb"/>
            <w:noWrap w:val="false"/>
          </w:tcPr>
          <w:p>
            <w:pPr>
              <w:pStyle w:val="940"/>
              <w:jc w:val="center"/>
            </w:pPr>
            <w:r>
              <w:t xml:space="preserve">29.4</w:t>
            </w:r>
            <w:r/>
          </w:p>
        </w:tc>
        <w:tc>
          <w:tcPr>
            <w:tcBorders>
              <w:top w:val="single" w:color="000000" w:sz="4" w:space="0"/>
              <w:left w:val="single" w:color="000000" w:sz="4" w:space="0"/>
              <w:bottom w:val="single" w:color="000000" w:sz="4" w:space="0"/>
              <w:right w:val="single" w:color="000000" w:sz="4" w:space="0"/>
            </w:tcBorders>
            <w:tcW w:w="2434" w:type="dxa"/>
            <w:vAlign w:val="center"/>
            <w:vMerge w:val="continue"/>
            <w:textDirection w:val="lrTb"/>
            <w:noWrap w:val="false"/>
          </w:tcPr>
          <w:p>
            <w:pPr>
              <w:pStyle w:val="940"/>
              <w:jc w:val="both"/>
            </w:pPr>
            <w:r/>
            <w:r/>
          </w:p>
        </w:tc>
        <w:tc>
          <w:tcPr>
            <w:tcBorders>
              <w:top w:val="single" w:color="000000" w:sz="4" w:space="0"/>
              <w:left w:val="single" w:color="000000" w:sz="4" w:space="0"/>
              <w:bottom w:val="single" w:color="000000" w:sz="4" w:space="0"/>
              <w:right w:val="single" w:color="000000" w:sz="4" w:space="0"/>
            </w:tcBorders>
            <w:tcW w:w="1317" w:type="dxa"/>
            <w:textDirection w:val="lrTb"/>
            <w:noWrap w:val="false"/>
          </w:tcPr>
          <w:p>
            <w:pPr>
              <w:pStyle w:val="940"/>
              <w:jc w:val="center"/>
            </w:pPr>
            <w:r>
              <w:t xml:space="preserve">В</w:t>
            </w:r>
            <w:r/>
          </w:p>
        </w:tc>
        <w:tc>
          <w:tcPr>
            <w:tcBorders>
              <w:top w:val="single" w:color="000000" w:sz="4" w:space="0"/>
              <w:left w:val="single" w:color="000000" w:sz="4" w:space="0"/>
              <w:bottom w:val="single" w:color="000000" w:sz="4" w:space="0"/>
              <w:right w:val="single" w:color="000000" w:sz="4" w:space="0"/>
            </w:tcBorders>
            <w:tcW w:w="847" w:type="dxa"/>
            <w:textDirection w:val="lrTb"/>
            <w:noWrap w:val="false"/>
          </w:tcPr>
          <w:p>
            <w:pPr>
              <w:pStyle w:val="940"/>
              <w:jc w:val="center"/>
            </w:pPr>
            <w:r>
              <w:t xml:space="preserve">19,16</w:t>
            </w:r>
            <w:r/>
          </w:p>
        </w:tc>
        <w:tc>
          <w:tcPr>
            <w:tcBorders>
              <w:top w:val="single" w:color="000000" w:sz="4" w:space="0"/>
              <w:left w:val="single" w:color="000000" w:sz="4" w:space="0"/>
              <w:bottom w:val="single" w:color="000000" w:sz="4" w:space="0"/>
              <w:right w:val="single" w:color="000000" w:sz="4" w:space="0"/>
            </w:tcBorders>
            <w:tcW w:w="1334" w:type="dxa"/>
            <w:textDirection w:val="lrTb"/>
            <w:noWrap w:val="false"/>
          </w:tcPr>
          <w:p>
            <w:pPr>
              <w:pStyle w:val="940"/>
              <w:jc w:val="center"/>
            </w:pPr>
            <w:r>
              <w:t xml:space="preserve">6,39</w:t>
            </w:r>
            <w:r/>
          </w:p>
        </w:tc>
        <w:tc>
          <w:tcPr>
            <w:tcBorders>
              <w:top w:val="single" w:color="000000" w:sz="4" w:space="0"/>
              <w:left w:val="single" w:color="000000" w:sz="4" w:space="0"/>
              <w:bottom w:val="single" w:color="000000" w:sz="4" w:space="0"/>
              <w:right w:val="single" w:color="000000" w:sz="4" w:space="0"/>
            </w:tcBorders>
            <w:tcW w:w="1335" w:type="dxa"/>
            <w:textDirection w:val="lrTb"/>
            <w:noWrap w:val="false"/>
          </w:tcPr>
          <w:p>
            <w:pPr>
              <w:pStyle w:val="940"/>
              <w:jc w:val="center"/>
            </w:pPr>
            <w:r>
              <w:t xml:space="preserve">13,22</w:t>
            </w:r>
            <w:r/>
          </w:p>
        </w:tc>
        <w:tc>
          <w:tcPr>
            <w:tcBorders>
              <w:top w:val="single" w:color="000000" w:sz="4" w:space="0"/>
              <w:left w:val="single" w:color="000000" w:sz="4" w:space="0"/>
              <w:bottom w:val="single" w:color="000000" w:sz="4" w:space="0"/>
              <w:right w:val="single" w:color="000000" w:sz="4" w:space="0"/>
            </w:tcBorders>
            <w:tcW w:w="756" w:type="dxa"/>
            <w:textDirection w:val="lrTb"/>
            <w:noWrap w:val="false"/>
          </w:tcPr>
          <w:p>
            <w:pPr>
              <w:pStyle w:val="940"/>
              <w:jc w:val="center"/>
            </w:pPr>
            <w:r>
              <w:t xml:space="preserve">27,72</w:t>
            </w:r>
            <w:r/>
          </w:p>
        </w:tc>
        <w:tc>
          <w:tcPr>
            <w:tcBorders>
              <w:top w:val="single" w:color="000000" w:sz="4" w:space="0"/>
              <w:left w:val="single" w:color="000000" w:sz="4" w:space="0"/>
              <w:bottom w:val="single" w:color="000000" w:sz="4" w:space="0"/>
              <w:right w:val="single" w:color="000000" w:sz="4" w:space="0"/>
            </w:tcBorders>
            <w:tcW w:w="766" w:type="dxa"/>
            <w:textDirection w:val="lrTb"/>
            <w:noWrap w:val="false"/>
          </w:tcPr>
          <w:p>
            <w:pPr>
              <w:pStyle w:val="940"/>
              <w:jc w:val="center"/>
            </w:pPr>
            <w:r>
              <w:t xml:space="preserve">68,75</w:t>
            </w:r>
            <w:r/>
          </w:p>
        </w:tc>
      </w:tr>
    </w:tbl>
    <w:p>
      <w:pPr>
        <w:pStyle w:val="940"/>
      </w:pPr>
      <w:r/>
      <w:r/>
    </w:p>
    <w:p>
      <w:pPr>
        <w:pStyle w:val="940"/>
        <w:numPr>
          <w:ilvl w:val="2"/>
          <w:numId w:val="70"/>
        </w:numPr>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jc w:val="both"/>
        <w:rPr>
          <w:rFonts w:eastAsia="Times New Roman"/>
          <w:bCs/>
          <w:iCs/>
          <w:sz w:val="28"/>
        </w:rPr>
      </w:pPr>
      <w:r>
        <w:rPr>
          <w:rFonts w:eastAsia="Times New Roman"/>
          <w:bCs/>
          <w:iCs/>
          <w:sz w:val="28"/>
        </w:rPr>
      </w:r>
      <w:r/>
    </w:p>
    <w:p>
      <w:pPr>
        <w:pStyle w:val="940"/>
        <w:ind w:firstLine="708"/>
        <w:jc w:val="both"/>
        <w:rPr>
          <w:rFonts w:eastAsia="Times New Roman"/>
          <w:bCs/>
          <w:iCs/>
        </w:rPr>
      </w:pPr>
      <w:r>
        <w:rPr>
          <w:rFonts w:eastAsia="Times New Roman"/>
          <w:bCs/>
          <w:iCs/>
        </w:rPr>
        <w:t xml:space="preserve">В 2021 году с заданием 1 на выявление структурных элементов с помощью схем и таблиц справились в среднем 87,94%, что несколько выше предыдущего года (в 2020 -80.99%) и следует отм</w:t>
      </w:r>
      <w:r>
        <w:rPr>
          <w:rFonts w:eastAsia="Times New Roman"/>
          <w:bCs/>
          <w:iCs/>
        </w:rPr>
        <w:t xml:space="preserve">етить положительную динамику на протяжении последних лет (в 2018- 73,09 %, 2019 – 77,37%). В группе среди не достигших минимального балла справились с заданием - 59,74%, это больше, чем в 2020 г. (40.12 %), показатель справившихся с этим заданием в группе </w:t>
      </w:r>
      <w:r>
        <w:rPr>
          <w:rFonts w:eastAsia="Times New Roman"/>
          <w:bCs/>
          <w:iCs/>
        </w:rPr>
        <w:t xml:space="preserve">от минимального до 60 т.б. в 2021 выше, чем в 2020 г. (91,27% и 84.93% соответственно). Не вызвало затруднений данное задание и у групп от 61 до 80 и от 81 до 100- 97,86% и 100,00 % соответственно, что выше в сравнении с предыдущем годом (96.10% и 98.07%).</w:t>
      </w:r>
      <w:r/>
    </w:p>
    <w:p>
      <w:pPr>
        <w:pStyle w:val="940"/>
        <w:ind w:firstLine="708"/>
        <w:jc w:val="both"/>
        <w:rPr>
          <w:rFonts w:eastAsia="Times New Roman"/>
          <w:bCs/>
          <w:iCs/>
        </w:rPr>
      </w:pPr>
      <w:r>
        <w:rPr>
          <w:rFonts w:eastAsia="Times New Roman"/>
          <w:bCs/>
          <w:iCs/>
        </w:rPr>
        <w:t xml:space="preserve">Задание 2 на выбор обобщающего понятия для всех остальных понятий, представленных в перечне. Средний показатель составил 93,24 %, это выше, чем в 2020 г.- 83,82 %, что так же свидетельствует о положительной ди</w:t>
      </w:r>
      <w:r>
        <w:rPr>
          <w:rFonts w:eastAsia="Times New Roman"/>
          <w:bCs/>
          <w:iCs/>
        </w:rPr>
        <w:t xml:space="preserve">намике на протяжении последних 3 лет (в 2018- 84,2%, 2019 – 93,33%). В группе среди не достигших минимального балла справились с заданием больше половины – 74,76%; что так же превосходит показатель 2020 г.- 58.98%. Для группы с результатом от минимального </w:t>
      </w:r>
      <w:r>
        <w:rPr>
          <w:rFonts w:eastAsia="Times New Roman"/>
          <w:bCs/>
          <w:iCs/>
        </w:rPr>
        <w:t xml:space="preserve">балла до 60, из этих трех базовых заданий это задание самое успешное – 95,76 % (в 2020 г.- 86.33%), так же как для группы от 61 до 80 -99,42% – (в 2020 г.-92,38 %); Не вызвало затруднений данное задание у 100,00 % в группе от 81 до 100 (в 2020 г.- 93.63). </w:t>
      </w:r>
      <w:r/>
    </w:p>
    <w:p>
      <w:pPr>
        <w:pStyle w:val="940"/>
        <w:ind w:firstLine="708"/>
        <w:jc w:val="both"/>
        <w:rPr>
          <w:rFonts w:eastAsia="Times New Roman"/>
          <w:bCs/>
          <w:iCs/>
        </w:rPr>
      </w:pPr>
      <w:r>
        <w:rPr>
          <w:rFonts w:eastAsia="Times New Roman"/>
          <w:bCs/>
          <w:iCs/>
        </w:rPr>
        <w:t xml:space="preserve">Как и в 2018, 2019, 2020 гг. наибольшую сложность (соответственно 47,8 %, 57,98 % и 73.43) вызвало задание 3 (характеризовать с научных позиций основные социальные объекты (факты, явления, процессы, институты), их место и значение в жизни общества как це</w:t>
      </w:r>
      <w:r>
        <w:rPr>
          <w:rFonts w:eastAsia="Times New Roman"/>
          <w:bCs/>
          <w:iCs/>
        </w:rPr>
        <w:t xml:space="preserve">лостной системы) – в 2021 г. средний процент составил 83,05%, очевидна тенденция роста успешности выполнения данного задания. Для всех групп это задание оказалось наиболее сложным, однако 61,34% справились с ним в группе среди не достигших минимального бал</w:t>
      </w:r>
      <w:r>
        <w:rPr>
          <w:rFonts w:eastAsia="Times New Roman"/>
          <w:bCs/>
          <w:iCs/>
        </w:rPr>
        <w:t xml:space="preserve">ла (по сравнению в 2020 г. это почти в 2 раза больше-34.73%). Этот показатель улучшили   в группе от минимального до 60 т.б.- 81,30 % в 2021 г. и 71.14 % в 2020 г.; в группе 61-80 т.б.- 96,30% (в 2020 г.- 94.42%) в группе 81-100- 98,86% (2020 г. – 93.28%).</w:t>
      </w:r>
      <w:r/>
    </w:p>
    <w:p>
      <w:pPr>
        <w:pStyle w:val="940"/>
        <w:ind w:firstLine="708"/>
        <w:jc w:val="both"/>
        <w:rPr>
          <w:rFonts w:eastAsia="Times New Roman"/>
          <w:bCs/>
          <w:iCs/>
        </w:rPr>
      </w:pPr>
      <w:r>
        <w:rPr>
          <w:rFonts w:eastAsia="Times New Roman"/>
          <w:bCs/>
          <w:iCs/>
        </w:rPr>
        <w:t xml:space="preserve">Таким образом, мы видим, увеличение показателей по базовым заданиям 1-3 на протяжении последних трех лет.</w:t>
      </w:r>
      <w:r/>
    </w:p>
    <w:p>
      <w:pPr>
        <w:pStyle w:val="940"/>
        <w:ind w:firstLine="708"/>
        <w:jc w:val="both"/>
        <w:rPr>
          <w:rFonts w:eastAsia="Times New Roman"/>
          <w:bCs/>
          <w:iCs/>
        </w:rPr>
      </w:pPr>
      <w:r>
        <w:rPr>
          <w:rFonts w:eastAsia="Times New Roman"/>
          <w:bCs/>
          <w:iCs/>
        </w:rPr>
        <w:t xml:space="preserve">Значительная часть экзаменуемых от 66,80% (задание 4) по-прежнему не испытали особых з</w:t>
      </w:r>
      <w:r>
        <w:rPr>
          <w:rFonts w:eastAsia="Times New Roman"/>
          <w:bCs/>
          <w:iCs/>
        </w:rPr>
        <w:t xml:space="preserve">атруднений при выполнении заданий повышенного уровня сложности, поверяющих умение характеризовать с научных позиций основные социальные объекты и их место и значение в жизни общества как целостной системы (задания 4, 7, 11, 13, 17). В 2018 г. диапазон этог</w:t>
      </w:r>
      <w:r>
        <w:rPr>
          <w:rFonts w:eastAsia="Times New Roman"/>
          <w:bCs/>
          <w:iCs/>
        </w:rPr>
        <w:t xml:space="preserve">о показателя составлял от 21, 1% до 57,9 %, в 2019 – от 51,33 % до 77,67%., в 2020 г.- от 50,53% до 72,46 %. По сравнению с 2020 г. процент выполнения данного задания выше во всех группах: в группе среди не достигших минимального балла 44,09% справились с </w:t>
      </w:r>
      <w:r>
        <w:rPr>
          <w:rFonts w:eastAsia="Times New Roman"/>
          <w:bCs/>
          <w:iCs/>
        </w:rPr>
        <w:t xml:space="preserve">этим заданием (по сравнению в 2020 г. это почти в 2 раза больше-26.95%). Этот показатель улучшили   в группе от минимального до 60 т.б.- 64,21% (в 2020 г.- 47.64%), в группе 61-80 т.б.- 80,16% (в 2020 г.- 60.78%) в группе 81-100- 93,18% (2020 г. – 59.34%).</w:t>
      </w:r>
      <w:r/>
    </w:p>
    <w:p>
      <w:pPr>
        <w:pStyle w:val="940"/>
        <w:ind w:firstLine="708"/>
        <w:jc w:val="both"/>
        <w:rPr>
          <w:rFonts w:eastAsia="Times New Roman"/>
          <w:bCs/>
          <w:iCs/>
        </w:rPr>
      </w:pPr>
      <w:r>
        <w:rPr>
          <w:rFonts w:eastAsia="Times New Roman"/>
          <w:bCs/>
          <w:iCs/>
        </w:rPr>
        <w:t xml:space="preserve">Снижение показателей произошло в задании 7: если в 2020 г. с ним справились- 72.46% испытуемых, то в 2021 г. только 38,32%, снижение произошло во всех группах, особенно в группе не преодолевших минимальный балл- только 16,13% с</w:t>
      </w:r>
      <w:r>
        <w:rPr>
          <w:rFonts w:eastAsia="Times New Roman"/>
          <w:bCs/>
          <w:iCs/>
        </w:rPr>
        <w:t xml:space="preserve">правились (в 2020 г.- 52.54%). В остальных группах также отмечена тенденция к снижению показателей: в группе от минимального до 60 т.б.- 32,48% (в 2020 г.- 69.73%), в группе 61-80 т.б.- 54,47% (в 2020 г.- 83.09%) в группе 81-100- 76,14% (2020 г. – 81.72%).</w:t>
      </w:r>
      <w:r/>
    </w:p>
    <w:p>
      <w:pPr>
        <w:pStyle w:val="940"/>
        <w:ind w:firstLine="708"/>
        <w:jc w:val="both"/>
      </w:pPr>
      <w:r>
        <w:rPr>
          <w:rFonts w:eastAsia="Times New Roman"/>
          <w:bCs/>
          <w:iCs/>
        </w:rPr>
        <w:t xml:space="preserve">В еще одном задании повышенной сложност</w:t>
      </w:r>
      <w:r>
        <w:rPr>
          <w:rFonts w:eastAsia="Times New Roman"/>
          <w:bCs/>
          <w:iCs/>
        </w:rPr>
        <w:t xml:space="preserve">и -11 – показатели несколько улучшились. Так, в данном году средний процент выполнения составил 77,66%, в 2020 г.- 72.18%, причем, положительная динамика отмечена во всех группах, особенно в  группе 81-100 т.б.- 95,45% по сравнению с 82.07% в прошлом году.</w:t>
      </w:r>
      <w:r/>
    </w:p>
    <w:p>
      <w:pPr>
        <w:pStyle w:val="940"/>
        <w:ind w:firstLine="708"/>
        <w:jc w:val="both"/>
        <w:rPr>
          <w:rFonts w:eastAsia="Times New Roman"/>
          <w:bCs/>
          <w:iCs/>
        </w:rPr>
      </w:pPr>
      <w:r>
        <w:rPr>
          <w:rFonts w:eastAsia="Times New Roman"/>
          <w:bCs/>
          <w:iCs/>
        </w:rPr>
        <w:t xml:space="preserve">По оставшимся заданиям-13 и 17 показатели, примерно, одинаковые-66,19% и 66,95%. По 13 з</w:t>
      </w:r>
      <w:r>
        <w:rPr>
          <w:rFonts w:eastAsia="Times New Roman"/>
          <w:bCs/>
          <w:iCs/>
        </w:rPr>
        <w:t xml:space="preserve">аданию произошло небольшое улучшение показателей по сравнению с 2020 г. (56.11%), но и небольшое снижение по 17 заданию (в 2020 г.- 67.84%). В 13 задании показатели были улучшены по всем группам, но наиболее ощутимы изменения в группе 81-100 т.б.-  96,02% </w:t>
      </w:r>
      <w:r>
        <w:rPr>
          <w:rFonts w:eastAsia="Times New Roman"/>
          <w:bCs/>
          <w:iCs/>
        </w:rPr>
        <w:t xml:space="preserve">(в 2020 г. было всего 67.71%). Практически одинаковые показатели в группе не преодолевших минимальный балл- 36,90% и 36.23% в 2021 г. и 2020 г. соответственно. По 17 заданию произошло снижение в группе 61-80 т.б. (в 2020 г. было 80.86%, в 2021 г.- 77,14%).</w:t>
      </w:r>
      <w:r/>
    </w:p>
    <w:p>
      <w:pPr>
        <w:pStyle w:val="940"/>
        <w:ind w:firstLine="708"/>
        <w:jc w:val="both"/>
        <w:rPr>
          <w:rFonts w:eastAsia="Times New Roman"/>
          <w:bCs/>
          <w:iCs/>
        </w:rPr>
      </w:pPr>
      <w:r>
        <w:rPr>
          <w:rFonts w:eastAsia="Times New Roman"/>
          <w:bCs/>
          <w:iCs/>
        </w:rPr>
        <w:t xml:space="preserve">На протяжении последних лет абсолютное большинство</w:t>
      </w:r>
      <w:r>
        <w:rPr>
          <w:rFonts w:eastAsia="Times New Roman"/>
          <w:bCs/>
          <w:iCs/>
        </w:rPr>
        <w:t xml:space="preserve"> выпускников показывают высокие результаты при выполнении заданий на поиск информации, в явном виде представленной в различных знаковых системах: таблица/диаграмма – задание 12 (в 2018 г.- 80,7 %, в 2019 г.- 89,73%, в 2020 г.- 84,21%; в 2021 г. уже73,16%).</w:t>
      </w:r>
      <w:r/>
    </w:p>
    <w:p>
      <w:pPr>
        <w:pStyle w:val="940"/>
        <w:ind w:firstLine="708"/>
        <w:jc w:val="both"/>
        <w:rPr>
          <w:rFonts w:eastAsia="Times New Roman"/>
          <w:bCs/>
          <w:iCs/>
        </w:rPr>
      </w:pPr>
      <w:r>
        <w:rPr>
          <w:rFonts w:eastAsia="Times New Roman"/>
          <w:bCs/>
          <w:iCs/>
        </w:rPr>
        <w:t xml:space="preserve">Сохраняется на в</w:t>
      </w:r>
      <w:r>
        <w:rPr>
          <w:rFonts w:eastAsia="Times New Roman"/>
          <w:bCs/>
          <w:iCs/>
        </w:rPr>
        <w:t xml:space="preserve">ысоком уровне средний показатель выполнения задания 5 и 6 (повышенный), проверяющего умение применять социально-экономические и гуманитарные знания в процессе решения познавательных задач по актуальным социальным проблемам раздела «Человек и Общество» - (5</w:t>
      </w:r>
      <w:r>
        <w:rPr>
          <w:rFonts w:eastAsia="Times New Roman"/>
          <w:bCs/>
          <w:iCs/>
        </w:rPr>
        <w:t xml:space="preserve"> задание базового уровня, проверяющего умение анализировать актуальную информацию о социальных объектах, устанавливать соответствия между существенными чертами и признаками изученных социальных явлений и обществоведческими терминами и понятиями): в  2020 г</w:t>
      </w:r>
      <w:r>
        <w:rPr>
          <w:rFonts w:eastAsia="Times New Roman"/>
          <w:bCs/>
          <w:iCs/>
        </w:rPr>
        <w:t xml:space="preserve">.- 70.73%, в 2021 г. уже 72,66%; 6 задание: в 2020 г.- 73.93%, в 2021 г.- 81,97% ). По 5 заданию наибольший прогресс отмечен в группах: 61-80 т.б. (в 2021 г. 94,55% против 89.31% в 2020 г.) и в группе 81-100 т.б. (в 2021 г. 99,43% вместо 88.75% в 2020 г.).</w:t>
      </w:r>
      <w:r/>
    </w:p>
    <w:p>
      <w:pPr>
        <w:pStyle w:val="940"/>
        <w:ind w:firstLine="708"/>
        <w:jc w:val="both"/>
        <w:rPr>
          <w:rFonts w:eastAsia="Times New Roman"/>
          <w:bCs/>
          <w:iCs/>
        </w:rPr>
      </w:pPr>
      <w:r>
        <w:rPr>
          <w:rFonts w:eastAsia="Times New Roman"/>
          <w:bCs/>
          <w:iCs/>
        </w:rPr>
        <w:t xml:space="preserve">В 6 задании максимальный прогресс был достигнут уже в 3 группах: в группе от минимального до 60 т.б. (2020 г.- 72.80%, в 2021 г.- 83,17%); в группе 61-80 т.б. (2020 г.- 89.31%, в 2021 г.- 95,53%) и в группе 81-100 т.б. (2020 г.- 88.75%, в 2021 г.- 94,89%)</w:t>
      </w:r>
      <w:r/>
    </w:p>
    <w:p>
      <w:pPr>
        <w:pStyle w:val="940"/>
        <w:ind w:firstLine="708"/>
        <w:jc w:val="both"/>
        <w:rPr>
          <w:rFonts w:eastAsia="Times New Roman"/>
          <w:bCs/>
          <w:iCs/>
        </w:rPr>
      </w:pPr>
      <w:r>
        <w:rPr>
          <w:rFonts w:eastAsia="Times New Roman"/>
          <w:bCs/>
          <w:iCs/>
        </w:rPr>
        <w:t xml:space="preserve">При выполнении задания 10 - на поиск социальной информации, представленной в виде рисунка (графи</w:t>
      </w:r>
      <w:r>
        <w:rPr>
          <w:rFonts w:eastAsia="Times New Roman"/>
          <w:bCs/>
          <w:iCs/>
        </w:rPr>
        <w:t xml:space="preserve">ка спроса/предложения) - задание 10, у 63,37% выпускников не встретило затруднений, однако, это ниже показателя 2020 г. –70.48%. Кроме того, при выполнение этого задания снижение ощутимо во всех группах, кроме группы 81-100 т.б. (показатель в 2020 г.- 90.5</w:t>
      </w:r>
      <w:r>
        <w:rPr>
          <w:rFonts w:eastAsia="Times New Roman"/>
          <w:bCs/>
          <w:iCs/>
        </w:rPr>
        <w:t xml:space="preserve">4%, в 2021 г.-  96,59%). В остальных группах: в группе не преодолевших минимальный балл (2020 г.- 31.14%, в 2021 г.-  21,73%); в группе от минимального до 60 т.б. (2020 г.- 67.18%, 2021 г.- 59,73%); в группе 61-80 т.б. (2020 г.- 92.19%, 20201 г.-  88,72%).</w:t>
      </w:r>
      <w:r/>
    </w:p>
    <w:p>
      <w:pPr>
        <w:pStyle w:val="940"/>
        <w:ind w:firstLine="708"/>
        <w:jc w:val="both"/>
        <w:rPr>
          <w:rFonts w:eastAsia="Times New Roman"/>
          <w:bCs/>
          <w:iCs/>
        </w:rPr>
      </w:pPr>
      <w:r>
        <w:rPr>
          <w:rFonts w:eastAsia="Times New Roman"/>
          <w:bCs/>
          <w:iCs/>
        </w:rPr>
        <w:t xml:space="preserve">При выполнении задания 8 базового уровня по разделу «Экономика» средний показатель увеличился составил 54,19% (это выше, чем в 2020 г.- 49.00% и в 2018 г. -45, 3%), но ниже, чем в 2019 г.-</w:t>
      </w:r>
      <w:r>
        <w:rPr>
          <w:rFonts w:eastAsia="Times New Roman"/>
          <w:bCs/>
          <w:iCs/>
        </w:rPr>
        <w:t xml:space="preserve"> 58,94%. Неустойчивая динамика по данному заданию на протяжении 4 лет. В группе не преодолевших минимальный балл произошло снижение показателя до 13,26% (в 2020 г.- 19.61%), но резкое увеличение отмечено в группе 81-100 т.б.- 93,75% против 63.92% в 2020 г.</w:t>
      </w:r>
      <w:r/>
    </w:p>
    <w:p>
      <w:pPr>
        <w:pStyle w:val="940"/>
        <w:ind w:firstLine="708"/>
        <w:jc w:val="both"/>
        <w:rPr>
          <w:rFonts w:eastAsia="Times New Roman"/>
          <w:bCs/>
          <w:iCs/>
        </w:rPr>
      </w:pPr>
      <w:r>
        <w:rPr>
          <w:rFonts w:eastAsia="Times New Roman"/>
          <w:bCs/>
          <w:iCs/>
        </w:rPr>
        <w:t xml:space="preserve">Неб</w:t>
      </w:r>
      <w:r>
        <w:rPr>
          <w:rFonts w:eastAsia="Times New Roman"/>
          <w:bCs/>
          <w:iCs/>
        </w:rPr>
        <w:t xml:space="preserve">ольшое снижение произошло в задании 9 повышенного уровня сложности по «Экономике» с 69.84% в 2020 г. до 68,26% в 2021 г. Снижение отмечается во всех группах, кроме последней. В группе 81-100 т.б. улучшены показатели до 97,16% в 2021 г. (в 2020 г.- 85.78%).</w:t>
      </w:r>
      <w:r/>
    </w:p>
    <w:p>
      <w:pPr>
        <w:pStyle w:val="940"/>
        <w:ind w:firstLine="708"/>
        <w:jc w:val="both"/>
        <w:rPr>
          <w:rFonts w:eastAsia="Times New Roman"/>
          <w:bCs/>
          <w:iCs/>
        </w:rPr>
      </w:pPr>
      <w:r>
        <w:rPr>
          <w:rFonts w:eastAsia="Times New Roman"/>
          <w:bCs/>
          <w:iCs/>
        </w:rPr>
        <w:t xml:space="preserve">Результаты задание повышенного уровня сложности -20, которое провер</w:t>
      </w:r>
      <w:r>
        <w:rPr>
          <w:rFonts w:eastAsia="Times New Roman"/>
          <w:bCs/>
          <w:iCs/>
        </w:rPr>
        <w:t xml:space="preserve">яет умение систематизировать, анализировать и обобщать неупорядоченную социальную информацию, практически не отличаются от итогов 2020 г. (61,44% и 61.73% соответственно). Резкий скачок отмечен в группе 81-100 т.б. (с 82.37% в 2020 г. до 96,59% в 2021 г.).</w:t>
      </w:r>
      <w:r/>
    </w:p>
    <w:p>
      <w:pPr>
        <w:pStyle w:val="940"/>
        <w:ind w:firstLine="708"/>
        <w:jc w:val="both"/>
        <w:rPr>
          <w:rFonts w:eastAsia="Times New Roman"/>
          <w:bCs/>
          <w:iCs/>
        </w:rPr>
      </w:pPr>
      <w:r>
        <w:rPr>
          <w:rFonts w:eastAsia="Times New Roman"/>
          <w:bCs/>
          <w:iCs/>
        </w:rPr>
        <w:t xml:space="preserve">Задания «Политико-правового блока»: 14-19.  Самый низкий средний показатель - 33,37% выпускники 2021 г. продемонстрировали при выполнении задания 16 (право- базовый уровень), на проверку умения характеризовать с научных</w:t>
      </w:r>
      <w:r>
        <w:rPr>
          <w:rFonts w:eastAsia="Times New Roman"/>
          <w:bCs/>
          <w:iCs/>
        </w:rPr>
        <w:t xml:space="preserve"> позиций основы конституционного строя, права и свободы человека и гражданина, конституционные обязанности гражданина. (Знание Конституции РФ, главы 1 и 2). Эта тенденция была и в 2020 г.-44, 41%. Снижение в этом задании произошло во всех группах, кроме по</w:t>
      </w:r>
      <w:r>
        <w:rPr>
          <w:rFonts w:eastAsia="Times New Roman"/>
          <w:bCs/>
          <w:iCs/>
        </w:rPr>
        <w:t xml:space="preserve">следней: в группе 81-100 т.б. в 2021 г. с этим заданием справились 84,09% испытуемых, в то время, как в 2020 г.  только 60.78%. Только в задании 19 наблюдается стабильная ситуация по результатам экзамена: в 2020 г.- 72.87%, в 2021 г.- 72,28%. В остальных з</w:t>
      </w:r>
      <w:r>
        <w:rPr>
          <w:rFonts w:eastAsia="Times New Roman"/>
          <w:bCs/>
          <w:iCs/>
        </w:rPr>
        <w:t xml:space="preserve">аданиях: 14,15,18 результаты этого года ниже. Так, в 2020 г. с заданием 14 справились 52.33% учащихся, в 2021 г.- 45,84%; с заданием 15 в 2020 г.- 66.26%, в 2021 г.- 62,84, с 18 заданием в 2020 г. справились- 55.73%, а в 2021 г. только 49,83% выпускников. </w:t>
      </w:r>
      <w:r/>
    </w:p>
    <w:p>
      <w:pPr>
        <w:pStyle w:val="940"/>
        <w:ind w:firstLine="708"/>
        <w:jc w:val="both"/>
        <w:rPr>
          <w:rFonts w:eastAsia="Times New Roman"/>
          <w:bCs/>
          <w:iCs/>
        </w:rPr>
      </w:pPr>
      <w:r>
        <w:rPr>
          <w:rFonts w:eastAsia="Times New Roman"/>
          <w:bCs/>
          <w:iCs/>
        </w:rPr>
        <w:t xml:space="preserve">Существенная разница по группам в задании 14 наблюдалась то</w:t>
      </w:r>
      <w:r>
        <w:rPr>
          <w:rFonts w:eastAsia="Times New Roman"/>
          <w:bCs/>
          <w:iCs/>
        </w:rPr>
        <w:t xml:space="preserve">лько в группе 81-100 т.б.: в 2021 г. в ней справились с заданием 95,45% школьников, в том время, как в 2020 г.- только 69.71%, и вв группе не преодолевших минимальный балл (здесь наоборот произошло снижение результата с 17.81% в 2020 г. до 7,51% в 2021 г.)</w:t>
      </w:r>
      <w:r/>
    </w:p>
    <w:p>
      <w:pPr>
        <w:pStyle w:val="940"/>
        <w:ind w:firstLine="708"/>
        <w:jc w:val="both"/>
        <w:rPr>
          <w:rFonts w:eastAsia="Times New Roman"/>
          <w:bCs/>
          <w:iCs/>
        </w:rPr>
      </w:pPr>
      <w:r>
        <w:rPr>
          <w:rFonts w:eastAsia="Times New Roman"/>
          <w:bCs/>
          <w:iCs/>
        </w:rPr>
        <w:t xml:space="preserve">Существенные различия отмечены также в группе 81-100 т.б. по заданию 18. Процент успешно выполнивших его в текущем году составил 91,48%, что превышает показатель 2020 г. (69.31).</w:t>
      </w:r>
      <w:r/>
    </w:p>
    <w:p>
      <w:pPr>
        <w:pStyle w:val="940"/>
        <w:ind w:firstLine="708"/>
        <w:jc w:val="both"/>
        <w:rPr>
          <w:rFonts w:eastAsia="Times New Roman"/>
          <w:bCs/>
          <w:iCs/>
        </w:rPr>
      </w:pPr>
      <w:r>
        <w:rPr>
          <w:rFonts w:eastAsia="Times New Roman"/>
          <w:bCs/>
          <w:iCs/>
        </w:rPr>
        <w:t xml:space="preserve">Таким образом, ана</w:t>
      </w:r>
      <w:r>
        <w:rPr>
          <w:rFonts w:eastAsia="Times New Roman"/>
          <w:bCs/>
          <w:iCs/>
        </w:rPr>
        <w:t xml:space="preserve">лизируя процент выполнения заданий 1 части мы пришли к следующим выводам: из 10 заданий базового уровня самым успешным в текущем году оказались задания 2 (93,24%),1 (87,94%), 12 (85,96) и 3 (83,05%), менее результативными оказались задания 8 (54,19%),14 (4</w:t>
      </w:r>
      <w:r>
        <w:rPr>
          <w:rFonts w:eastAsia="Times New Roman"/>
          <w:bCs/>
          <w:iCs/>
        </w:rPr>
        <w:t xml:space="preserve">5,84%) и 16 (33,37%). Результаты по заданиям повышенного уровня сложности распределились следующим образом. Самыми легкими для испытуемых оказались задания 6 (81,97%) и 11(77,66%). Самым сложным оказалось задание 7, его выполнило только 38,32% выпускников.</w:t>
      </w:r>
      <w:r/>
    </w:p>
    <w:p>
      <w:pPr>
        <w:pStyle w:val="940"/>
        <w:ind w:firstLine="708"/>
        <w:jc w:val="both"/>
        <w:rPr>
          <w:rFonts w:eastAsia="Times New Roman"/>
          <w:bCs/>
          <w:iCs/>
        </w:rPr>
      </w:pPr>
      <w:r>
        <w:rPr>
          <w:rFonts w:eastAsia="Times New Roman"/>
          <w:bCs/>
          <w:iCs/>
        </w:rPr>
        <w:t xml:space="preserve">Результаты двух</w:t>
      </w:r>
      <w:r>
        <w:rPr>
          <w:rFonts w:eastAsia="Times New Roman"/>
          <w:bCs/>
          <w:iCs/>
        </w:rPr>
        <w:t xml:space="preserve"> базовых заданий 2 части 21 и 22 также не отличаются стабильностью. Подавляющее большинство выпускников в 2021 г справились с заданием 21 -92,81%, что значительно превышает показатели предыдущих лет (2018,2019, 2020 гг. -  64, 4%, 92,49 % и 83,35%). Также </w:t>
      </w:r>
      <w:r>
        <w:rPr>
          <w:rFonts w:eastAsia="Times New Roman"/>
          <w:bCs/>
          <w:iCs/>
        </w:rPr>
        <w:t xml:space="preserve">положительная динамика прослеживается при анализе выполнения 22 задания (2020 г.- 69.82%; 2021 г. -74,52%), особенно ощутимы изменения в группе 61-80 т.б. (в 2020 г.- 83.92%, в 2021 г.- 91,05%) и в группе 81-100 т.б. (в 2020 г.- 83.21%, в 2021 г.- 96,02%).</w:t>
      </w:r>
      <w:r/>
    </w:p>
    <w:p>
      <w:pPr>
        <w:pStyle w:val="940"/>
        <w:ind w:firstLine="708"/>
        <w:jc w:val="both"/>
        <w:rPr>
          <w:rFonts w:eastAsia="Times New Roman"/>
          <w:bCs/>
          <w:iCs/>
        </w:rPr>
      </w:pPr>
      <w:r>
        <w:rPr>
          <w:rFonts w:eastAsia="Times New Roman"/>
          <w:bCs/>
          <w:iCs/>
        </w:rPr>
        <w:t xml:space="preserve">К заданиям высокого уровня сложности, по которым выпускники показали самые низкие результаты, относятся задание 28.2 (Корректность фор</w:t>
      </w:r>
      <w:r>
        <w:rPr>
          <w:rFonts w:eastAsia="Times New Roman"/>
          <w:bCs/>
          <w:iCs/>
        </w:rPr>
        <w:t xml:space="preserve">мулировок пунктов и подпунктов плана) 6,00% (это ниже, чем в 2020 г.- 10,73%) и задание 29.3 (Теоретическое содержание мини-сочинения: связность и логичность рассуждений, выводов), по нему так же произошло снижение в 2021 г.- 8,27% вместо 11,17% в 2020 г. </w:t>
      </w:r>
      <w:r/>
    </w:p>
    <w:p>
      <w:pPr>
        <w:pStyle w:val="940"/>
        <w:ind w:firstLine="708"/>
        <w:jc w:val="both"/>
        <w:rPr>
          <w:rFonts w:eastAsia="Times New Roman"/>
          <w:bCs/>
          <w:iCs/>
        </w:rPr>
      </w:pPr>
      <w:r>
        <w:rPr>
          <w:rFonts w:eastAsia="Times New Roman"/>
          <w:bCs/>
          <w:iCs/>
        </w:rPr>
        <w:t xml:space="preserve">На протяжении последних лет самым сложным заданием было задание 24: в </w:t>
      </w:r>
      <w:r>
        <w:rPr>
          <w:rFonts w:eastAsia="Times New Roman"/>
          <w:bCs/>
          <w:iCs/>
        </w:rPr>
        <w:t xml:space="preserve">2019 г. средний показатель составлял 21,58%, (умение объяснять внутренние и внешние связи (причинно-следственные и функциональные) изученных социальных объектов. Оценивать действия субъектов социальной жизни, включая личность, группы, организации, с точки </w:t>
      </w:r>
      <w:r>
        <w:rPr>
          <w:rFonts w:eastAsia="Times New Roman"/>
          <w:bCs/>
          <w:iCs/>
        </w:rPr>
        <w:t xml:space="preserve">зрения социальных норм, экономической рациональности. Формулировать на основе приобретенных обществоведческих знаний собственные суждения и аргументы по определенным проблемам), в 2020 г. при выполнении данного задания, по-прежнему, смогли справиться менее</w:t>
      </w:r>
      <w:r>
        <w:rPr>
          <w:rFonts w:eastAsia="Times New Roman"/>
          <w:bCs/>
          <w:iCs/>
        </w:rPr>
        <w:t xml:space="preserve"> трети выпускников - 29,33%. Но в 2021 г. динамика отрицательна, только 20,83% смогли справиться с заданием. Так же снижение результат произошло в задании 28.1. В 2021 г. только 25,98% успешно справились с заданием, в 2020 г. этот процент составил 34.59%. </w:t>
      </w:r>
      <w:r/>
    </w:p>
    <w:p>
      <w:pPr>
        <w:pStyle w:val="940"/>
        <w:ind w:firstLine="708"/>
        <w:jc w:val="both"/>
        <w:rPr>
          <w:rFonts w:eastAsia="Times New Roman"/>
          <w:bCs/>
          <w:iCs/>
        </w:rPr>
      </w:pPr>
      <w:r>
        <w:rPr>
          <w:rFonts w:eastAsia="Times New Roman"/>
          <w:bCs/>
          <w:iCs/>
        </w:rPr>
        <w:t xml:space="preserve">Анализируя процент выполненных заданий по группам в данных заданиях следует отметить следующее. </w:t>
      </w:r>
      <w:r>
        <w:rPr>
          <w:rFonts w:eastAsia="Times New Roman"/>
          <w:bCs/>
          <w:iCs/>
        </w:rPr>
        <w:t xml:space="preserve">В 24 задании в 2021 г. вырос показатель в группе 81-100 т.б. - 71,59%, в то время как в 2020 г. он составлял 42.88%. В той же группе вырос показатель по заданию 28.1 с 10.85% в 2020 г. до 78,03% в 2021 г. и по 28.2. с 13.42% в 2020 г. до 31,82 % в 2021 г. </w:t>
      </w:r>
      <w:r/>
    </w:p>
    <w:p>
      <w:pPr>
        <w:pStyle w:val="940"/>
        <w:ind w:firstLine="708"/>
        <w:jc w:val="both"/>
        <w:rPr>
          <w:rFonts w:eastAsia="Times New Roman"/>
          <w:bCs/>
          <w:iCs/>
        </w:rPr>
      </w:pPr>
      <w:r>
        <w:rPr>
          <w:rFonts w:eastAsia="Times New Roman"/>
          <w:bCs/>
          <w:iCs/>
        </w:rPr>
        <w:t xml:space="preserve">В 2021 г. уменьшился показател</w:t>
      </w:r>
      <w:r>
        <w:rPr>
          <w:rFonts w:eastAsia="Times New Roman"/>
          <w:bCs/>
          <w:iCs/>
        </w:rPr>
        <w:t xml:space="preserve">ь выполнения задания 23 (умение объяснять внутренние и внешние связи (причинно-следственные и функциональные) изученных социальных объектов, раскрывать на примерах изученные теоретические положения и понятия социально-экономических и гуманитарных наук) до </w:t>
      </w:r>
      <w:r>
        <w:rPr>
          <w:rFonts w:eastAsia="Times New Roman"/>
          <w:bCs/>
          <w:iCs/>
        </w:rPr>
        <w:t xml:space="preserve">34,03%, это выше, чем в 2019 г.- 24,52%, но ниже, чем в 2020 г.- 24,52%. Но в текущем году увеличились показатели в   группе не преодолевших минимальный балл (в 2021 г.- 9,58%, в 2020 г.- 5.09%) и в группе 81-100 т.б. (в 2021 г.- 79,17%, в 2020 г.- 57.23%)</w:t>
      </w:r>
      <w:r/>
    </w:p>
    <w:p>
      <w:pPr>
        <w:pStyle w:val="940"/>
        <w:ind w:firstLine="708"/>
        <w:jc w:val="both"/>
        <w:rPr>
          <w:rFonts w:eastAsia="Times New Roman"/>
          <w:bCs/>
          <w:iCs/>
        </w:rPr>
      </w:pPr>
      <w:r>
        <w:rPr>
          <w:rFonts w:eastAsia="Times New Roman"/>
          <w:bCs/>
          <w:iCs/>
        </w:rPr>
        <w:t xml:space="preserve">Если в 2020 г. по сравнению с 2019 г. задание 26 (умение раскрывать на примерах изученные теоретические положения и понятия социально-экономических и гуманитарных) оказалось одним из наиболее сложных, процент выполнения даже снизи</w:t>
      </w:r>
      <w:r>
        <w:rPr>
          <w:rFonts w:eastAsia="Times New Roman"/>
          <w:bCs/>
          <w:iCs/>
        </w:rPr>
        <w:t xml:space="preserve">лся с 24,99% до 24,77% выпускников, то в 2021 по данному заданию наблюдается положительная динамика 30,36%., причем увеличение произошло во всех группах, наибольшие изменения отмечены в группе 81-100 т.б. (в 2021 г.- 83,33% по сравнению с 2020 г.- 35.35%).</w:t>
      </w:r>
      <w:r/>
    </w:p>
    <w:p>
      <w:pPr>
        <w:pStyle w:val="940"/>
        <w:ind w:firstLine="708"/>
        <w:jc w:val="both"/>
      </w:pPr>
      <w:r>
        <w:rPr>
          <w:rFonts w:eastAsia="Times New Roman"/>
          <w:bCs/>
          <w:iCs/>
        </w:rPr>
        <w:t xml:space="preserve">По-прежнему сложным заданием для выпускников оказалось задание 25 (в 2020 год его выполнили только 42,94 (25.1)/29,93 (25.2) % выпускников). В 2021 г. по заданию 25.1 результат улучшили (55,33%), но по заданию 25.2- ухудш</w:t>
      </w:r>
      <w:r>
        <w:rPr>
          <w:rFonts w:eastAsia="Times New Roman"/>
          <w:bCs/>
          <w:iCs/>
        </w:rPr>
        <w:t xml:space="preserve">или- 24,84%. Если в группе 81-100 т.б. динамика положительная, например, по 25.1 (2020-58.69%, 2021- 94,89%), по 25.2 (2020 г.- 45.02%, в 2021 г.- 78,98%), то в группе 61-80 т.б. по заданию 25.2 произошло снижение результата (2020-51.39%, 2021 г.- 41,93%).</w:t>
      </w:r>
      <w:r/>
    </w:p>
    <w:p>
      <w:pPr>
        <w:pStyle w:val="940"/>
        <w:ind w:firstLine="708"/>
        <w:jc w:val="both"/>
      </w:pPr>
      <w:r>
        <w:rPr>
          <w:rFonts w:eastAsia="Times New Roman"/>
          <w:bCs/>
          <w:iCs/>
        </w:rPr>
        <w:t xml:space="preserve">В 2021 г. произошло снижение среднего по</w:t>
      </w:r>
      <w:r>
        <w:rPr>
          <w:rFonts w:eastAsia="Times New Roman"/>
          <w:bCs/>
          <w:iCs/>
        </w:rPr>
        <w:t xml:space="preserve">казателя по заданию 27 (умение применять социально-экономические и гуманитарные знания в процессе решения познавательных задач по актуальным социальным проблемам (задание-задача) 34,61 % в 2020 г. до 29,97% в 2021 г. (в 2019г. этот процент равнялся 38,01).</w:t>
      </w:r>
      <w:r/>
    </w:p>
    <w:p>
      <w:pPr>
        <w:pStyle w:val="940"/>
        <w:ind w:firstLine="708"/>
        <w:jc w:val="both"/>
        <w:rPr>
          <w:rFonts w:eastAsia="Times New Roman"/>
          <w:bCs/>
          <w:iCs/>
        </w:rPr>
      </w:pPr>
      <w:r>
        <w:rPr>
          <w:rFonts w:eastAsia="Times New Roman"/>
          <w:bCs/>
          <w:iCs/>
        </w:rPr>
        <w:t xml:space="preserve">Статистика выполнения задания 29 (мини-сочинение) почти не изменилась, несмотря на незначительное снижение в 2021 г. показателей: 29.1 с 64,48% до 54,63%, 29.2- с 25.60% до 17,21%; 29.3 с 11,17%.  до 8,27%; 29.4 с 28.04 % до 19,16%</w:t>
      </w:r>
      <w:r/>
    </w:p>
    <w:p>
      <w:pPr>
        <w:pStyle w:val="940"/>
        <w:ind w:firstLine="708"/>
        <w:jc w:val="both"/>
      </w:pPr>
      <w:r>
        <w:rPr>
          <w:rFonts w:eastAsia="Times New Roman"/>
          <w:bCs/>
          <w:iCs/>
        </w:rPr>
        <w:t xml:space="preserve">Как и в предыдущие годы, экзамен 2020 г. показал очевидные проблемы в овладении знаниями, необходимыми для социализации выпускников как граждан РФ, будущих рабо</w:t>
      </w:r>
      <w:r>
        <w:rPr>
          <w:rFonts w:eastAsia="Times New Roman"/>
          <w:bCs/>
          <w:iCs/>
        </w:rPr>
        <w:t xml:space="preserve">тников, налогоплательщиков, активных участников экономической жизни. Наконец, больше половины выпускников – 52,33% справились с заданием 14 базового уровня на соответствие между полномочиями и субъектами государственной власти РФ, реализующими эти полномоч</w:t>
      </w:r>
      <w:r>
        <w:rPr>
          <w:rFonts w:eastAsia="Times New Roman"/>
          <w:bCs/>
          <w:iCs/>
        </w:rPr>
        <w:t xml:space="preserve">ия: 2019 г. средний процент выполнения задания 14 составлял 47, 94% (но в 2018 г. этот показатель был еще ниже – 27,2%). Как и в 2019 г., наблюдается путаница в представлениях выпускников о разделении полномочий между субъектами государственной власти РФ. </w:t>
      </w:r>
      <w:r/>
    </w:p>
    <w:p>
      <w:pPr>
        <w:pStyle w:val="940"/>
        <w:ind w:firstLine="567"/>
        <w:jc w:val="both"/>
      </w:pPr>
      <w:r>
        <w:t xml:space="preserve">В 2020 г. произошло резкое снижение показателей в группе 81-100: задание 29.1 –со 00% до 82,88%, задание 29.2 - с 83,02% до 07,9%, задание 29.3 - с 80,19% до 11,63%, задание 29.4 - с 78,77% до 36,47%.</w:t>
      </w:r>
      <w:r/>
    </w:p>
    <w:p>
      <w:pPr>
        <w:pStyle w:val="940"/>
        <w:ind w:left="567" w:firstLine="0"/>
        <w:keepLines/>
        <w:keepNext/>
        <w:spacing w:before="200" w:after="0"/>
      </w:pPr>
      <w:r>
        <w:rPr>
          <w:rFonts w:eastAsia="SimSun;宋体"/>
          <w:b/>
          <w:bCs/>
          <w:iCs/>
          <w:sz w:val="28"/>
        </w:rPr>
        <w:t xml:space="preserve">3.2.3.</w:t>
      </w:r>
      <w:r>
        <w:rPr>
          <w:rFonts w:eastAsia="SimSun;宋体"/>
          <w:bCs/>
          <w:iCs/>
          <w:sz w:val="28"/>
        </w:rPr>
        <w:t xml:space="preserve"> </w:t>
      </w: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jc w:val="both"/>
        <w:rPr>
          <w:rFonts w:eastAsia="Times New Roman"/>
          <w:bCs/>
          <w:iCs/>
        </w:rPr>
      </w:pPr>
      <w:r>
        <w:rPr>
          <w:rFonts w:eastAsia="Times New Roman"/>
          <w:bCs/>
          <w:iCs/>
        </w:rPr>
      </w:r>
      <w:r/>
    </w:p>
    <w:p>
      <w:pPr>
        <w:pStyle w:val="940"/>
        <w:ind w:firstLine="708"/>
        <w:jc w:val="both"/>
        <w:rPr>
          <w:rFonts w:eastAsia="Times New Roman"/>
          <w:bCs/>
          <w:iCs/>
        </w:rPr>
      </w:pPr>
      <w:r>
        <w:rPr>
          <w:rFonts w:eastAsia="Times New Roman"/>
          <w:bCs/>
          <w:iCs/>
        </w:rPr>
        <w:t xml:space="preserve">Анализ результатов ЕГЭ по обществознанию позволяет сделать следующие выводы:</w:t>
      </w:r>
      <w:r/>
    </w:p>
    <w:p>
      <w:pPr>
        <w:pStyle w:val="940"/>
        <w:ind w:firstLine="708"/>
        <w:jc w:val="both"/>
        <w:rPr>
          <w:rFonts w:eastAsia="Times New Roman"/>
          <w:bCs/>
          <w:iCs/>
        </w:rPr>
      </w:pPr>
      <w:r>
        <w:rPr>
          <w:rFonts w:eastAsia="Times New Roman"/>
          <w:bCs/>
          <w:iCs/>
        </w:rPr>
        <w:t xml:space="preserve">- по-прежнему, наибольшую трудность для выпускников представляли задания, проверяющие усвоение общих теоретических знаний. Традиционно прослеживаются проблемы в выполнении заданий, связанных с оперированием понятиями высокого уровня теорет</w:t>
      </w:r>
      <w:r>
        <w:rPr>
          <w:rFonts w:eastAsia="Times New Roman"/>
          <w:bCs/>
          <w:iCs/>
        </w:rPr>
        <w:t xml:space="preserve">ического, философского обобщения. Недостаточен уровень осознанности обществоведческих знаний у значительной части выпускников. Определенные затруднения возникают, когда задания касаются родовых признаков социальных объектов, а также при необходимости интег</w:t>
      </w:r>
      <w:r>
        <w:rPr>
          <w:rFonts w:eastAsia="Times New Roman"/>
          <w:bCs/>
          <w:iCs/>
        </w:rPr>
        <w:t xml:space="preserve">рировать обществоведческие знания с материалом, освоенным при изучении различных школьных предметов. Обращать внимание учеников на точные обществоведческие термины, которые содержать в рекомендованной министерством образования литературе по обществознанию;</w:t>
      </w:r>
      <w:r/>
    </w:p>
    <w:p>
      <w:pPr>
        <w:pStyle w:val="940"/>
        <w:ind w:firstLine="708"/>
        <w:jc w:val="both"/>
      </w:pPr>
      <w:r>
        <w:rPr>
          <w:rFonts w:eastAsia="Times New Roman"/>
          <w:bCs/>
          <w:iCs/>
        </w:rPr>
        <w:t xml:space="preserve">- возникали проблемы с использованием межпредметных связей;</w:t>
      </w:r>
      <w:r/>
    </w:p>
    <w:p>
      <w:pPr>
        <w:pStyle w:val="940"/>
        <w:ind w:firstLine="708"/>
        <w:jc w:val="both"/>
      </w:pPr>
      <w:r>
        <w:rPr>
          <w:rFonts w:eastAsia="Times New Roman"/>
          <w:bCs/>
          <w:iCs/>
        </w:rPr>
        <w:t xml:space="preserve">- часто сформулированные примеры имели поверхностный характер, не соответствовали условиям задачи, рассматриваемому понятию или суждению;</w:t>
      </w:r>
      <w:r/>
    </w:p>
    <w:p>
      <w:pPr>
        <w:pStyle w:val="940"/>
        <w:ind w:firstLine="708"/>
        <w:jc w:val="both"/>
      </w:pPr>
      <w:r>
        <w:rPr>
          <w:rFonts w:eastAsia="Times New Roman"/>
          <w:bCs/>
          <w:iCs/>
        </w:rPr>
        <w:t xml:space="preserve">- у многих школьников знания о правовых аспектах курса находятся на уровне обыденных представлений, отсутствует систематизация опыта, объяснение многих фактов с точки зрения теоретических положений;</w:t>
      </w:r>
      <w:r/>
    </w:p>
    <w:p>
      <w:pPr>
        <w:pStyle w:val="940"/>
        <w:ind w:firstLine="708"/>
        <w:jc w:val="both"/>
      </w:pPr>
      <w:r>
        <w:rPr>
          <w:rFonts w:eastAsia="Times New Roman"/>
          <w:bCs/>
          <w:iCs/>
        </w:rPr>
        <w:t xml:space="preserve">- на наш взгляд, практический опыт, который имеют школьники, мало востребован на уроках. Большинство уч</w:t>
      </w:r>
      <w:r>
        <w:rPr>
          <w:rFonts w:eastAsia="Times New Roman"/>
          <w:bCs/>
          <w:iCs/>
        </w:rPr>
        <w:t xml:space="preserve">ителей главную задачу по-прежнему видят в том, чтобы передать ученику как можно больше знаний преимущественно теоретического характера и мало озабочены тем, как соотносятся они с уже имеющимися у учащихся представлениями, установками социального характера;</w:t>
      </w:r>
      <w:r/>
    </w:p>
    <w:p>
      <w:pPr>
        <w:pStyle w:val="940"/>
        <w:ind w:firstLine="708"/>
        <w:jc w:val="both"/>
      </w:pPr>
      <w:r>
        <w:rPr>
          <w:rFonts w:eastAsia="Times New Roman"/>
          <w:bCs/>
          <w:iCs/>
        </w:rPr>
        <w:t xml:space="preserve">- недостаточная сформированность аналитических умений выделять главное, соотносить имеющиеся данные с поставленным требованиям, что затрудняет работу с информацией в текстах;</w:t>
      </w:r>
      <w:r/>
    </w:p>
    <w:p>
      <w:pPr>
        <w:pStyle w:val="940"/>
        <w:ind w:firstLine="708"/>
        <w:jc w:val="both"/>
        <w:rPr>
          <w:rFonts w:eastAsia="Times New Roman"/>
          <w:bCs/>
          <w:iCs/>
        </w:rPr>
      </w:pPr>
      <w:r>
        <w:rPr>
          <w:rFonts w:eastAsia="Times New Roman"/>
          <w:bCs/>
          <w:iCs/>
        </w:rPr>
        <w:t xml:space="preserve">- отсутствие рефлексии над собственным опытом, что также объясняет поверхностность примеров;</w:t>
      </w:r>
      <w:r/>
    </w:p>
    <w:p>
      <w:pPr>
        <w:pStyle w:val="940"/>
        <w:ind w:firstLine="708"/>
        <w:jc w:val="both"/>
      </w:pPr>
      <w:r>
        <w:rPr>
          <w:rFonts w:eastAsia="Times New Roman"/>
          <w:bCs/>
          <w:iCs/>
        </w:rPr>
        <w:t xml:space="preserve">- преобладание однобокого взгляда на социальные явления, неумения выстраивать связи с процессами, истоками и возможными последствиями;</w:t>
      </w:r>
      <w:r/>
    </w:p>
    <w:p>
      <w:pPr>
        <w:pStyle w:val="940"/>
        <w:ind w:firstLine="708"/>
        <w:jc w:val="both"/>
        <w:rPr>
          <w:rFonts w:eastAsia="Times New Roman"/>
          <w:bCs/>
          <w:iCs/>
        </w:rPr>
      </w:pPr>
      <w:r>
        <w:rPr>
          <w:rFonts w:eastAsia="Times New Roman"/>
          <w:bCs/>
          <w:iCs/>
        </w:rPr>
        <w:t xml:space="preserve">- нередким заблуждением выпускников является стремление к</w:t>
      </w:r>
      <w:r>
        <w:rPr>
          <w:rFonts w:eastAsia="Times New Roman"/>
          <w:bCs/>
          <w:iCs/>
        </w:rPr>
        <w:t xml:space="preserve"> увеличению объема информации в ущерб качеству ответа. Особенно наглядно это проявляется в написании мини-сочинения по одному из пяти афористических высказываний. Обычно за большим объемом кроется неточность в раскрытии смысла и слабый теоретический базис;</w:t>
      </w:r>
      <w:r/>
    </w:p>
    <w:p>
      <w:pPr>
        <w:pStyle w:val="940"/>
        <w:ind w:firstLine="708"/>
        <w:jc w:val="both"/>
      </w:pPr>
      <w:r>
        <w:rPr>
          <w:rFonts w:eastAsia="Times New Roman"/>
          <w:bCs/>
          <w:iCs/>
        </w:rPr>
        <w:t xml:space="preserve">- игнорирование части сведения, неумение корректно связать новую информацию с уже известным материалом.</w:t>
      </w:r>
      <w:r/>
    </w:p>
    <w:p>
      <w:pPr>
        <w:pStyle w:val="940"/>
        <w:ind w:firstLine="708"/>
        <w:jc w:val="both"/>
        <w:rPr>
          <w:rFonts w:eastAsia="Times New Roman"/>
          <w:bCs/>
          <w:iCs/>
        </w:rPr>
      </w:pPr>
      <w:r>
        <w:rPr>
          <w:rFonts w:eastAsia="Times New Roman"/>
          <w:bCs/>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rPr>
          <w:rFonts w:eastAsia="Times New Roman"/>
          <w:bCs/>
          <w:iCs/>
        </w:rPr>
      </w:pPr>
      <w:r>
        <w:rPr>
          <w:rFonts w:eastAsia="Times New Roman"/>
          <w:bCs/>
          <w:iCs/>
        </w:rPr>
        <w:t xml:space="preserve">- знать и понимать: биосоциа</w:t>
      </w:r>
      <w:r>
        <w:rPr>
          <w:rFonts w:eastAsia="Times New Roman"/>
          <w:bCs/>
          <w:iCs/>
        </w:rPr>
        <w:t xml:space="preserve">льную сущность человека; основные этапы и факторы социализации личности; место и роль человека в системе общественных отношений; закономерности развития общества как сложной самоорганизующейся системы; тенденции развития общества в целом как сложной динами</w:t>
      </w:r>
      <w:r>
        <w:rPr>
          <w:rFonts w:eastAsia="Times New Roman"/>
          <w:bCs/>
          <w:iCs/>
        </w:rPr>
        <w:t xml:space="preserve">чной системы, а также важнейших социальных институтов; основные социальные институты и процессы; необходимость регулирования общественных отношений, сущность социальных норм, механизмы правового регулирования; особенности социально- гуманитарного познания;</w:t>
      </w:r>
      <w:r/>
    </w:p>
    <w:p>
      <w:pPr>
        <w:pStyle w:val="940"/>
        <w:ind w:firstLine="708"/>
        <w:jc w:val="both"/>
        <w:rPr>
          <w:rFonts w:eastAsia="Times New Roman"/>
          <w:bCs/>
          <w:iCs/>
        </w:rPr>
      </w:pPr>
      <w:r>
        <w:rPr>
          <w:rFonts w:eastAsia="Times New Roman"/>
          <w:bCs/>
          <w:iCs/>
        </w:rPr>
        <w:t xml:space="preserve">- осуществлять поиск социальной информации,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публицистических и др.) знания по заданным темам;</w:t>
      </w:r>
      <w:r/>
    </w:p>
    <w:p>
      <w:pPr>
        <w:pStyle w:val="940"/>
        <w:ind w:firstLine="708"/>
        <w:jc w:val="both"/>
        <w:rPr>
          <w:rFonts w:eastAsia="Times New Roman"/>
          <w:bCs/>
          <w:iCs/>
        </w:rPr>
      </w:pPr>
      <w:r>
        <w:rPr>
          <w:rFonts w:eastAsia="Times New Roman"/>
          <w:bCs/>
          <w:iCs/>
        </w:rPr>
        <w:t xml:space="preserve">- применять социально-экономические и гуманитарные знания в процессе решения познавательных задач по актуальным социальным проблемам;</w:t>
      </w:r>
      <w:r/>
    </w:p>
    <w:p>
      <w:pPr>
        <w:pStyle w:val="940"/>
        <w:contextualSpacing/>
        <w:ind w:firstLine="708"/>
        <w:jc w:val="both"/>
        <w:spacing w:before="0" w:after="0"/>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pPr>
      <w:r>
        <w:rPr>
          <w:rFonts w:eastAsia="Times New Roman"/>
          <w:bCs/>
          <w:iCs/>
        </w:rPr>
        <w:t xml:space="preserve">- оценивать действия субъектов социальной жизни, включая личность, группы, организации, с точки зрения социальных норм, экономической рациональности;</w:t>
      </w:r>
      <w:r/>
    </w:p>
    <w:p>
      <w:pPr>
        <w:pStyle w:val="940"/>
        <w:ind w:firstLine="708"/>
        <w:jc w:val="both"/>
        <w:rPr>
          <w:rFonts w:eastAsia="Times New Roman"/>
          <w:bCs/>
          <w:iCs/>
        </w:rPr>
      </w:pPr>
      <w:r>
        <w:rPr>
          <w:rFonts w:eastAsia="Times New Roman"/>
          <w:bCs/>
          <w:iCs/>
        </w:rPr>
        <w:t xml:space="preserve">- систематизировать, анализировать и обобщать неупорядоченную социальную информацию;</w:t>
      </w:r>
      <w:r/>
    </w:p>
    <w:p>
      <w:pPr>
        <w:pStyle w:val="940"/>
        <w:ind w:firstLine="708"/>
        <w:jc w:val="both"/>
        <w:rPr>
          <w:rFonts w:eastAsia="Times New Roman"/>
          <w:bCs/>
          <w:iCs/>
        </w:rPr>
      </w:pPr>
      <w:r>
        <w:rPr>
          <w:rFonts w:eastAsia="Times New Roman"/>
          <w:bCs/>
          <w:iCs/>
        </w:rPr>
        <w:t xml:space="preserve">-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r/>
    </w:p>
    <w:p>
      <w:pPr>
        <w:pStyle w:val="940"/>
        <w:ind w:firstLine="708"/>
        <w:jc w:val="both"/>
        <w:rPr>
          <w:rFonts w:eastAsia="Times New Roman"/>
          <w:bCs/>
          <w:iCs/>
        </w:rPr>
      </w:pPr>
      <w:r>
        <w:rPr>
          <w:rFonts w:eastAsia="Times New Roman"/>
          <w:bCs/>
          <w:iCs/>
        </w:rPr>
        <w:t xml:space="preserve">- объяснять внутренние </w:t>
      </w:r>
      <w:r>
        <w:rPr>
          <w:rFonts w:eastAsia="Times New Roman"/>
          <w:bCs/>
          <w:iCs/>
        </w:rPr>
        <w:t xml:space="preserve">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r/>
    </w:p>
    <w:p>
      <w:pPr>
        <w:pStyle w:val="940"/>
        <w:ind w:firstLine="708"/>
        <w:jc w:val="both"/>
        <w:rPr>
          <w:rFonts w:eastAsia="Times New Roman"/>
          <w:bCs/>
          <w:iCs/>
        </w:rPr>
      </w:pPr>
      <w:r>
        <w:rPr>
          <w:rFonts w:eastAsia="Times New Roman"/>
          <w:bCs/>
          <w:iCs/>
        </w:rPr>
        <w:t xml:space="preserve">- подготавливают творческую работу;</w:t>
      </w:r>
      <w:r/>
    </w:p>
    <w:p>
      <w:pPr>
        <w:pStyle w:val="940"/>
        <w:ind w:firstLine="708"/>
        <w:jc w:val="both"/>
        <w:rPr>
          <w:rFonts w:eastAsia="Times New Roman"/>
          <w:bCs/>
          <w:iCs/>
        </w:rPr>
      </w:pPr>
      <w:r>
        <w:rPr>
          <w:rFonts w:eastAsia="Times New Roman"/>
          <w:bCs/>
          <w:iCs/>
        </w:rPr>
        <w:t xml:space="preserve">- формулировать на основе приобретённых обществоведческих знаний собственные суждения и аргументы по определённым проблемам.</w:t>
      </w:r>
      <w:r/>
    </w:p>
    <w:p>
      <w:pPr>
        <w:pStyle w:val="940"/>
        <w:contextualSpacing/>
        <w:ind w:firstLine="708"/>
        <w:jc w:val="both"/>
        <w:spacing w:before="0" w:after="0"/>
        <w:rPr>
          <w:rFonts w:eastAsia="Times New Roman"/>
          <w:bCs/>
          <w:i/>
          <w:iCs/>
        </w:rPr>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ind w:firstLine="708"/>
        <w:jc w:val="both"/>
        <w:rPr>
          <w:rFonts w:eastAsia="Times New Roman"/>
          <w:bCs/>
          <w:iCs/>
        </w:rPr>
      </w:pPr>
      <w:r>
        <w:rPr>
          <w:rFonts w:eastAsia="Times New Roman"/>
          <w:bCs/>
          <w:iCs/>
        </w:rPr>
        <w:t xml:space="preserve">В 2020 г. учителям было рекомендовано использовать следующие пособия: </w:t>
      </w:r>
      <w:r/>
    </w:p>
    <w:p>
      <w:pPr>
        <w:pStyle w:val="940"/>
        <w:ind w:firstLine="708"/>
        <w:jc w:val="both"/>
        <w:rPr>
          <w:rFonts w:eastAsia="Times New Roman"/>
          <w:bCs/>
          <w:iCs/>
        </w:rPr>
      </w:pPr>
      <w:r>
        <w:rPr>
          <w:rFonts w:eastAsia="Times New Roman"/>
          <w:bCs/>
          <w:iCs/>
        </w:rPr>
        <w:t xml:space="preserve">- учебники из Федерального перечня;</w:t>
      </w:r>
      <w:r/>
    </w:p>
    <w:p>
      <w:pPr>
        <w:pStyle w:val="940"/>
        <w:ind w:firstLine="708"/>
        <w:jc w:val="both"/>
        <w:rPr>
          <w:rFonts w:eastAsia="Times New Roman"/>
          <w:bCs/>
          <w:iCs/>
        </w:rPr>
      </w:pPr>
      <w:r>
        <w:rPr>
          <w:rFonts w:eastAsia="Times New Roman"/>
          <w:bCs/>
          <w:iCs/>
        </w:rPr>
        <w:t xml:space="preserve">-  рабочую тетрадь для учащихся (сост. Котова О.А., Лискова Т.Е.), </w:t>
      </w:r>
      <w:r/>
    </w:p>
    <w:p>
      <w:pPr>
        <w:pStyle w:val="940"/>
        <w:ind w:firstLine="708"/>
        <w:jc w:val="both"/>
      </w:pPr>
      <w:r>
        <w:rPr>
          <w:rFonts w:eastAsia="Times New Roman"/>
          <w:bCs/>
          <w:iCs/>
        </w:rPr>
        <w:t xml:space="preserve">- О.А. Котова, Т.Е. Лискова. Обществознание. Модульный триактив-курс 10-11 класс, Обществознание. Модульный курс. Я сдам ЕГЭ: Рабочая тетрадь;</w:t>
      </w:r>
      <w:r/>
    </w:p>
    <w:p>
      <w:pPr>
        <w:pStyle w:val="940"/>
        <w:ind w:firstLine="708"/>
        <w:jc w:val="both"/>
        <w:rPr>
          <w:rFonts w:eastAsia="Times New Roman"/>
          <w:bCs/>
          <w:iCs/>
        </w:rPr>
      </w:pPr>
      <w:r>
        <w:rPr>
          <w:rFonts w:eastAsia="Times New Roman"/>
          <w:bCs/>
          <w:iCs/>
        </w:rPr>
        <w:t xml:space="preserve">- открытый банк заданий на сайте ФИПИ, следует отметить повышение качества выполнения некоторых заданий именно благодаря обращению к этому сайту.</w:t>
      </w:r>
      <w:r/>
    </w:p>
    <w:p>
      <w:pPr>
        <w:pStyle w:val="940"/>
        <w:ind w:firstLine="708"/>
        <w:jc w:val="both"/>
        <w:rPr>
          <w:rFonts w:eastAsia="Times New Roman"/>
          <w:bCs/>
          <w:iCs/>
        </w:rPr>
      </w:pPr>
      <w:r>
        <w:rPr>
          <w:rFonts w:eastAsia="Times New Roman"/>
          <w:bCs/>
          <w:iCs/>
        </w:rPr>
        <w:t xml:space="preserve">Анализируя резул</w:t>
      </w:r>
      <w:r>
        <w:rPr>
          <w:rFonts w:eastAsia="Times New Roman"/>
          <w:bCs/>
          <w:iCs/>
        </w:rPr>
        <w:t xml:space="preserve">ьтаты экзамена, можно отметить, что данная рекомендация была выполнена. Также было рекомендовано уделить внимание заданиям «Приведите примеры…». В целом, учащиеся понимают, как должны быть представлены примеры, алгоритм выполнения этих заданий правильный. </w:t>
      </w:r>
      <w:r/>
    </w:p>
    <w:p>
      <w:pPr>
        <w:pStyle w:val="940"/>
        <w:jc w:val="both"/>
      </w:pPr>
      <w:r>
        <w:rPr>
          <w:rFonts w:eastAsia="Times New Roman"/>
          <w:bCs/>
          <w:iCs/>
        </w:rPr>
        <w:t xml:space="preserve">  </w:t>
      </w:r>
      <w:r>
        <w:rPr>
          <w:rFonts w:eastAsia="Times New Roman"/>
          <w:bCs/>
          <w:iCs/>
        </w:rPr>
        <w:tab/>
        <w:t xml:space="preserve">- следует отметить, что большинство учеников знакомы с алгоритмом выполнения задания и критериями их оценивания, что так же свидетельствует о том, что в текущем году учителя прислушались к рекомендациям прошлого года. </w:t>
      </w:r>
      <w:r/>
    </w:p>
    <w:p>
      <w:pPr>
        <w:pStyle w:val="940"/>
        <w:ind w:firstLine="708"/>
        <w:jc w:val="both"/>
      </w:pPr>
      <w:r>
        <w:rPr>
          <w:rFonts w:eastAsia="Times New Roman"/>
          <w:bCs/>
          <w:iCs/>
        </w:rPr>
        <w:t xml:space="preserve">- положительная динамика выполнения 21 и 22 задания свидетельствует о том, что учителя включали в процесс подготовки к ЕГЭ задания на поиск информации, формируя, тем самым, умения работать с информацией;</w:t>
      </w:r>
      <w:r/>
    </w:p>
    <w:p>
      <w:pPr>
        <w:pStyle w:val="940"/>
        <w:ind w:firstLine="708"/>
        <w:jc w:val="both"/>
        <w:rPr>
          <w:rFonts w:eastAsia="Times New Roman"/>
          <w:bCs/>
          <w:iCs/>
        </w:rPr>
      </w:pPr>
      <w:r>
        <w:rPr>
          <w:rFonts w:eastAsia="Times New Roman"/>
          <w:bCs/>
          <w:iCs/>
        </w:rPr>
        <w:t xml:space="preserve">- некоторые учителя в социальных сетях создавали группы для подготовки к ЕГЭ, в которых происходил обмен примерами, интересными ссылками с материалами о различных фактах общественной жизни;</w:t>
      </w:r>
      <w:r/>
    </w:p>
    <w:p>
      <w:pPr>
        <w:pStyle w:val="940"/>
        <w:ind w:firstLine="708"/>
        <w:jc w:val="both"/>
        <w:rPr>
          <w:rFonts w:eastAsia="Times New Roman"/>
          <w:bCs/>
          <w:iCs/>
        </w:rPr>
      </w:pPr>
      <w:r>
        <w:rPr>
          <w:rFonts w:eastAsia="Times New Roman"/>
          <w:bCs/>
          <w:iCs/>
        </w:rPr>
        <w:t xml:space="preserve">- на протяжении учебного года эксперты принимали участие в работе методических объединений учителей истории и обществознания, обсуждая с ними типичные ошибки, разбирали работы, давали рекомендации.</w:t>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jc w:val="both"/>
        <w:rPr>
          <w:rFonts w:eastAsia="Times New Roman"/>
          <w:bCs/>
          <w:iCs/>
        </w:rPr>
      </w:pPr>
      <w:r>
        <w:rPr>
          <w:rFonts w:eastAsia="Times New Roman"/>
          <w:bCs/>
          <w:iCs/>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rPr>
      </w:pPr>
      <w:r>
        <w:rPr>
          <w:rFonts w:eastAsia="Times New Roman"/>
          <w:b/>
          <w:bCs/>
          <w:iCs/>
          <w:sz w:val="28"/>
          <w:szCs w:val="28"/>
        </w:rPr>
      </w:r>
      <w:r/>
    </w:p>
    <w:p>
      <w:pPr>
        <w:pStyle w:val="940"/>
        <w:contextualSpacing/>
        <w:jc w:val="center"/>
        <w:spacing w:before="0" w:after="0"/>
        <w:rPr>
          <w:rFonts w:eastAsia="Times New Roman"/>
          <w:b/>
          <w:bCs/>
          <w:iCs/>
          <w:sz w:val="28"/>
          <w:szCs w:val="28"/>
          <w:lang w:val="en-US"/>
        </w:rPr>
      </w:pPr>
      <w:r>
        <w:rPr>
          <w:rFonts w:eastAsia="Times New Roman"/>
          <w:b/>
          <w:bCs/>
          <w:iCs/>
          <w:sz w:val="28"/>
          <w:szCs w:val="28"/>
          <w:lang w:val="en-US"/>
        </w:rPr>
        <w:t xml:space="preserve">Раздел 4. РЕКОМЕНДАЦИИ ДЛЯ СИСТЕМЫ ОБРАЗОВАНИЯ СУБЪЕКТА РОССИЙСКОЙ ФЕДЕРАЦИИ</w:t>
      </w:r>
      <w:r/>
    </w:p>
    <w:p>
      <w:pPr>
        <w:pStyle w:val="940"/>
        <w:contextualSpacing/>
        <w:jc w:val="both"/>
        <w:spacing w:before="0" w:after="0"/>
        <w:rPr>
          <w:rFonts w:eastAsia="Times New Roman"/>
          <w:bCs/>
          <w:iCs/>
          <w:sz w:val="28"/>
          <w:szCs w:val="28"/>
          <w:lang w:val="en-US"/>
        </w:rPr>
      </w:pPr>
      <w:r>
        <w:rPr>
          <w:rFonts w:eastAsia="Times New Roman"/>
          <w:bCs/>
          <w:iCs/>
          <w:sz w:val="28"/>
          <w:szCs w:val="28"/>
          <w:lang w:val="en-US"/>
        </w:rPr>
      </w:r>
      <w:r/>
    </w:p>
    <w:p>
      <w:pPr>
        <w:pStyle w:val="940"/>
        <w:jc w:val="both"/>
        <w:keepLines/>
        <w:keepNext/>
        <w:spacing w:before="200" w:after="0"/>
      </w:pPr>
      <w:r>
        <w:rPr>
          <w:rFonts w:eastAsia="SimSun;宋体"/>
          <w:b/>
          <w:bCs/>
          <w:sz w:val="28"/>
        </w:rPr>
        <w:t xml:space="preserve">4.1. </w:t>
      </w:r>
      <w:r>
        <w:rPr>
          <w:rFonts w:eastAsia="SimSun;宋体"/>
          <w:b/>
          <w:bCs/>
          <w:sz w:val="28"/>
          <w:lang w:val="en-US"/>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numPr>
          <w:ilvl w:val="2"/>
          <w:numId w:val="27"/>
        </w:numPr>
        <w:ind w:left="567" w:firstLine="0"/>
        <w:jc w:val="both"/>
        <w:keepLines/>
        <w:keepNext/>
        <w:spacing w:before="200" w:after="0"/>
        <w:rPr>
          <w:rFonts w:eastAsia="SimSun;宋体"/>
          <w:sz w:val="28"/>
          <w:lang w:val="en-US"/>
        </w:rPr>
      </w:pPr>
      <w:r>
        <w:rPr>
          <w:rFonts w:eastAsia="SimSun;宋体"/>
          <w:sz w:val="28"/>
          <w:lang w:val="en-US"/>
        </w:rPr>
        <w:t xml:space="preserve">по совершенствованию преподавания учебного предмета всем обучающимся</w:t>
      </w:r>
      <w:r/>
    </w:p>
    <w:p>
      <w:pPr>
        <w:pStyle w:val="940"/>
        <w:jc w:val="both"/>
        <w:rPr>
          <w:rFonts w:eastAsia="Times New Roman"/>
          <w:bCs/>
          <w:iCs/>
          <w:sz w:val="28"/>
          <w:lang w:val="en-US"/>
        </w:rPr>
      </w:pPr>
      <w:r>
        <w:rPr>
          <w:rFonts w:eastAsia="Times New Roman"/>
          <w:bCs/>
          <w:iCs/>
          <w:sz w:val="28"/>
          <w:lang w:val="en-US"/>
        </w:rPr>
      </w:r>
      <w:r/>
    </w:p>
    <w:p>
      <w:pPr>
        <w:pStyle w:val="940"/>
        <w:ind w:firstLine="708"/>
        <w:jc w:val="both"/>
        <w:rPr>
          <w:rFonts w:eastAsia="Times New Roman"/>
          <w:bCs/>
          <w:iCs/>
        </w:rPr>
      </w:pPr>
      <w:r>
        <w:rPr>
          <w:rFonts w:eastAsia="Times New Roman"/>
          <w:bCs/>
          <w:iCs/>
        </w:rPr>
        <w:t xml:space="preserve">В связи с этим учителям:</w:t>
      </w:r>
      <w:r/>
    </w:p>
    <w:p>
      <w:pPr>
        <w:pStyle w:val="940"/>
        <w:ind w:firstLine="708"/>
        <w:jc w:val="both"/>
        <w:rPr>
          <w:rFonts w:eastAsia="Times New Roman"/>
          <w:bCs/>
          <w:iCs/>
        </w:rPr>
      </w:pPr>
      <w:r>
        <w:rPr>
          <w:rFonts w:eastAsia="Times New Roman"/>
          <w:bCs/>
          <w:iCs/>
        </w:rPr>
        <w:t xml:space="preserve">-  в первую очередь обратить внимание на то, как в учебниках из Федерального перечня раскрывается суть обществоведческих понятий:</w:t>
      </w:r>
      <w:r/>
    </w:p>
    <w:p>
      <w:pPr>
        <w:pStyle w:val="940"/>
        <w:ind w:firstLine="708"/>
        <w:jc w:val="both"/>
        <w:rPr>
          <w:rFonts w:eastAsia="Times New Roman"/>
          <w:bCs/>
          <w:iCs/>
        </w:rPr>
      </w:pPr>
      <w:r>
        <w:rPr>
          <w:rFonts w:eastAsia="Times New Roman"/>
          <w:bCs/>
          <w:iCs/>
        </w:rPr>
        <w:t xml:space="preserve">- необходимо более тщательно разбирать законодательные акты РФ (законы о гражданстве, АГС, кодексы, Конституцию), поскольку многие работы учеников свидетельствуют о низкой правоведческой эрудиции;</w:t>
      </w:r>
      <w:r/>
    </w:p>
    <w:p>
      <w:pPr>
        <w:pStyle w:val="940"/>
        <w:ind w:firstLine="708"/>
        <w:jc w:val="both"/>
      </w:pPr>
      <w:r>
        <w:rPr>
          <w:rFonts w:eastAsia="Times New Roman"/>
          <w:bCs/>
          <w:iCs/>
        </w:rPr>
        <w:t xml:space="preserve">- многими преподавателями часто игнорируются межпредметные связи. Одна из причин этого- разные последовательности изучения материала по обществознанию, географии, литературе в зависим</w:t>
      </w:r>
      <w:r>
        <w:rPr>
          <w:rFonts w:eastAsia="Times New Roman"/>
          <w:bCs/>
          <w:iCs/>
        </w:rPr>
        <w:t xml:space="preserve">ости от используемого УМК. Часто учителя вообще незнакомы с программами, тематическим планированием по смежным предметам. В результате, понятие, которое, например, изучалось на уроках географии, используется на уроках обществознания как новое для учеников;</w:t>
      </w:r>
      <w:r/>
    </w:p>
    <w:p>
      <w:pPr>
        <w:pStyle w:val="940"/>
        <w:ind w:firstLine="708"/>
        <w:jc w:val="both"/>
      </w:pPr>
      <w:r>
        <w:rPr>
          <w:rFonts w:eastAsia="Times New Roman"/>
          <w:bCs/>
          <w:iCs/>
        </w:rPr>
        <w:t xml:space="preserve">- особое внимание следует уделять заданиям «Приведите примеры….». Примеры должны быть конкретными, привязанными к определённому место, субъекту, ситуации (пример-конкретный факт, который имел место быть, исторические примеры; </w:t>
      </w:r>
      <w:r/>
    </w:p>
    <w:p>
      <w:pPr>
        <w:pStyle w:val="940"/>
        <w:ind w:firstLine="708"/>
        <w:jc w:val="both"/>
      </w:pPr>
      <w:r>
        <w:rPr>
          <w:rFonts w:eastAsia="Times New Roman"/>
          <w:bCs/>
          <w:iCs/>
        </w:rPr>
        <w:t xml:space="preserve">- наряду с обзором теоретической информации, учителя должны соотносить эти знания с уже имеющимся у учеников представлениями социального характера;</w:t>
      </w:r>
      <w:r/>
    </w:p>
    <w:p>
      <w:pPr>
        <w:pStyle w:val="940"/>
        <w:ind w:firstLine="708"/>
        <w:jc w:val="both"/>
        <w:rPr>
          <w:rFonts w:eastAsia="Times New Roman"/>
          <w:bCs/>
          <w:iCs/>
        </w:rPr>
      </w:pPr>
      <w:r>
        <w:rPr>
          <w:rFonts w:eastAsia="Times New Roman"/>
          <w:bCs/>
          <w:iCs/>
        </w:rPr>
        <w:t xml:space="preserve">- объяснять материал в проблемно-дискуссионном стиле, представлять различные точки зрения, создавая возможности для свободного обсуждения. Желательно, чтобы изучаемые понятия, идеи, теоретические положения иллюстрировались фактами общественной жизни, прим</w:t>
      </w:r>
      <w:r>
        <w:rPr>
          <w:rFonts w:eastAsia="Times New Roman"/>
          <w:bCs/>
          <w:iCs/>
        </w:rPr>
        <w:t xml:space="preserve">ерами из СМИ, других учебных предметов, использовались для анализа личного социального опыта школьников, (например, создавая группу в социальных сетях для подготовки к ЕГЭ, делиться интересными ссылками с материалами о различных фактах общественной жизни);</w:t>
      </w:r>
      <w:r/>
    </w:p>
    <w:p>
      <w:pPr>
        <w:pStyle w:val="940"/>
        <w:ind w:firstLine="708"/>
        <w:jc w:val="both"/>
        <w:rPr>
          <w:rFonts w:eastAsia="Times New Roman"/>
          <w:bCs/>
          <w:iCs/>
        </w:rPr>
      </w:pPr>
      <w:r>
        <w:rPr>
          <w:rFonts w:eastAsia="Times New Roman"/>
          <w:bCs/>
          <w:iCs/>
        </w:rPr>
        <w:t xml:space="preserve">-  учителям следует особое внимание уделить отдельным элементам содержания курса, показатели по которым из года в год традиционное низкие;</w:t>
      </w:r>
      <w:r/>
    </w:p>
    <w:p>
      <w:pPr>
        <w:pStyle w:val="940"/>
        <w:ind w:firstLine="708"/>
        <w:jc w:val="both"/>
        <w:rPr>
          <w:rFonts w:eastAsia="Times New Roman"/>
          <w:bCs/>
          <w:iCs/>
        </w:rPr>
      </w:pPr>
      <w:r>
        <w:rPr>
          <w:rFonts w:eastAsia="Times New Roman"/>
          <w:bCs/>
          <w:iCs/>
        </w:rPr>
        <w:t xml:space="preserve">- формировать умение осуществлять рефлексию над собственным социальным опытом; </w:t>
      </w:r>
      <w:r/>
    </w:p>
    <w:p>
      <w:pPr>
        <w:pStyle w:val="940"/>
        <w:ind w:firstLine="708"/>
        <w:jc w:val="both"/>
        <w:rPr>
          <w:rFonts w:eastAsia="Times New Roman"/>
          <w:bCs/>
          <w:iCs/>
        </w:rPr>
      </w:pPr>
      <w:r>
        <w:rPr>
          <w:rFonts w:eastAsia="Times New Roman"/>
          <w:bCs/>
          <w:iCs/>
        </w:rPr>
        <w:t xml:space="preserve">Рекомендуем использовать следующие материалы для подготовки к ЕГЭ: </w:t>
      </w:r>
      <w:r/>
    </w:p>
    <w:p>
      <w:pPr>
        <w:pStyle w:val="940"/>
        <w:ind w:firstLine="708"/>
        <w:jc w:val="both"/>
        <w:rPr>
          <w:rFonts w:eastAsia="Times New Roman"/>
          <w:bCs/>
          <w:iCs/>
        </w:rPr>
      </w:pPr>
      <w:r>
        <w:rPr>
          <w:rFonts w:eastAsia="Times New Roman"/>
          <w:bCs/>
          <w:iCs/>
        </w:rPr>
        <w:t xml:space="preserve">- учебники из Федерального перечня;</w:t>
      </w:r>
      <w:r/>
    </w:p>
    <w:p>
      <w:pPr>
        <w:pStyle w:val="940"/>
        <w:ind w:firstLine="708"/>
        <w:jc w:val="both"/>
        <w:rPr>
          <w:rFonts w:eastAsia="Times New Roman"/>
          <w:bCs/>
          <w:iCs/>
        </w:rPr>
      </w:pPr>
      <w:r>
        <w:rPr>
          <w:rFonts w:eastAsia="Times New Roman"/>
          <w:bCs/>
          <w:iCs/>
        </w:rPr>
        <w:t xml:space="preserve">-  рабочую тетрадь для учащихся (сост. Котова О.А., Лискова Т.Е.), </w:t>
      </w:r>
      <w:r/>
    </w:p>
    <w:p>
      <w:pPr>
        <w:pStyle w:val="940"/>
        <w:ind w:firstLine="708"/>
        <w:jc w:val="both"/>
      </w:pPr>
      <w:r>
        <w:rPr>
          <w:rFonts w:eastAsia="Times New Roman"/>
          <w:bCs/>
          <w:iCs/>
        </w:rPr>
        <w:t xml:space="preserve">- О.А. Котова, Т.Е. Лискова. Обществознание. Модульный триактив-курс 10-11 класс, Обществознание. Модульный курс. Я сдам ЕГЭ: Рабочая тетрадь;</w:t>
      </w:r>
      <w:r/>
    </w:p>
    <w:p>
      <w:pPr>
        <w:pStyle w:val="940"/>
        <w:ind w:firstLine="708"/>
        <w:jc w:val="both"/>
        <w:rPr>
          <w:rFonts w:eastAsia="Times New Roman"/>
          <w:bCs/>
          <w:iCs/>
        </w:rPr>
      </w:pPr>
      <w:r>
        <w:rPr>
          <w:rFonts w:eastAsia="Times New Roman"/>
          <w:bCs/>
          <w:iCs/>
        </w:rPr>
        <w:t xml:space="preserve">- открытый банк заданий на сайте ФИПИ, следует отметить повышение качества выполнения некоторых заданий именно благодаря обращению к этому сайту; </w:t>
      </w:r>
      <w:r/>
    </w:p>
    <w:p>
      <w:pPr>
        <w:pStyle w:val="940"/>
        <w:ind w:firstLine="708"/>
        <w:jc w:val="both"/>
        <w:rPr>
          <w:rFonts w:eastAsia="Times New Roman"/>
          <w:bCs/>
          <w:iCs/>
        </w:rPr>
      </w:pPr>
      <w:r>
        <w:rPr>
          <w:rFonts w:eastAsia="Times New Roman"/>
          <w:bCs/>
          <w:iCs/>
        </w:rPr>
        <w:t xml:space="preserve">- требуется внедрение в повседневную практику учебного процесса таких видов деятельности, вынесенных на ЕГЭ, как: анализ источников, обсуждение дискуссионных вопросов, связанных с определением собственной точки зрения, ее аргументации;</w:t>
      </w:r>
      <w:r/>
    </w:p>
    <w:p>
      <w:pPr>
        <w:pStyle w:val="940"/>
        <w:ind w:firstLine="708"/>
        <w:jc w:val="both"/>
        <w:rPr>
          <w:rFonts w:eastAsia="Times New Roman"/>
          <w:bCs/>
          <w:iCs/>
        </w:rPr>
      </w:pPr>
      <w:r>
        <w:rPr>
          <w:rFonts w:eastAsia="Times New Roman"/>
          <w:bCs/>
          <w:iCs/>
        </w:rPr>
        <w:t xml:space="preserve">- необходимо объяснять алгоритм выполнения каждого задания, приучать учеников четко структурировать свои ответы (эксперт не будет домысливать за школьника);</w:t>
      </w:r>
      <w:r/>
    </w:p>
    <w:p>
      <w:pPr>
        <w:pStyle w:val="940"/>
        <w:ind w:firstLine="708"/>
        <w:jc w:val="both"/>
      </w:pPr>
      <w:r>
        <w:rPr>
          <w:rFonts w:eastAsia="Times New Roman"/>
          <w:bCs/>
          <w:iCs/>
        </w:rPr>
        <w:t xml:space="preserve">- следует включать в процесс подготовки к ЕГЭ задания из различных учебных дисциплин, формируя, тем самым, межпредметные связи, что позволяет избежать однобокости при анализе явление или процессов, как настоящего, так и прошлого;</w:t>
      </w:r>
      <w:r/>
    </w:p>
    <w:p>
      <w:pPr>
        <w:pStyle w:val="940"/>
        <w:ind w:firstLine="708"/>
        <w:jc w:val="both"/>
      </w:pPr>
      <w:r>
        <w:rPr>
          <w:rFonts w:eastAsia="Times New Roman"/>
          <w:bCs/>
          <w:iCs/>
        </w:rPr>
        <w:t xml:space="preserve">- систематизировать социальный опыт школьников;</w:t>
      </w:r>
      <w:r/>
    </w:p>
    <w:p>
      <w:pPr>
        <w:pStyle w:val="940"/>
        <w:ind w:firstLine="708"/>
        <w:jc w:val="both"/>
        <w:rPr>
          <w:rFonts w:eastAsia="Times New Roman"/>
          <w:bCs/>
          <w:iCs/>
        </w:rPr>
      </w:pPr>
      <w:r>
        <w:rPr>
          <w:rFonts w:eastAsia="Times New Roman"/>
          <w:bCs/>
          <w:iCs/>
        </w:rPr>
        <w:t xml:space="preserve">- организовывать семинары для учителей, для подготовки к ЕГЭ, семинары с участием ведущих и старших экспертов;</w:t>
      </w:r>
      <w:r/>
    </w:p>
    <w:p>
      <w:pPr>
        <w:pStyle w:val="940"/>
        <w:ind w:firstLine="708"/>
        <w:jc w:val="both"/>
        <w:rPr>
          <w:rFonts w:eastAsia="Times New Roman"/>
          <w:bCs/>
          <w:iCs/>
        </w:rPr>
      </w:pPr>
      <w:r>
        <w:rPr>
          <w:rFonts w:eastAsia="Times New Roman"/>
          <w:bCs/>
          <w:iCs/>
        </w:rPr>
        <w:t xml:space="preserve">- использовать учениками для подготовки к ЕГЭ рубрику «Навигатор для подготовки к ЕГЭ» на сайте ФИПИ;</w:t>
      </w:r>
      <w:r/>
    </w:p>
    <w:p>
      <w:pPr>
        <w:pStyle w:val="940"/>
        <w:ind w:firstLine="708"/>
        <w:jc w:val="both"/>
        <w:rPr>
          <w:rFonts w:eastAsia="Times New Roman"/>
          <w:bCs/>
          <w:iCs/>
        </w:rPr>
      </w:pPr>
      <w:r>
        <w:rPr>
          <w:rFonts w:eastAsia="Times New Roman"/>
          <w:bCs/>
          <w:iCs/>
        </w:rPr>
        <w:t xml:space="preserve">- учителям при подготовке к экзамену школьников, использовать Методические рекомендации, разработанные федеральными экспертами;</w:t>
      </w:r>
      <w:r/>
    </w:p>
    <w:p>
      <w:pPr>
        <w:pStyle w:val="940"/>
        <w:ind w:firstLine="708"/>
        <w:jc w:val="both"/>
        <w:rPr>
          <w:rFonts w:eastAsia="Times New Roman"/>
          <w:bCs/>
          <w:iCs/>
        </w:rPr>
      </w:pPr>
      <w:r>
        <w:rPr>
          <w:rFonts w:eastAsia="Times New Roman"/>
          <w:bCs/>
          <w:iCs/>
        </w:rPr>
        <w:t xml:space="preserve">- проведение апробации ЕГЭ в феврале на уровне региона;</w:t>
      </w:r>
      <w:r/>
    </w:p>
    <w:p>
      <w:pPr>
        <w:pStyle w:val="940"/>
        <w:ind w:firstLine="708"/>
        <w:jc w:val="both"/>
      </w:pPr>
      <w:r>
        <w:rPr>
          <w:rFonts w:eastAsia="Times New Roman"/>
          <w:bCs/>
          <w:iCs/>
        </w:rPr>
        <w:t xml:space="preserve">- для эффективного преодоления низких результатов ЕГЭ по обществознанию в школах Астраханской </w:t>
      </w:r>
      <w:r>
        <w:rPr>
          <w:rFonts w:eastAsia="Times New Roman"/>
          <w:bCs/>
          <w:iCs/>
        </w:rPr>
        <w:t xml:space="preserve">области необходимо в системе внедрять современные технологии, например, проектную технологию (проектный метод реализуется на уроке через организацию деятельностного подхода; создание ситуации самостоятельности приобретения учащимися недостающих знаний из р</w:t>
      </w:r>
      <w:r>
        <w:rPr>
          <w:rFonts w:eastAsia="Times New Roman"/>
          <w:bCs/>
          <w:iCs/>
        </w:rPr>
        <w:t xml:space="preserve">азных источников). Возможно использование технологии критического мышления, обучающей школьников мыслительным умениям, позволяющим эффективно работать с информацией, принимать осмысленные решения, решать повседневные проблемы и взаимодействовать с окружающ</w:t>
      </w:r>
      <w:r>
        <w:rPr>
          <w:rFonts w:eastAsia="Times New Roman"/>
          <w:bCs/>
          <w:iCs/>
        </w:rPr>
        <w:t xml:space="preserve">им миром. Она позволяет найти ответ на вопрос: как научиться вести диалог с текстом? Технология хороша тем, что ребята учатся адаптироваться к меняющимся условиям, общаться, работать в диалоге, получать знания самостоятельно, брать на себя ответственность;</w:t>
      </w:r>
      <w:r/>
    </w:p>
    <w:p>
      <w:pPr>
        <w:pStyle w:val="940"/>
        <w:ind w:firstLine="708"/>
        <w:jc w:val="both"/>
        <w:rPr>
          <w:rFonts w:eastAsia="Times New Roman"/>
          <w:bCs/>
          <w:iCs/>
        </w:rPr>
      </w:pPr>
      <w:r>
        <w:rPr>
          <w:rFonts w:eastAsia="Times New Roman"/>
          <w:bCs/>
          <w:iCs/>
        </w:rPr>
        <w:t xml:space="preserve">- необходимо использовать </w:t>
      </w:r>
      <w:r>
        <w:rPr>
          <w:rFonts w:eastAsia="Times New Roman"/>
          <w:bCs/>
          <w:iCs/>
        </w:rPr>
        <w:t xml:space="preserve">различные методы и приемы работы с текстовой информацией на уроках. Работа с текстом параграфа учебника сегодня требует от учителя более продуманной работы. К эффективным методам работы с текстовой информацией необходимо отнести следующие методы и приемы: </w:t>
      </w:r>
      <w:r/>
    </w:p>
    <w:p>
      <w:pPr>
        <w:pStyle w:val="940"/>
        <w:ind w:firstLine="708"/>
        <w:jc w:val="both"/>
        <w:rPr>
          <w:rFonts w:eastAsia="Times New Roman"/>
          <w:bCs/>
          <w:iCs/>
        </w:rPr>
      </w:pPr>
      <w:r>
        <w:rPr>
          <w:rFonts w:eastAsia="Times New Roman"/>
          <w:bCs/>
          <w:iCs/>
        </w:rPr>
        <w:t xml:space="preserve">а) составление вопросов к тексту и ответы на них; комментированное, прерывистое чтение текста (применяется на уроках в среднем звене, используются различные виды деятельности:</w:t>
      </w:r>
      <w:r/>
    </w:p>
    <w:p>
      <w:pPr>
        <w:pStyle w:val="940"/>
        <w:ind w:firstLine="708"/>
        <w:jc w:val="both"/>
        <w:rPr>
          <w:rFonts w:eastAsia="Times New Roman"/>
          <w:bCs/>
          <w:iCs/>
        </w:rPr>
      </w:pPr>
      <w:r>
        <w:rPr>
          <w:rFonts w:eastAsia="Times New Roman"/>
          <w:bCs/>
          <w:iCs/>
        </w:rPr>
        <w:t xml:space="preserve">•</w:t>
      </w:r>
      <w:r>
        <w:rPr>
          <w:rFonts w:eastAsia="Times New Roman"/>
          <w:bCs/>
          <w:iCs/>
        </w:rPr>
        <w:tab/>
        <w:t xml:space="preserve">предположить, о чём пойдёт речь в следующем абзаце;</w:t>
      </w:r>
      <w:r/>
    </w:p>
    <w:p>
      <w:pPr>
        <w:pStyle w:val="940"/>
        <w:ind w:firstLine="708"/>
        <w:jc w:val="both"/>
        <w:rPr>
          <w:rFonts w:eastAsia="Times New Roman"/>
          <w:bCs/>
          <w:iCs/>
        </w:rPr>
      </w:pPr>
      <w:r>
        <w:rPr>
          <w:rFonts w:eastAsia="Times New Roman"/>
          <w:bCs/>
          <w:iCs/>
        </w:rPr>
        <w:t xml:space="preserve">•</w:t>
      </w:r>
      <w:r>
        <w:rPr>
          <w:rFonts w:eastAsia="Times New Roman"/>
          <w:bCs/>
          <w:iCs/>
        </w:rPr>
        <w:tab/>
        <w:t xml:space="preserve">сформулировать вопрос к следующему абзацу; предположить, на какой вопрос можно будет найти ответ в конце параграфа;</w:t>
      </w:r>
      <w:r/>
    </w:p>
    <w:p>
      <w:pPr>
        <w:pStyle w:val="940"/>
        <w:ind w:firstLine="708"/>
        <w:jc w:val="both"/>
        <w:rPr>
          <w:rFonts w:eastAsia="Times New Roman"/>
          <w:bCs/>
          <w:iCs/>
        </w:rPr>
      </w:pPr>
      <w:r>
        <w:rPr>
          <w:rFonts w:eastAsia="Times New Roman"/>
          <w:bCs/>
          <w:iCs/>
        </w:rPr>
        <w:t xml:space="preserve">•</w:t>
      </w:r>
      <w:r>
        <w:rPr>
          <w:rFonts w:eastAsia="Times New Roman"/>
          <w:bCs/>
          <w:iCs/>
        </w:rPr>
        <w:tab/>
        <w:t xml:space="preserve">схематически изобразить текстовую информацию, и т.п.;</w:t>
      </w:r>
      <w:r/>
    </w:p>
    <w:p>
      <w:pPr>
        <w:pStyle w:val="940"/>
        <w:ind w:firstLine="708"/>
        <w:jc w:val="both"/>
      </w:pPr>
      <w:r>
        <w:rPr>
          <w:rFonts w:eastAsia="Times New Roman"/>
          <w:bCs/>
          <w:iCs/>
        </w:rPr>
        <w:t xml:space="preserve">б) аналитическое чтение текста (при помощи метода «Пометки на полях» проанализировать текст учебника с помощью специальных условных обозначений.</w:t>
      </w:r>
      <w:r/>
    </w:p>
    <w:p>
      <w:pPr>
        <w:pStyle w:val="940"/>
        <w:ind w:firstLine="708"/>
        <w:jc w:val="both"/>
        <w:rPr>
          <w:rFonts w:eastAsia="Times New Roman"/>
          <w:bCs/>
          <w:iCs/>
        </w:rPr>
      </w:pPr>
      <w:r>
        <w:rPr>
          <w:rFonts w:eastAsia="Times New Roman"/>
          <w:bCs/>
          <w:iCs/>
        </w:rPr>
        <w:t xml:space="preserve">Например, тема вызывает инт</w:t>
      </w:r>
      <w:r>
        <w:rPr>
          <w:rFonts w:eastAsia="Times New Roman"/>
          <w:bCs/>
          <w:iCs/>
        </w:rPr>
        <w:t xml:space="preserve">ерес у учеников, располагает к общению и анализу. После прочтения идет проверка понимания текста: Каким значком вы пометили этот абзац? Почему именно этим значком? Какие слова выделены курсивом или жирным шрифтом? Как по-вашему, почему они выделены? и т.д.</w:t>
      </w:r>
      <w:r/>
    </w:p>
    <w:p>
      <w:pPr>
        <w:pStyle w:val="940"/>
        <w:ind w:firstLine="708"/>
        <w:jc w:val="both"/>
        <w:rPr>
          <w:rFonts w:eastAsia="Times New Roman"/>
          <w:bCs/>
          <w:iCs/>
        </w:rPr>
      </w:pPr>
      <w:r>
        <w:rPr>
          <w:rFonts w:eastAsia="Times New Roman"/>
          <w:bCs/>
          <w:iCs/>
        </w:rPr>
        <w:t xml:space="preserve">в) деление текста на смысловые части, выделение ключевого слова; составление тезисного плана; составление сравнительных таблиц (например, найдите сходства и отличия поведения животных и деятельности человека, линии сравнения выработать самостоятельно);</w:t>
      </w:r>
      <w:r/>
    </w:p>
    <w:p>
      <w:pPr>
        <w:pStyle w:val="940"/>
        <w:ind w:firstLine="708"/>
        <w:jc w:val="both"/>
        <w:rPr>
          <w:rFonts w:eastAsia="Times New Roman"/>
          <w:bCs/>
          <w:iCs/>
        </w:rPr>
      </w:pPr>
      <w:r>
        <w:rPr>
          <w:rFonts w:eastAsia="Times New Roman"/>
          <w:bCs/>
          <w:iCs/>
        </w:rPr>
        <w:t xml:space="preserve">г) подбор примеров из СМИ, различных источников, личного опыта, раскрывающих основные идеи текста; составление логической схемы.</w:t>
      </w:r>
      <w:r/>
    </w:p>
    <w:p>
      <w:pPr>
        <w:pStyle w:val="940"/>
        <w:ind w:firstLine="708"/>
        <w:jc w:val="both"/>
        <w:rPr>
          <w:rFonts w:eastAsia="Times New Roman"/>
          <w:bCs/>
          <w:iCs/>
        </w:rPr>
      </w:pPr>
      <w:r>
        <w:rPr>
          <w:rFonts w:eastAsia="Times New Roman"/>
          <w:bCs/>
          <w:iCs/>
        </w:rPr>
        <w:t xml:space="preserve">д) преобразование цифровой информации (графика, статистической таблицы, диаграммы) в собственный текст (сходно с заданиями ЕГЭ, где нужно анализируя данные графика, диаграммы, выбрать правильный ответ или составить вопросы к данным таблицы, диаграммы);</w:t>
      </w:r>
      <w:r/>
    </w:p>
    <w:p>
      <w:pPr>
        <w:pStyle w:val="940"/>
        <w:ind w:firstLine="708"/>
        <w:jc w:val="both"/>
        <w:rPr>
          <w:rFonts w:eastAsia="Times New Roman"/>
          <w:bCs/>
          <w:iCs/>
        </w:rPr>
      </w:pPr>
      <w:r>
        <w:rPr>
          <w:rFonts w:eastAsia="Times New Roman"/>
          <w:bCs/>
          <w:iCs/>
        </w:rPr>
        <w:t xml:space="preserve">е) восстановление деформированного текста (вставка пропущенных слов, исправление ошибок).</w:t>
      </w:r>
      <w:r/>
    </w:p>
    <w:p>
      <w:pPr>
        <w:pStyle w:val="940"/>
        <w:numPr>
          <w:ilvl w:val="2"/>
          <w:numId w:val="30"/>
        </w:numPr>
        <w:ind w:left="720" w:hanging="11"/>
        <w:jc w:val="both"/>
        <w:rPr>
          <w:rFonts w:eastAsia="SimSun;宋体"/>
          <w:sz w:val="28"/>
          <w:lang w:val="en-US"/>
        </w:rPr>
      </w:pPr>
      <w:r>
        <w:rPr>
          <w:rFonts w:eastAsia="SimSun;宋体"/>
          <w:sz w:val="28"/>
          <w:lang w:val="en-US"/>
        </w:rPr>
        <w:t xml:space="preserve">по организации дифференцированного обучения школьников с разными уровнями предметной подготовки</w:t>
      </w:r>
      <w:r/>
    </w:p>
    <w:p>
      <w:pPr>
        <w:pStyle w:val="940"/>
        <w:jc w:val="both"/>
        <w:rPr>
          <w:rFonts w:eastAsia="SimSun;宋体"/>
        </w:rPr>
      </w:pPr>
      <w:r>
        <w:rPr>
          <w:rFonts w:eastAsia="SimSun;宋体"/>
        </w:rPr>
      </w:r>
      <w:r/>
    </w:p>
    <w:p>
      <w:pPr>
        <w:pStyle w:val="940"/>
        <w:ind w:firstLine="708"/>
        <w:jc w:val="both"/>
        <w:rPr>
          <w:rFonts w:eastAsia="SimSun;宋体"/>
          <w:lang w:val="en-US"/>
        </w:rPr>
      </w:pPr>
      <w:r>
        <w:rPr>
          <w:rFonts w:eastAsia="SimSun;宋体"/>
          <w:lang w:val="en-US"/>
        </w:rPr>
        <w:t xml:space="preserve">Для организации дифференцированного обучения школьников на уроках обществознания необходимо включать задания в соответствие с познавательными, коммуникати</w:t>
      </w:r>
      <w:r>
        <w:rPr>
          <w:rFonts w:eastAsia="SimSun;宋体"/>
          <w:lang w:val="en-US"/>
        </w:rPr>
        <w:t xml:space="preserve">вными и творческими возможностями старшеклассников. Дифференциация учебных заданий по уровню творчества. Такой способ предполагает различия в характере познавательной деятельности школьников, которая может быть репродуктивной или продуктивной (творческой).</w:t>
      </w:r>
      <w:r/>
    </w:p>
    <w:p>
      <w:pPr>
        <w:pStyle w:val="940"/>
        <w:ind w:firstLine="708"/>
        <w:jc w:val="both"/>
        <w:rPr>
          <w:rFonts w:eastAsia="SimSun;宋体"/>
          <w:lang w:val="en-US"/>
        </w:rPr>
      </w:pPr>
      <w:r>
        <w:rPr>
          <w:rFonts w:eastAsia="SimSun;宋体"/>
          <w:lang w:val="en-US"/>
        </w:rPr>
        <w:t xml:space="preserve">К репродуктивным заданиям относятся, например, ответ на вопросы хорошо изученных тем. От учащихся требуется при этом воспроизведение знаний и их применение в привычной ситуации, работа по образцу, выполнение тренировочных упражнений.</w:t>
      </w:r>
      <w:r/>
    </w:p>
    <w:p>
      <w:pPr>
        <w:pStyle w:val="940"/>
        <w:ind w:firstLine="708"/>
        <w:jc w:val="both"/>
        <w:rPr>
          <w:rFonts w:eastAsia="SimSun;宋体"/>
          <w:lang w:val="en-US"/>
        </w:rPr>
      </w:pPr>
      <w:r>
        <w:rPr>
          <w:rFonts w:eastAsia="SimSun;宋体"/>
          <w:lang w:val="en-US"/>
        </w:rPr>
        <w:t xml:space="preserve">К продуктивным заданиям относятся упражнения, от</w:t>
      </w:r>
      <w:r>
        <w:rPr>
          <w:rFonts w:eastAsia="SimSun;宋体"/>
          <w:lang w:val="en-US"/>
        </w:rPr>
        <w:t xml:space="preserve">личающиеся от стандартных. Ученикам приходится применять знания в измененной или новой, незнакомой ситуации, осуществлять более сложные мыслительные действия. В процессе работы над продуктивными заданиями школьники приобретают опыт творческой деятельности.</w:t>
      </w:r>
      <w:r/>
    </w:p>
    <w:p>
      <w:pPr>
        <w:pStyle w:val="940"/>
        <w:ind w:firstLine="708"/>
        <w:jc w:val="both"/>
        <w:rPr>
          <w:rFonts w:eastAsia="SimSun;宋体"/>
          <w:lang w:val="en-US"/>
        </w:rPr>
      </w:pPr>
      <w:r>
        <w:rPr>
          <w:rFonts w:eastAsia="SimSun;宋体"/>
          <w:lang w:val="en-US"/>
        </w:rPr>
        <w:t xml:space="preserve">При работе по изучению нового материала  для учащихся с низ</w:t>
      </w:r>
      <w:r>
        <w:rPr>
          <w:rFonts w:eastAsia="SimSun;宋体"/>
          <w:lang w:val="en-US"/>
        </w:rPr>
        <w:t xml:space="preserve">кими учебными возможностями используется приём комментированного чтения, составление кластеров, со средними возможностями приём инсерт (пометки на полях), с высокими – анализ дополнительных текстов, выполнение творческих заданий (коллажи, эссе). На повтори</w:t>
      </w:r>
      <w:r>
        <w:rPr>
          <w:rFonts w:eastAsia="SimSun;宋体"/>
          <w:lang w:val="en-US"/>
        </w:rPr>
        <w:t xml:space="preserve">тельно-обобщающих уроках для первого уровня можно использовать задания, в которых нужно просто ответить «да» или «нет», дать определения понятий, для второго уровня подготовить проблемные задания, для выполнения которых используется дополнительная литерату</w:t>
      </w:r>
      <w:r>
        <w:rPr>
          <w:rFonts w:eastAsia="SimSun;宋体"/>
          <w:lang w:val="en-US"/>
        </w:rPr>
        <w:t xml:space="preserve">ра. Обучающиеся, отнесённые к третьему уровню, могут провести исследование практическое или теоретическое и сделать соответствующие выводы. Оправданы приёмы разноуровневых тестов, составления словарей понятий по теме; анализ литературных текстов различной </w:t>
      </w:r>
      <w:r>
        <w:rPr>
          <w:rFonts w:eastAsia="SimSun;宋体"/>
          <w:lang w:val="en-US"/>
        </w:rPr>
        <w:t xml:space="preserve">сложности; анализ высказываний, крылатых выражений, пословиц и поговорок; составление кластеров, схем и таблиц; выполнение творческих заданий; нахождение различного количества и сложности ошибок в тексте; объединение предложенных фраз одним понятием и т.д.</w:t>
      </w:r>
      <w:r/>
    </w:p>
    <w:p>
      <w:pPr>
        <w:pStyle w:val="940"/>
        <w:ind w:firstLine="708"/>
        <w:jc w:val="both"/>
        <w:rPr>
          <w:rFonts w:eastAsia="SimSun;宋体"/>
          <w:lang w:val="en-US"/>
        </w:rPr>
      </w:pPr>
      <w:r>
        <w:rPr>
          <w:rFonts w:eastAsia="SimSun;宋体"/>
          <w:lang w:val="en-US"/>
        </w:rPr>
        <w:t xml:space="preserve">Дифференцировать учебные задания можно по уровню трудности. Такой с</w:t>
      </w:r>
      <w:r>
        <w:rPr>
          <w:rFonts w:eastAsia="SimSun;宋体"/>
          <w:lang w:val="en-US"/>
        </w:rPr>
        <w:t xml:space="preserve">пособ дифференциации предполагает следующие виды усложнения заданий для наиболее подготовленных учащихся: усложнение материала, увеличение объёма изучаемого материала (увеличение количества пунктов заданий, самостоятельная работа по углубленному изучению).</w:t>
      </w:r>
      <w:r/>
    </w:p>
    <w:p>
      <w:pPr>
        <w:pStyle w:val="940"/>
        <w:ind w:firstLine="708"/>
        <w:jc w:val="both"/>
        <w:rPr>
          <w:rFonts w:eastAsia="SimSun;宋体"/>
          <w:lang w:val="en-US"/>
        </w:rPr>
      </w:pPr>
      <w:r>
        <w:rPr>
          <w:rFonts w:eastAsia="SimSun;宋体"/>
          <w:lang w:val="en-US"/>
        </w:rPr>
        <w:t xml:space="preserve">Возможно дифференцировать по объему учебного материала. Такой способ дифференциации предполагает, что учащиеся 2-й и 3-й групп выполняют кроме основного еще и дополнительное задание, аналогичное основному, однотипное с ним.</w:t>
      </w:r>
      <w:r/>
    </w:p>
    <w:p>
      <w:pPr>
        <w:pStyle w:val="940"/>
        <w:ind w:firstLine="708"/>
        <w:jc w:val="both"/>
        <w:rPr>
          <w:rFonts w:eastAsia="SimSun;宋体"/>
          <w:lang w:val="en-US"/>
        </w:rPr>
      </w:pPr>
      <w:r>
        <w:rPr>
          <w:rFonts w:eastAsia="SimSun;宋体"/>
          <w:lang w:val="en-US"/>
        </w:rPr>
        <w:t xml:space="preserve">Необходимость дифференциации заданий по объему обусловлена разным темпом работы учащихся. Медлительные дети, а также дети с низким уровнем обучаемости обычно не</w:t>
      </w:r>
      <w:r>
        <w:rPr>
          <w:rFonts w:eastAsia="SimSun;宋体"/>
          <w:lang w:val="en-US"/>
        </w:rPr>
        <w:t xml:space="preserve"> успевают выполнить самостоятельную работу к моменту ее фронтальной проверки в классе, им требуется на это дополнительное время. Остальные дети затрачивают это время на выполнение дополнительного задания, которое не является обязательным для всех учеников.</w:t>
      </w:r>
      <w:r/>
    </w:p>
    <w:p>
      <w:pPr>
        <w:pStyle w:val="940"/>
        <w:ind w:firstLine="708"/>
        <w:jc w:val="both"/>
        <w:rPr>
          <w:rFonts w:eastAsia="SimSun;宋体"/>
          <w:lang w:val="en-US"/>
        </w:rPr>
      </w:pPr>
      <w:r>
        <w:rPr>
          <w:rFonts w:eastAsia="SimSun;宋体"/>
          <w:lang w:val="en-US"/>
        </w:rPr>
        <w:t xml:space="preserve">Как правило, дифференциация по объему сочетается с другими способами дифференциации. В качестве дополнительных предлагаются творческие или более трудные задания, а также задания, не связанные по содер</w:t>
      </w:r>
      <w:r>
        <w:rPr>
          <w:rFonts w:eastAsia="SimSun;宋体"/>
          <w:lang w:val="en-US"/>
        </w:rPr>
        <w:t xml:space="preserve">жанию с основным, например, из других разделов программы. Дополнительными могут быть задания на смекалку, нестандартные задания игрового характера. Их можно индивидуализировать, предложив ученикам задания в виде карточек, кроссвордов, занимательных тестов.</w:t>
      </w:r>
      <w:r/>
    </w:p>
    <w:p>
      <w:pPr>
        <w:pStyle w:val="940"/>
        <w:numPr>
          <w:ilvl w:val="1"/>
          <w:numId w:val="30"/>
        </w:numPr>
        <w:jc w:val="both"/>
        <w:keepLines/>
        <w:keepNext/>
        <w:spacing w:before="200" w:after="0"/>
        <w:rPr>
          <w:rFonts w:eastAsia="SimSun;宋体"/>
          <w:b/>
          <w:bCs/>
          <w:sz w:val="28"/>
        </w:rPr>
      </w:pPr>
      <w:r>
        <w:rPr>
          <w:rFonts w:eastAsia="SimSun;宋体"/>
          <w:b/>
          <w:bCs/>
          <w:sz w:val="28"/>
          <w:lang w:val="en-US"/>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ind w:left="720" w:firstLine="0"/>
        <w:jc w:val="both"/>
        <w:keepLines/>
        <w:keepNext/>
        <w:spacing w:before="200" w:after="0"/>
        <w:rPr>
          <w:rFonts w:eastAsia="SimSun;宋体"/>
          <w:b/>
          <w:bCs/>
          <w:sz w:val="28"/>
        </w:rPr>
      </w:pPr>
      <w:r>
        <w:rPr>
          <w:rFonts w:eastAsia="SimSun;宋体"/>
          <w:b/>
          <w:bCs/>
          <w:sz w:val="28"/>
        </w:rPr>
      </w:r>
      <w:r/>
    </w:p>
    <w:p>
      <w:pPr>
        <w:pStyle w:val="940"/>
        <w:numPr>
          <w:ilvl w:val="0"/>
          <w:numId w:val="28"/>
        </w:numPr>
        <w:ind w:left="0" w:firstLine="0"/>
        <w:jc w:val="both"/>
        <w:keepLines/>
        <w:keepNext/>
        <w:rPr>
          <w:rFonts w:eastAsia="SimSun;宋体"/>
          <w:bCs/>
          <w:lang w:val="en-US"/>
        </w:rPr>
      </w:pPr>
      <w:r>
        <w:rPr>
          <w:rFonts w:eastAsia="SimSun;宋体"/>
          <w:bCs/>
          <w:lang w:val="en-US"/>
        </w:rPr>
        <w:t xml:space="preserve">Использование современных технологий преподавания обществознания для подготовки к ЕГЭ (из опыта работы).</w:t>
      </w:r>
      <w:r/>
    </w:p>
    <w:p>
      <w:pPr>
        <w:pStyle w:val="940"/>
        <w:numPr>
          <w:ilvl w:val="0"/>
          <w:numId w:val="28"/>
        </w:numPr>
        <w:ind w:left="0" w:firstLine="0"/>
        <w:jc w:val="both"/>
        <w:keepLines/>
        <w:keepNext/>
        <w:rPr>
          <w:rFonts w:eastAsia="SimSun;宋体"/>
          <w:bCs/>
          <w:lang w:val="en-US"/>
        </w:rPr>
      </w:pPr>
      <w:r>
        <w:rPr>
          <w:rFonts w:eastAsia="SimSun;宋体"/>
          <w:bCs/>
          <w:lang w:val="en-US"/>
        </w:rPr>
        <w:t xml:space="preserve">Методы и приемы работы с текстовой информацией на уроках обществознания.</w:t>
      </w:r>
      <w:r/>
    </w:p>
    <w:p>
      <w:pPr>
        <w:pStyle w:val="940"/>
        <w:numPr>
          <w:ilvl w:val="0"/>
          <w:numId w:val="28"/>
        </w:numPr>
        <w:ind w:left="0" w:firstLine="0"/>
        <w:jc w:val="both"/>
        <w:keepLines/>
        <w:keepNext/>
        <w:rPr>
          <w:rFonts w:eastAsia="SimSun;宋体"/>
          <w:bCs/>
          <w:lang w:val="en-US"/>
        </w:rPr>
      </w:pPr>
      <w:r>
        <w:rPr>
          <w:rFonts w:eastAsia="SimSun;宋体"/>
          <w:bCs/>
          <w:lang w:val="en-US"/>
        </w:rPr>
        <w:t xml:space="preserve">Формирование предметных, метапредметных умений на уроках обществознания.</w:t>
      </w:r>
      <w:r/>
    </w:p>
    <w:p>
      <w:pPr>
        <w:pStyle w:val="940"/>
        <w:numPr>
          <w:ilvl w:val="0"/>
          <w:numId w:val="28"/>
        </w:numPr>
        <w:ind w:left="0" w:firstLine="0"/>
        <w:jc w:val="both"/>
        <w:keepLines/>
        <w:keepNext/>
        <w:rPr>
          <w:rFonts w:eastAsia="SimSun;宋体"/>
          <w:bCs/>
          <w:lang w:val="en-US"/>
        </w:rPr>
      </w:pPr>
      <w:r>
        <w:rPr>
          <w:rFonts w:eastAsia="SimSun;宋体"/>
          <w:bCs/>
          <w:lang w:val="en-US"/>
        </w:rPr>
        <w:t xml:space="preserve">Организация дифференцированного обучение школьников с различными уровнями предметной подготовки  на уроках обществознания.</w:t>
      </w:r>
      <w:r/>
    </w:p>
    <w:p>
      <w:pPr>
        <w:pStyle w:val="940"/>
        <w:jc w:val="both"/>
        <w:keepLines/>
        <w:keepNext/>
        <w:rPr>
          <w:rFonts w:eastAsia="SimSun;宋体"/>
          <w:bCs/>
          <w:lang w:val="en-US"/>
        </w:rPr>
      </w:pPr>
      <w:r>
        <w:rPr>
          <w:rFonts w:eastAsia="SimSun;宋体"/>
          <w:bCs/>
          <w:lang w:val="en-US"/>
        </w:rPr>
      </w:r>
      <w:r/>
    </w:p>
    <w:p>
      <w:pPr>
        <w:pStyle w:val="940"/>
        <w:jc w:val="both"/>
        <w:rPr>
          <w:rFonts w:eastAsia="SimSun;宋体"/>
          <w:b/>
          <w:bCs/>
          <w:sz w:val="28"/>
        </w:rPr>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jc w:val="both"/>
        <w:rPr>
          <w:rFonts w:eastAsia="SimSun;宋体"/>
          <w:b/>
          <w:bCs/>
          <w:sz w:val="28"/>
        </w:rPr>
      </w:pPr>
      <w:r>
        <w:rPr>
          <w:rFonts w:eastAsia="SimSun;宋体"/>
          <w:b/>
          <w:bCs/>
          <w:sz w:val="28"/>
        </w:rPr>
      </w:r>
      <w:r/>
    </w:p>
    <w:p>
      <w:pPr>
        <w:pStyle w:val="940"/>
        <w:jc w:val="both"/>
        <w:rPr>
          <w:sz w:val="28"/>
          <w:szCs w:val="28"/>
        </w:rPr>
      </w:pPr>
      <w:r/>
      <w:hyperlink r:id="rId39" w:tooltip="http://minobr.astrobl.ru/osnovnaya-stranica/informacionnye-materialy" w:history="1">
        <w:r>
          <w:rPr>
            <w:rStyle w:val="1382"/>
            <w:sz w:val="28"/>
            <w:szCs w:val="28"/>
          </w:rPr>
          <w:t xml:space="preserve">http://minobr.astrobl.ru/osnovnaya-stranica/informacionnye-materialy</w:t>
        </w:r>
      </w:hyperlink>
      <w:r/>
      <w:r/>
    </w:p>
    <w:p>
      <w:pPr>
        <w:pStyle w:val="940"/>
        <w:jc w:val="both"/>
        <w:rPr>
          <w:sz w:val="28"/>
          <w:szCs w:val="28"/>
        </w:rPr>
      </w:pPr>
      <w:r>
        <w:rPr>
          <w:rFonts w:eastAsia="Times New Roman"/>
          <w:sz w:val="28"/>
          <w:szCs w:val="28"/>
        </w:rPr>
        <w:t xml:space="preserve"> </w:t>
      </w:r>
      <w:r/>
    </w:p>
    <w:p>
      <w:pPr>
        <w:pStyle w:val="940"/>
        <w:jc w:val="both"/>
        <w:rPr>
          <w:sz w:val="28"/>
          <w:szCs w:val="28"/>
        </w:rPr>
      </w:pPr>
      <w:r>
        <w:rPr>
          <w:sz w:val="28"/>
          <w:szCs w:val="28"/>
        </w:r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keepLines/>
        <w:keepNext/>
        <w:spacing w:before="200" w:after="0"/>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numPr>
          <w:ilvl w:val="0"/>
          <w:numId w:val="30"/>
        </w:numPr>
        <w:ind w:left="0" w:firstLine="0"/>
        <w:keepLines/>
        <w:keepNext/>
        <w:spacing w:before="200" w:after="0"/>
        <w:rPr>
          <w:rFonts w:eastAsia="SimSun;宋体"/>
          <w:b/>
          <w:bCs/>
          <w:vanish/>
          <w:sz w:val="28"/>
          <w:lang w:val="en-US"/>
        </w:rPr>
      </w:pPr>
      <w:r>
        <w:rPr>
          <w:rFonts w:eastAsia="SimSun;宋体"/>
          <w:b/>
          <w:bCs/>
          <w:vanish/>
          <w:sz w:val="28"/>
          <w:lang w:val="en-US"/>
        </w:rPr>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jc w:val="right"/>
        <w:keepNext/>
        <w:spacing w:before="0" w:after="200"/>
        <w:rPr>
          <w:bCs/>
          <w:i/>
          <w:sz w:val="18"/>
          <w:szCs w:val="18"/>
          <w:lang w:val="en-US"/>
        </w:rPr>
      </w:pPr>
      <w:r>
        <w:rPr>
          <w:bCs/>
          <w:i/>
          <w:sz w:val="18"/>
          <w:szCs w:val="18"/>
          <w:lang w:val="en-US"/>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(обществознание)</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обществознания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rPr>
                <w:lang w:eastAsia="en-US"/>
              </w:rPr>
              <w:t xml:space="preserve">В процессе анализа и обсуждения результатов ЕГЭ – 11 в </w:t>
            </w:r>
            <w:r>
              <w:rPr>
                <w:lang w:eastAsia="en-US"/>
              </w:rPr>
              <w:t xml:space="preserve">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обществознанию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обществознанию.</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обществознанию.</w:t>
            </w:r>
            <w:r/>
          </w:p>
          <w:p>
            <w:pPr>
              <w:pStyle w:val="940"/>
            </w:pPr>
            <w:r>
              <w:t xml:space="preserve">Разработаны рекомендации по изменению программы повышения квалификации учителей обществознания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w:t>
            </w:r>
            <w:r>
              <w:t xml:space="preserve">изация семинаров и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(обществознание)</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pPr>
            <w:r>
              <w:rPr>
                <w:lang w:eastAsia="en-US"/>
              </w:rPr>
              <w:t xml:space="preserve">40 человек, семинар, члены предметной комиссии, учителя обществознания</w:t>
            </w:r>
            <w:r/>
          </w:p>
        </w:tc>
        <w:tc>
          <w:tcPr>
            <w:tcBorders>
              <w:top w:val="single" w:color="000000" w:sz="4" w:space="0"/>
              <w:left w:val="single" w:color="000000" w:sz="4" w:space="0"/>
              <w:bottom w:val="single" w:color="000000" w:sz="4" w:space="0"/>
              <w:right w:val="single" w:color="000000" w:sz="4" w:space="0"/>
            </w:tcBorders>
            <w:tcW w:w="2591" w:type="dxa"/>
            <w:textDirection w:val="lrTb"/>
            <w:noWrap w:val="false"/>
          </w:tcPr>
          <w:p>
            <w:pPr>
              <w:pStyle w:val="940"/>
              <w:jc w:val="both"/>
              <w:spacing w:before="0" w:after="160" w:line="254" w:lineRule="auto"/>
              <w:rPr>
                <w:lang w:eastAsia="en-US"/>
              </w:rPr>
            </w:pPr>
            <w:r>
              <w:rPr>
                <w:lang w:eastAsia="en-US"/>
              </w:rPr>
              <w:t xml:space="preserve">Проведение семинара обеспечило: </w:t>
            </w:r>
            <w:r/>
          </w:p>
          <w:p>
            <w:pPr>
              <w:pStyle w:val="940"/>
              <w:numPr>
                <w:ilvl w:val="0"/>
                <w:numId w:val="41"/>
              </w:numPr>
              <w:contextualSpacing/>
              <w:ind w:left="0" w:firstLine="34"/>
              <w:jc w:val="both"/>
              <w:spacing w:before="0" w:after="200" w:line="276" w:lineRule="auto"/>
            </w:pPr>
            <w:r>
              <w:t xml:space="preserve">понимание участниками роли ГИА – 11 в контексте общероссийской системы оценки качества образования;</w:t>
            </w:r>
            <w:r/>
          </w:p>
          <w:p>
            <w:pPr>
              <w:pStyle w:val="940"/>
              <w:jc w:val="both"/>
              <w:spacing w:before="0" w:after="160" w:line="254" w:lineRule="auto"/>
            </w:pPr>
            <w:r>
              <w:rPr>
                <w:lang w:eastAsia="en-US"/>
              </w:rPr>
              <w:t xml:space="preserve">•</w:t>
            </w:r>
            <w:r>
              <w:rPr>
                <w:lang w:eastAsia="en-US"/>
              </w:rP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образ</w:t>
            </w:r>
            <w:r>
              <w:rPr>
                <w:lang w:eastAsia="en-US"/>
              </w:rPr>
              <w:t xml:space="preserve">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обществознанию;</w:t>
            </w:r>
            <w:r/>
          </w:p>
          <w:p>
            <w:pPr>
              <w:pStyle w:val="940"/>
              <w:jc w:val="both"/>
              <w:spacing w:before="0" w:after="160" w:line="254" w:lineRule="auto"/>
            </w:pPr>
            <w:r>
              <w:rPr>
                <w:lang w:eastAsia="en-US"/>
              </w:rPr>
              <w:t xml:space="preserve">•</w:t>
            </w:r>
            <w:r>
              <w:rPr>
                <w:lang w:eastAsia="en-US"/>
              </w:rPr>
              <w:tab/>
              <w:t xml:space="preserve">формированию у них представления о структуре и содержании  КИМ по обществознанию; назначении заданий различного типа (с кратким ответом, с развернутым ответом), принципах и методах их разработки;</w:t>
            </w:r>
            <w:r/>
          </w:p>
          <w:p>
            <w:pPr>
              <w:pStyle w:val="940"/>
              <w:jc w:val="both"/>
              <w:spacing w:before="0" w:after="160" w:line="254" w:lineRule="auto"/>
              <w:rPr>
                <w:lang w:eastAsia="en-US"/>
              </w:rPr>
            </w:pPr>
            <w:r>
              <w:rPr>
                <w:lang w:eastAsia="en-US"/>
              </w:rPr>
              <w:t xml:space="preserve">а также развитию у участников следующих умений: </w:t>
            </w:r>
            <w:r/>
          </w:p>
          <w:p>
            <w:pPr>
              <w:pStyle w:val="940"/>
              <w:jc w:val="both"/>
              <w:spacing w:before="0" w:after="160" w:line="254" w:lineRule="auto"/>
              <w:rPr>
                <w:lang w:eastAsia="en-US"/>
              </w:rPr>
            </w:pPr>
            <w:r>
              <w:rPr>
                <w:lang w:eastAsia="en-US"/>
              </w:rPr>
              <w:t xml:space="preserve">‒</w:t>
            </w:r>
            <w:r>
              <w:rPr>
                <w:lang w:eastAsia="en-US"/>
              </w:rP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jc w:val="both"/>
              <w:spacing w:before="0" w:after="160" w:line="254" w:lineRule="auto"/>
              <w:rPr>
                <w:lang w:eastAsia="en-US"/>
              </w:rPr>
            </w:pPr>
            <w:r>
              <w:rPr>
                <w:lang w:eastAsia="en-US"/>
              </w:rPr>
              <w:t xml:space="preserve">‒</w:t>
            </w:r>
            <w:r>
              <w:rPr>
                <w:lang w:eastAsia="en-US"/>
              </w:rPr>
              <w:tab/>
              <w:t xml:space="preserve">проверять и объективно оценивать ответы выпускников на задания с развернутым ответом;</w:t>
            </w:r>
            <w:r/>
          </w:p>
          <w:p>
            <w:pPr>
              <w:pStyle w:val="940"/>
              <w:jc w:val="both"/>
              <w:spacing w:before="0" w:after="160" w:line="254" w:lineRule="auto"/>
              <w:rPr>
                <w:lang w:eastAsia="en-US"/>
              </w:rPr>
            </w:pPr>
            <w:r>
              <w:rPr>
                <w:lang w:eastAsia="en-US"/>
              </w:rPr>
              <w:t xml:space="preserve">‒</w:t>
            </w:r>
            <w:r>
              <w:rPr>
                <w:lang w:eastAsia="en-US"/>
              </w:rPr>
              <w:tab/>
              <w:t xml:space="preserve">оформлять результаты проверки, соблюдая установленные технические требования </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обществознания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включа</w:t>
            </w:r>
            <w:r>
              <w:t xml:space="preserve">ют вопросы обновления технологий и содержания обучения русскому языку и литературе/ истории/ обществознанию/ географии/ математике/ обществознанию  и астрономии/ химии и др. в соответствии с концепциями преподавания учебных предметов (предметных областей).</w:t>
            </w:r>
            <w:r/>
          </w:p>
        </w:tc>
      </w:tr>
    </w:tbl>
    <w:p>
      <w:pPr>
        <w:pStyle w:val="940"/>
        <w:keepNext/>
        <w:spacing w:before="0" w:after="200"/>
        <w:rPr>
          <w:bCs/>
          <w:sz w:val="18"/>
          <w:szCs w:val="18"/>
        </w:rPr>
      </w:pPr>
      <w:r>
        <w:rPr>
          <w:bCs/>
          <w:sz w:val="18"/>
          <w:szCs w:val="18"/>
        </w:rPr>
      </w:r>
      <w:r/>
    </w:p>
    <w:p>
      <w:pPr>
        <w:pStyle w:val="940"/>
        <w:numPr>
          <w:ilvl w:val="1"/>
          <w:numId w:val="67"/>
        </w:numPr>
        <w:keepLines/>
        <w:keepNext/>
        <w:spacing w:before="200" w:after="0"/>
      </w:pPr>
      <w:r>
        <w:rPr>
          <w:rFonts w:eastAsia="Times New Roman"/>
          <w:b/>
          <w:bCs/>
          <w:sz w:val="28"/>
        </w:rPr>
        <w:t xml:space="preserve"> </w:t>
      </w:r>
      <w:r>
        <w:rPr>
          <w:rFonts w:eastAsia="SimSun;宋体"/>
          <w:b/>
          <w:bCs/>
          <w:sz w:val="28"/>
          <w:lang w:val="en-US"/>
        </w:rPr>
        <w:t xml:space="preserve">Предложения в дорожную карту на 2021-2022 учебный год</w:t>
      </w:r>
      <w:r/>
    </w:p>
    <w:p>
      <w:pPr>
        <w:pStyle w:val="940"/>
        <w:ind w:left="567" w:firstLine="0"/>
        <w:jc w:val="both"/>
        <w:keepLines/>
        <w:keepNext/>
        <w:spacing w:before="200" w:after="0"/>
      </w:pPr>
      <w:r>
        <w:rPr>
          <w:rFonts w:eastAsia="SimSun;宋体"/>
          <w:b/>
          <w:bCs/>
          <w:sz w:val="28"/>
        </w:rPr>
        <w:t xml:space="preserve">5.2.1.</w:t>
      </w:r>
      <w:r>
        <w:rPr>
          <w:rFonts w:eastAsia="SimSun;宋体"/>
          <w:bCs/>
          <w:sz w:val="28"/>
        </w:rPr>
        <w:t xml:space="preserve"> </w:t>
      </w: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обществознания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учителей обществознания),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обществознания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ind w:left="567" w:firstLine="0"/>
        <w:jc w:val="both"/>
        <w:keepLines/>
        <w:keepNext/>
        <w:spacing w:before="200" w:after="0"/>
      </w:pPr>
      <w:r>
        <w:rPr>
          <w:rFonts w:eastAsia="SimSun;宋体"/>
          <w:b/>
          <w:bCs/>
          <w:sz w:val="28"/>
        </w:rPr>
        <w:t xml:space="preserve">5.2.2.</w:t>
      </w:r>
      <w:r>
        <w:rPr>
          <w:rFonts w:eastAsia="SimSun;宋体"/>
          <w:bCs/>
          <w:sz w:val="28"/>
        </w:rPr>
        <w:t xml:space="preserve"> </w:t>
      </w: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3"/>
        <w:gridCol w:w="799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открытых заседаний предметных секций рег</w:t>
            </w:r>
            <w:r>
              <w:t xml:space="preserve">ионального учебно-методического объединения с участием председателей предметных комиссий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Обновление содержания обучения обществознанию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«Анализ типичных затруднений выпускников при выполнении заданий ЕГЭ по обществознанию в 2021 году»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Январь</w:t>
            </w:r>
            <w:r/>
          </w:p>
          <w:p>
            <w:pPr>
              <w:pStyle w:val="940"/>
              <w:contextualSpacing/>
              <w:spacing w:before="0" w:after="0"/>
            </w:pPr>
            <w:r>
              <w:t xml:space="preserve">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«Теоретические и практические подходы подготовки к ГИА по обществознанию с учетом типичных ошибок обучающихся»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Март</w:t>
            </w:r>
            <w:r/>
          </w:p>
          <w:p>
            <w:pPr>
              <w:pStyle w:val="940"/>
              <w:contextualSpacing/>
              <w:spacing w:before="0" w:after="0"/>
            </w:pPr>
            <w:r>
              <w:t xml:space="preserve">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«Подготовка обучающихся к выполнению заданий ГИА – 11 по экономике»</w:t>
            </w:r>
            <w:r/>
          </w:p>
        </w:tc>
      </w:tr>
    </w:tbl>
    <w:p>
      <w:pPr>
        <w:pStyle w:val="940"/>
        <w:keepNext/>
        <w:spacing w:before="0" w:after="200"/>
        <w:rPr>
          <w:bCs/>
          <w:sz w:val="18"/>
          <w:szCs w:val="18"/>
        </w:rPr>
      </w:pPr>
      <w:r>
        <w:rPr>
          <w:bCs/>
          <w:sz w:val="18"/>
          <w:szCs w:val="18"/>
        </w:rPr>
      </w:r>
      <w:r/>
    </w:p>
    <w:p>
      <w:pPr>
        <w:pStyle w:val="940"/>
        <w:jc w:val="both"/>
        <w:keepLines/>
        <w:keepNext/>
        <w:spacing w:before="200" w:after="0"/>
      </w:pPr>
      <w:r>
        <w:rPr>
          <w:rFonts w:eastAsia="SimSun;宋体"/>
          <w:b/>
          <w:bCs/>
          <w:sz w:val="28"/>
        </w:rPr>
        <w:t xml:space="preserve">5.2.3.</w:t>
      </w:r>
      <w:r>
        <w:rPr>
          <w:rFonts w:eastAsia="SimSun;宋体"/>
          <w:bCs/>
          <w:sz w:val="28"/>
        </w:rPr>
        <w:t xml:space="preserve"> </w:t>
      </w: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keepLines/>
        <w:keepNext/>
      </w:pPr>
      <w:r>
        <w:rPr>
          <w:rFonts w:eastAsia="SimSun;宋体"/>
          <w:bCs/>
          <w:lang w:val="en-US"/>
        </w:rPr>
        <w:t xml:space="preserve">Не планируются</w:t>
      </w:r>
      <w:r>
        <w:rPr>
          <w:rFonts w:eastAsia="SimSun;宋体"/>
          <w:bCs/>
        </w:rPr>
        <w:t xml:space="preserve">.</w:t>
      </w:r>
      <w:r/>
    </w:p>
    <w:p>
      <w:pPr>
        <w:pStyle w:val="940"/>
        <w:ind w:firstLine="708"/>
        <w:jc w:val="both"/>
        <w:keepLines/>
        <w:keepNext/>
        <w:spacing w:before="200" w:after="0"/>
      </w:pPr>
      <w:r>
        <w:rPr>
          <w:rFonts w:eastAsia="SimSun;宋体"/>
          <w:b/>
          <w:bCs/>
          <w:sz w:val="28"/>
        </w:rPr>
        <w:t xml:space="preserve">5.2.4.</w:t>
      </w:r>
      <w:r>
        <w:rPr>
          <w:rFonts w:eastAsia="SimSun;宋体"/>
          <w:bCs/>
          <w:sz w:val="28"/>
        </w:rPr>
        <w:t xml:space="preserve"> </w:t>
      </w: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lang w:val="en-US"/>
        </w:rPr>
      </w:pPr>
      <w:r>
        <w:rPr>
          <w:bCs/>
          <w:i/>
          <w:sz w:val="18"/>
          <w:szCs w:val="18"/>
          <w:lang w:val="en-US"/>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13"/>
        <w:gridCol w:w="803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jc w:val="center"/>
              <w:spacing w:before="0" w:after="0"/>
              <w:rPr>
                <w:lang w:eastAsia="en-US"/>
              </w:rPr>
            </w:pPr>
            <w:r>
              <w:rPr>
                <w:lang w:eastAsia="en-US"/>
              </w:rPr>
              <w:t xml:space="preserve">Дата</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обществознанию ,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Выступления учителей обществознания,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обществознания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ноябрь 2021,</w:t>
            </w:r>
            <w:r/>
          </w:p>
          <w:p>
            <w:pPr>
              <w:pStyle w:val="940"/>
              <w:contextualSpacing/>
              <w:spacing w:before="0" w:after="0"/>
              <w:rPr>
                <w:sz w:val="23"/>
                <w:szCs w:val="23"/>
              </w:rPr>
            </w:pPr>
            <w:r>
              <w:rPr>
                <w:sz w:val="23"/>
                <w:szCs w:val="23"/>
              </w:rPr>
              <w:t xml:space="preserve">март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«Подготовка к государственной итоговой аттестации выпускников по обществознанию: проблемы и решения» (из опыта работы)</w:t>
            </w:r>
            <w:r/>
          </w:p>
        </w:tc>
      </w:tr>
    </w:tbl>
    <w:p>
      <w:pPr>
        <w:pStyle w:val="940"/>
        <w:keepNext/>
        <w:spacing w:before="0" w:after="200"/>
        <w:rPr>
          <w:bCs/>
          <w:sz w:val="18"/>
          <w:szCs w:val="18"/>
        </w:rPr>
      </w:pPr>
      <w:r>
        <w:rPr>
          <w:bCs/>
          <w:sz w:val="18"/>
          <w:szCs w:val="18"/>
        </w:rPr>
      </w:r>
      <w:r/>
    </w:p>
    <w:p>
      <w:pPr>
        <w:pStyle w:val="940"/>
        <w:keepLines/>
        <w:keepNext/>
        <w:spacing w:before="200" w:after="0"/>
      </w:pPr>
      <w:r>
        <w:rPr>
          <w:rFonts w:eastAsia="SimSun;宋体"/>
          <w:b/>
          <w:bCs/>
          <w:sz w:val="28"/>
        </w:rPr>
        <w:t xml:space="preserve">5.2.5.</w:t>
      </w:r>
      <w:r>
        <w:rPr>
          <w:rFonts w:eastAsia="SimSun;宋体"/>
          <w:bCs/>
          <w:sz w:val="28"/>
        </w:rPr>
        <w:t xml:space="preserve"> </w:t>
      </w:r>
      <w:r>
        <w:rPr>
          <w:rFonts w:eastAsia="SimSun;宋体"/>
          <w:bCs/>
          <w:sz w:val="28"/>
          <w:lang w:val="en-US"/>
        </w:rPr>
        <w:t xml:space="preserve">Работа по другим направлениям</w:t>
      </w:r>
      <w:r/>
    </w:p>
    <w:p>
      <w:pPr>
        <w:pStyle w:val="940"/>
        <w:jc w:val="both"/>
        <w:keepLines/>
        <w:keepNext/>
        <w:rPr>
          <w:rFonts w:eastAsia="SimSun;宋体"/>
          <w:bCs/>
        </w:rPr>
      </w:pPr>
      <w:r>
        <w:rPr>
          <w:rFonts w:eastAsia="SimSun;宋体"/>
          <w:bCs/>
        </w:rPr>
      </w:r>
      <w:r/>
    </w:p>
    <w:p>
      <w:pPr>
        <w:pStyle w:val="940"/>
        <w:ind w:firstLine="708"/>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«Обществознание»</w:t>
      </w:r>
      <w:r/>
    </w:p>
    <w:p>
      <w:pPr>
        <w:pStyle w:val="940"/>
        <w:ind w:right="-1" w:firstLine="708"/>
        <w:jc w:val="both"/>
        <w:spacing w:line="360" w:lineRule="auto"/>
        <w:rPr>
          <w:sz w:val="28"/>
          <w:szCs w:val="28"/>
        </w:rPr>
      </w:pPr>
      <w:r>
        <w:rPr>
          <w:sz w:val="28"/>
          <w:szCs w:val="28"/>
        </w:rPr>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41"/>
        <w:gridCol w:w="3020"/>
        <w:gridCol w:w="3202"/>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rPr>
                <w:iCs/>
              </w:rPr>
            </w:pPr>
            <w:r>
              <w:rPr>
                <w:iCs/>
              </w:rPr>
              <w:t xml:space="preserve">Председатель предметной комиссии</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Кудряшова Юлия Александровна, ФГБОУ ВО «Астраханский государственный университет», доцент кафедры зарубежной истории и регионоведения, к.и.н. </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rPr>
                <w:iCs/>
              </w:rPr>
            </w:pPr>
            <w:r>
              <w:rPr>
                <w:iCs/>
              </w:rPr>
              <w:t xml:space="preserve">Учебный предмет «Обществознание»</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3020"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41" w:type="dxa"/>
            <w:textDirection w:val="lrTb"/>
            <w:noWrap w:val="false"/>
          </w:tcPr>
          <w:p>
            <w:pPr>
              <w:pStyle w:val="940"/>
            </w:pPr>
            <w:r>
              <w:rPr>
                <w:iCs/>
              </w:rPr>
              <w:t xml:space="preserve">Председатель УМО учителей истории                        и обществознания</w:t>
            </w:r>
            <w:r/>
          </w:p>
        </w:tc>
        <w:tc>
          <w:tcPr>
            <w:tcBorders>
              <w:top w:val="single" w:color="000000" w:sz="4" w:space="0"/>
              <w:left w:val="single" w:color="000000" w:sz="4" w:space="0"/>
              <w:bottom w:val="single" w:color="000000" w:sz="4" w:space="0"/>
            </w:tcBorders>
            <w:tcW w:w="3020" w:type="dxa"/>
            <w:textDirection w:val="lrTb"/>
            <w:noWrap w:val="false"/>
          </w:tcPr>
          <w:p>
            <w:pPr>
              <w:pStyle w:val="940"/>
            </w:pPr>
            <w:r>
              <w:rPr>
                <w:iCs/>
              </w:rPr>
              <w:t xml:space="preserve">Нестеренко Наталья Витальевна, МБОУ                        г. Астрахани «СОШ                  № 54», учитель истории             и обществознания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p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Ли Ирина Георгиевна,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начальник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041"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3020"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02" w:type="dxa"/>
            <w:textDirection w:val="lrTb"/>
            <w:noWrap w:val="false"/>
          </w:tcPr>
          <w:p>
            <w:pPr>
              <w:pStyle w:val="940"/>
              <w:jc w:val="both"/>
              <w:rPr>
                <w:i/>
                <w:iCs/>
              </w:rPr>
            </w:pPr>
            <w:r>
              <w:rPr>
                <w:i/>
                <w:iCs/>
              </w:rPr>
            </w:r>
            <w:r/>
          </w:p>
        </w:tc>
      </w:tr>
    </w:tbl>
    <w:p>
      <w:pPr>
        <w:pStyle w:val="940"/>
        <w:keepLines/>
        <w:keepNext/>
        <w:spacing w:before="480" w:after="0"/>
        <w:rPr>
          <w:rFonts w:eastAsia="SimSun;宋体"/>
          <w:b/>
          <w:bCs/>
          <w:sz w:val="28"/>
          <w:szCs w:val="28"/>
          <w:lang w:val="en-US"/>
        </w:rPr>
      </w:pPr>
      <w:r>
        <w:rPr>
          <w:rFonts w:eastAsia="SimSun;宋体"/>
          <w:b/>
          <w:bCs/>
          <w:sz w:val="28"/>
          <w:szCs w:val="28"/>
          <w:lang w:val="en-US"/>
        </w:rPr>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r>
      <w:r>
        <w:br w:type="page"/>
      </w:r>
      <w:r/>
    </w:p>
    <w:p>
      <w:pPr>
        <w:pStyle w:val="940"/>
        <w:jc w:val="center"/>
        <w:keepLines/>
        <w:keepNext/>
      </w:pPr>
      <w:r>
        <w:rPr>
          <w:rFonts w:eastAsia="SimSun;宋体"/>
          <w:b/>
          <w:bCs/>
          <w:sz w:val="28"/>
          <w:szCs w:val="28"/>
          <w:lang w:val="en-US"/>
        </w:rPr>
        <w:t xml:space="preserve">Методический анализ результатов ЕГЭ</w:t>
        <w:br/>
      </w:r>
      <w:r>
        <w:rPr>
          <w:rFonts w:eastAsia="SimSun;宋体"/>
          <w:b/>
          <w:bCs/>
          <w:sz w:val="20"/>
          <w:szCs w:val="20"/>
          <w:lang w:val="en-US"/>
        </w:rPr>
        <w:br/>
      </w:r>
      <w:r>
        <w:rPr>
          <w:rFonts w:eastAsia="SimSun;宋体"/>
          <w:b/>
          <w:bCs/>
          <w:sz w:val="32"/>
          <w:szCs w:val="28"/>
          <w:lang w:val="en-US"/>
        </w:rPr>
        <w:t xml:space="preserve">по </w:t>
      </w:r>
      <w:r>
        <w:rPr>
          <w:rFonts w:eastAsia="SimSun;宋体"/>
          <w:b/>
          <w:bCs/>
          <w:sz w:val="32"/>
          <w:szCs w:val="28"/>
          <w:u w:val="single"/>
        </w:rPr>
        <w:t xml:space="preserve">Литературе</w:t>
      </w:r>
      <w:r/>
    </w:p>
    <w:p>
      <w:pPr>
        <w:pStyle w:val="940"/>
        <w:jc w:val="center"/>
        <w:keepLines/>
        <w:keepNext/>
      </w:pPr>
      <w:r>
        <w:rPr>
          <w:rFonts w:eastAsia="Times New Roman"/>
          <w:b/>
          <w:bCs/>
          <w:szCs w:val="22"/>
        </w:rPr>
        <w:t xml:space="preserve">       </w:t>
      </w:r>
      <w:r>
        <w:rPr>
          <w:rFonts w:eastAsia="SimSun;宋体"/>
          <w:b/>
          <w:bCs/>
          <w:szCs w:val="22"/>
          <w:lang w:val="en-US"/>
        </w:rPr>
        <w:t xml:space="preserve">(учебный предмет)</w:t>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1. ХАРАКТЕРИСТИКА УЧАСТНИКОВ ЕГЭ</w:t>
        <w:br/>
        <w:t xml:space="preserve"> ПО УЧЕБНОМУ ПРЕДМЕТУ</w:t>
      </w:r>
      <w:r/>
    </w:p>
    <w:p>
      <w:pPr>
        <w:pStyle w:val="940"/>
        <w:jc w:val="both"/>
        <w:rPr>
          <w:rFonts w:eastAsia="SimSun;宋体"/>
          <w:b/>
          <w:bCs/>
          <w:sz w:val="28"/>
          <w:szCs w:val="28"/>
          <w:lang w:val="en-US"/>
        </w:rPr>
      </w:pPr>
      <w:r>
        <w:rPr>
          <w:rFonts w:eastAsia="SimSun;宋体"/>
          <w:b/>
          <w:bCs/>
          <w:sz w:val="28"/>
          <w:szCs w:val="28"/>
          <w:lang w:val="en-US"/>
        </w:rPr>
      </w:r>
      <w:r/>
    </w:p>
    <w:p>
      <w:pPr>
        <w:pStyle w:val="940"/>
        <w:numPr>
          <w:ilvl w:val="1"/>
          <w:numId w:val="31"/>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учебному предмету (за 3 года)</w:t>
      </w:r>
      <w:r/>
    </w:p>
    <w:p>
      <w:pPr>
        <w:pStyle w:val="940"/>
        <w:jc w:val="right"/>
        <w:keepNext/>
        <w:spacing w:before="0" w:after="200"/>
        <w:rPr>
          <w:bCs/>
          <w:i/>
          <w:sz w:val="18"/>
          <w:szCs w:val="18"/>
        </w:rPr>
      </w:pPr>
      <w:r>
        <w:rPr>
          <w:bCs/>
          <w:i/>
          <w:sz w:val="18"/>
          <w:szCs w:val="18"/>
        </w:rPr>
        <w:t xml:space="preserve">Таблица 2-1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221"/>
        <w:gridCol w:w="1616"/>
        <w:gridCol w:w="1619"/>
        <w:gridCol w:w="1619"/>
        <w:gridCol w:w="1617"/>
        <w:gridCol w:w="1967"/>
      </w:tblGrid>
      <w:tr>
        <w:trPr/>
        <w:tc>
          <w:tcPr>
            <w:gridSpan w:val="2"/>
            <w:tcBorders>
              <w:top w:val="single" w:color="000000" w:sz="4" w:space="0"/>
              <w:left w:val="single" w:color="000000" w:sz="4" w:space="0"/>
              <w:bottom w:val="single" w:color="000000" w:sz="4" w:space="0"/>
            </w:tcBorders>
            <w:tcW w:w="2837"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23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584"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2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1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1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619"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61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1967"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21" w:type="dxa"/>
            <w:textDirection w:val="lrTb"/>
            <w:noWrap w:val="false"/>
          </w:tcPr>
          <w:p>
            <w:pPr>
              <w:pStyle w:val="940"/>
              <w:ind w:right="-1" w:firstLine="0"/>
              <w:jc w:val="center"/>
              <w:spacing w:before="0" w:after="160" w:line="254" w:lineRule="auto"/>
              <w:rPr>
                <w:lang w:eastAsia="en-US"/>
              </w:rPr>
            </w:pPr>
            <w:r>
              <w:rPr>
                <w:lang w:eastAsia="en-US"/>
              </w:rPr>
              <w:t xml:space="preserve">265</w:t>
            </w:r>
            <w:r/>
          </w:p>
        </w:tc>
        <w:tc>
          <w:tcPr>
            <w:tcBorders>
              <w:top w:val="single" w:color="000000" w:sz="4" w:space="0"/>
              <w:left w:val="single" w:color="000000" w:sz="4" w:space="0"/>
              <w:bottom w:val="single" w:color="000000" w:sz="4" w:space="0"/>
            </w:tcBorders>
            <w:tcW w:w="1616" w:type="dxa"/>
            <w:textDirection w:val="lrTb"/>
            <w:noWrap w:val="false"/>
          </w:tcPr>
          <w:p>
            <w:pPr>
              <w:pStyle w:val="940"/>
              <w:ind w:right="-1" w:firstLine="0"/>
              <w:jc w:val="center"/>
              <w:spacing w:before="0" w:after="160" w:line="254" w:lineRule="auto"/>
              <w:rPr>
                <w:lang w:eastAsia="en-US"/>
              </w:rPr>
            </w:pPr>
            <w:r>
              <w:rPr>
                <w:lang w:eastAsia="en-US"/>
              </w:rPr>
              <w:t xml:space="preserve">6,1</w:t>
            </w:r>
            <w:r/>
          </w:p>
        </w:tc>
        <w:tc>
          <w:tcPr>
            <w:tcBorders>
              <w:top w:val="single" w:color="000000" w:sz="4" w:space="0"/>
              <w:left w:val="single" w:color="000000" w:sz="4" w:space="0"/>
              <w:bottom w:val="single" w:color="000000" w:sz="4" w:space="0"/>
            </w:tcBorders>
            <w:tcW w:w="1619" w:type="dxa"/>
            <w:vAlign w:val="bottom"/>
            <w:textDirection w:val="lrTb"/>
            <w:noWrap w:val="false"/>
          </w:tcPr>
          <w:p>
            <w:pPr>
              <w:pStyle w:val="940"/>
              <w:ind w:right="-1" w:firstLine="0"/>
              <w:jc w:val="center"/>
              <w:spacing w:before="0" w:after="160" w:line="254" w:lineRule="auto"/>
              <w:rPr>
                <w:lang w:eastAsia="en-US"/>
              </w:rPr>
            </w:pPr>
            <w:r>
              <w:rPr>
                <w:lang w:eastAsia="en-US"/>
              </w:rPr>
              <w:t xml:space="preserve">221</w:t>
            </w:r>
            <w:r/>
          </w:p>
        </w:tc>
        <w:tc>
          <w:tcPr>
            <w:tcBorders>
              <w:top w:val="single" w:color="000000" w:sz="4" w:space="0"/>
              <w:left w:val="single" w:color="000000" w:sz="4" w:space="0"/>
              <w:bottom w:val="single" w:color="000000" w:sz="4" w:space="0"/>
            </w:tcBorders>
            <w:tcW w:w="1619" w:type="dxa"/>
            <w:vAlign w:val="bottom"/>
            <w:textDirection w:val="lrTb"/>
            <w:noWrap w:val="false"/>
          </w:tcPr>
          <w:p>
            <w:pPr>
              <w:pStyle w:val="940"/>
              <w:ind w:right="-1" w:firstLine="0"/>
              <w:jc w:val="center"/>
              <w:spacing w:before="0" w:after="160" w:line="254" w:lineRule="auto"/>
              <w:rPr>
                <w:lang w:eastAsia="en-US"/>
              </w:rPr>
            </w:pPr>
            <w:r>
              <w:rPr>
                <w:lang w:eastAsia="en-US"/>
              </w:rPr>
              <w:t xml:space="preserve">5,4</w:t>
            </w:r>
            <w:r/>
          </w:p>
        </w:tc>
        <w:tc>
          <w:tcPr>
            <w:tcBorders>
              <w:top w:val="single" w:color="000000" w:sz="4" w:space="0"/>
              <w:left w:val="single" w:color="000000" w:sz="4" w:space="0"/>
              <w:bottom w:val="single" w:color="000000" w:sz="4" w:space="0"/>
            </w:tcBorders>
            <w:tcW w:w="1617" w:type="dxa"/>
            <w:vAlign w:val="bottom"/>
            <w:textDirection w:val="lrTb"/>
            <w:noWrap w:val="false"/>
          </w:tcPr>
          <w:p>
            <w:pPr>
              <w:pStyle w:val="940"/>
              <w:jc w:val="center"/>
            </w:pPr>
            <w:r>
              <w:t xml:space="preserve">224</w:t>
            </w:r>
            <w:r/>
          </w:p>
        </w:tc>
        <w:tc>
          <w:tcPr>
            <w:tcBorders>
              <w:top w:val="single" w:color="000000" w:sz="4" w:space="0"/>
              <w:left w:val="single" w:color="000000" w:sz="4" w:space="0"/>
              <w:bottom w:val="single" w:color="000000" w:sz="4" w:space="0"/>
              <w:right w:val="single" w:color="000000" w:sz="4" w:space="0"/>
            </w:tcBorders>
            <w:tcW w:w="1967" w:type="dxa"/>
            <w:vAlign w:val="bottom"/>
            <w:textDirection w:val="lrTb"/>
            <w:noWrap w:val="false"/>
          </w:tcPr>
          <w:p>
            <w:pPr>
              <w:pStyle w:val="940"/>
              <w:jc w:val="center"/>
            </w:pPr>
            <w:r>
              <w:t xml:space="preserve">5,5</w:t>
            </w:r>
            <w:r/>
          </w:p>
        </w:tc>
      </w:tr>
    </w:tbl>
    <w:p>
      <w:pPr>
        <w:pStyle w:val="940"/>
        <w:contextualSpacing/>
        <w:spacing w:before="0" w:after="0"/>
        <w:rPr>
          <w:lang w:eastAsia="en-US"/>
        </w:rPr>
      </w:pPr>
      <w:r>
        <w:rPr>
          <w:lang w:eastAsia="en-US"/>
        </w:rPr>
      </w:r>
      <w:r/>
    </w:p>
    <w:p>
      <w:pPr>
        <w:pStyle w:val="940"/>
        <w:numPr>
          <w:ilvl w:val="1"/>
          <w:numId w:val="31"/>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Процентное соотношение юношей и девушек, участвующих в ЕГЭ</w:t>
      </w:r>
      <w:r/>
    </w:p>
    <w:p>
      <w:pPr>
        <w:pStyle w:val="940"/>
        <w:jc w:val="right"/>
        <w:keepNext/>
        <w:spacing w:before="0" w:after="200"/>
        <w:rPr>
          <w:bCs/>
          <w:i/>
          <w:sz w:val="18"/>
          <w:szCs w:val="18"/>
        </w:rPr>
      </w:pPr>
      <w:r>
        <w:rPr>
          <w:bCs/>
          <w:i/>
          <w:sz w:val="18"/>
          <w:szCs w:val="18"/>
        </w:rPr>
        <w:t xml:space="preserve">Таблица 2-2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138"/>
        <w:gridCol w:w="698"/>
        <w:gridCol w:w="2096"/>
        <w:gridCol w:w="700"/>
        <w:gridCol w:w="2096"/>
        <w:gridCol w:w="698"/>
        <w:gridCol w:w="2233"/>
      </w:tblGrid>
      <w:tr>
        <w:trPr/>
        <w:tc>
          <w:tcPr>
            <w:tcBorders>
              <w:top w:val="single" w:color="000000" w:sz="4" w:space="0"/>
              <w:left w:val="single" w:color="000000" w:sz="4" w:space="0"/>
              <w:bottom w:val="single" w:color="000000" w:sz="4" w:space="0"/>
            </w:tcBorders>
            <w:tcW w:w="1138"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79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9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931"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138"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70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233"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138"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698" w:type="dxa"/>
            <w:textDirection w:val="lrTb"/>
            <w:noWrap w:val="false"/>
          </w:tcPr>
          <w:p>
            <w:pPr>
              <w:pStyle w:val="940"/>
              <w:jc w:val="center"/>
              <w:spacing w:before="0" w:after="160" w:line="254" w:lineRule="auto"/>
              <w:rPr>
                <w:lang w:eastAsia="en-US"/>
              </w:rPr>
            </w:pPr>
            <w:r>
              <w:rPr>
                <w:lang w:eastAsia="en-US"/>
              </w:rPr>
              <w:t xml:space="preserve">241</w:t>
            </w:r>
            <w:r/>
          </w:p>
        </w:tc>
        <w:tc>
          <w:tcPr>
            <w:tcBorders>
              <w:top w:val="single" w:color="000000" w:sz="4" w:space="0"/>
              <w:left w:val="single" w:color="000000" w:sz="4" w:space="0"/>
              <w:bottom w:val="single" w:color="000000" w:sz="4" w:space="0"/>
            </w:tcBorders>
            <w:tcW w:w="2096" w:type="dxa"/>
            <w:textDirection w:val="lrTb"/>
            <w:noWrap w:val="false"/>
          </w:tcPr>
          <w:p>
            <w:pPr>
              <w:pStyle w:val="940"/>
              <w:jc w:val="center"/>
              <w:spacing w:before="0" w:after="160" w:line="254" w:lineRule="auto"/>
              <w:rPr>
                <w:lang w:eastAsia="en-US"/>
              </w:rPr>
            </w:pPr>
            <w:r>
              <w:rPr>
                <w:lang w:eastAsia="en-US"/>
              </w:rPr>
              <w:t xml:space="preserve">90,9</w:t>
            </w:r>
            <w:r/>
          </w:p>
        </w:tc>
        <w:tc>
          <w:tcPr>
            <w:tcBorders>
              <w:top w:val="single" w:color="000000" w:sz="4" w:space="0"/>
              <w:left w:val="single" w:color="000000" w:sz="4" w:space="0"/>
              <w:bottom w:val="single" w:color="000000" w:sz="4" w:space="0"/>
            </w:tcBorders>
            <w:tcW w:w="700"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196</w:t>
            </w:r>
            <w:r/>
          </w:p>
        </w:tc>
        <w:tc>
          <w:tcPr>
            <w:tcBorders>
              <w:top w:val="single" w:color="000000" w:sz="4" w:space="0"/>
              <w:left w:val="single" w:color="000000" w:sz="4" w:space="0"/>
              <w:bottom w:val="single" w:color="000000" w:sz="4" w:space="0"/>
            </w:tcBorders>
            <w:tcW w:w="2096" w:type="dxa"/>
            <w:vAlign w:val="bottom"/>
            <w:textDirection w:val="lrTb"/>
            <w:noWrap w:val="false"/>
          </w:tcPr>
          <w:p>
            <w:pPr>
              <w:pStyle w:val="940"/>
              <w:ind w:right="-1" w:firstLine="0"/>
              <w:jc w:val="center"/>
              <w:spacing w:before="0" w:after="160" w:line="254" w:lineRule="auto"/>
              <w:rPr>
                <w:lang w:eastAsia="en-US"/>
              </w:rPr>
            </w:pPr>
            <w:r>
              <w:rPr>
                <w:lang w:eastAsia="en-US"/>
              </w:rPr>
              <w:t xml:space="preserve">88,7</w:t>
            </w:r>
            <w:r/>
          </w:p>
        </w:tc>
        <w:tc>
          <w:tcPr>
            <w:tcBorders>
              <w:top w:val="single" w:color="000000" w:sz="4" w:space="0"/>
              <w:left w:val="single" w:color="000000" w:sz="4" w:space="0"/>
              <w:bottom w:val="single" w:color="000000" w:sz="4" w:space="0"/>
            </w:tcBorders>
            <w:tcW w:w="698" w:type="dxa"/>
            <w:vAlign w:val="bottom"/>
            <w:textDirection w:val="lrTb"/>
            <w:noWrap w:val="false"/>
          </w:tcPr>
          <w:p>
            <w:pPr>
              <w:pStyle w:val="940"/>
              <w:jc w:val="center"/>
            </w:pPr>
            <w:r>
              <w:t xml:space="preserve">203</w:t>
            </w:r>
            <w:r/>
          </w:p>
        </w:tc>
        <w:tc>
          <w:tcPr>
            <w:tcBorders>
              <w:top w:val="single" w:color="000000" w:sz="4" w:space="0"/>
              <w:left w:val="single" w:color="000000" w:sz="4" w:space="0"/>
              <w:bottom w:val="single" w:color="000000" w:sz="4" w:space="0"/>
              <w:right w:val="single" w:color="000000" w:sz="4" w:space="0"/>
            </w:tcBorders>
            <w:tcW w:w="2233" w:type="dxa"/>
            <w:vAlign w:val="bottom"/>
            <w:textDirection w:val="lrTb"/>
            <w:noWrap w:val="false"/>
          </w:tcPr>
          <w:p>
            <w:pPr>
              <w:pStyle w:val="940"/>
              <w:jc w:val="center"/>
            </w:pPr>
            <w:r>
              <w:t xml:space="preserve">90,6</w:t>
            </w:r>
            <w:r/>
          </w:p>
        </w:tc>
      </w:tr>
      <w:tr>
        <w:trPr/>
        <w:tc>
          <w:tcPr>
            <w:tcBorders>
              <w:top w:val="single" w:color="000000" w:sz="4" w:space="0"/>
              <w:left w:val="single" w:color="000000" w:sz="4" w:space="0"/>
              <w:bottom w:val="single" w:color="000000" w:sz="4" w:space="0"/>
            </w:tcBorders>
            <w:tcW w:w="1138"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698" w:type="dxa"/>
            <w:textDirection w:val="lrTb"/>
            <w:noWrap w:val="false"/>
          </w:tcPr>
          <w:p>
            <w:pPr>
              <w:pStyle w:val="940"/>
              <w:jc w:val="center"/>
              <w:spacing w:before="0" w:after="160" w:line="254" w:lineRule="auto"/>
              <w:rPr>
                <w:lang w:eastAsia="en-US"/>
              </w:rPr>
            </w:pPr>
            <w:r>
              <w:rPr>
                <w:lang w:eastAsia="en-US"/>
              </w:rPr>
              <w:t xml:space="preserve">24</w:t>
            </w:r>
            <w:r/>
          </w:p>
        </w:tc>
        <w:tc>
          <w:tcPr>
            <w:tcBorders>
              <w:top w:val="single" w:color="000000" w:sz="4" w:space="0"/>
              <w:left w:val="single" w:color="000000" w:sz="4" w:space="0"/>
              <w:bottom w:val="single" w:color="000000" w:sz="4" w:space="0"/>
            </w:tcBorders>
            <w:tcW w:w="2096" w:type="dxa"/>
            <w:textDirection w:val="lrTb"/>
            <w:noWrap w:val="false"/>
          </w:tcPr>
          <w:p>
            <w:pPr>
              <w:pStyle w:val="940"/>
              <w:jc w:val="center"/>
              <w:spacing w:before="0" w:after="160" w:line="254" w:lineRule="auto"/>
              <w:rPr>
                <w:lang w:eastAsia="en-US"/>
              </w:rPr>
            </w:pPr>
            <w:r>
              <w:rPr>
                <w:lang w:eastAsia="en-US"/>
              </w:rPr>
              <w:t xml:space="preserve">9,1</w:t>
            </w:r>
            <w:r/>
          </w:p>
        </w:tc>
        <w:tc>
          <w:tcPr>
            <w:tcBorders>
              <w:top w:val="single" w:color="000000" w:sz="4" w:space="0"/>
              <w:left w:val="single" w:color="000000" w:sz="4" w:space="0"/>
              <w:bottom w:val="single" w:color="000000" w:sz="4" w:space="0"/>
            </w:tcBorders>
            <w:tcW w:w="700" w:type="dxa"/>
            <w:vAlign w:val="bottom"/>
            <w:textDirection w:val="lrTb"/>
            <w:noWrap w:val="false"/>
          </w:tcPr>
          <w:p>
            <w:pPr>
              <w:pStyle w:val="940"/>
              <w:ind w:right="-1" w:firstLine="0"/>
              <w:jc w:val="center"/>
              <w:spacing w:before="0" w:after="160" w:line="254" w:lineRule="auto"/>
              <w:rPr>
                <w:lang w:eastAsia="en-US"/>
              </w:rPr>
            </w:pPr>
            <w:r>
              <w:rPr>
                <w:lang w:eastAsia="en-US"/>
              </w:rPr>
              <w:t xml:space="preserve">25</w:t>
            </w:r>
            <w:r/>
          </w:p>
        </w:tc>
        <w:tc>
          <w:tcPr>
            <w:tcBorders>
              <w:top w:val="single" w:color="000000" w:sz="4" w:space="0"/>
              <w:left w:val="single" w:color="000000" w:sz="4" w:space="0"/>
              <w:bottom w:val="single" w:color="000000" w:sz="4" w:space="0"/>
            </w:tcBorders>
            <w:tcW w:w="2096" w:type="dxa"/>
            <w:vAlign w:val="bottom"/>
            <w:textDirection w:val="lrTb"/>
            <w:noWrap w:val="false"/>
          </w:tcPr>
          <w:p>
            <w:pPr>
              <w:pStyle w:val="940"/>
              <w:ind w:right="-1" w:firstLine="0"/>
              <w:jc w:val="center"/>
              <w:spacing w:before="0" w:after="160" w:line="254" w:lineRule="auto"/>
              <w:rPr>
                <w:lang w:eastAsia="en-US"/>
              </w:rPr>
            </w:pPr>
            <w:r>
              <w:rPr>
                <w:lang w:eastAsia="en-US"/>
              </w:rPr>
              <w:t xml:space="preserve">11,3</w:t>
            </w:r>
            <w:r/>
          </w:p>
        </w:tc>
        <w:tc>
          <w:tcPr>
            <w:tcBorders>
              <w:top w:val="single" w:color="000000" w:sz="4" w:space="0"/>
              <w:left w:val="single" w:color="000000" w:sz="4" w:space="0"/>
              <w:bottom w:val="single" w:color="000000" w:sz="4" w:space="0"/>
            </w:tcBorders>
            <w:tcW w:w="698" w:type="dxa"/>
            <w:vAlign w:val="bottom"/>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right w:val="single" w:color="000000" w:sz="4" w:space="0"/>
            </w:tcBorders>
            <w:tcW w:w="2233" w:type="dxa"/>
            <w:vAlign w:val="bottom"/>
            <w:textDirection w:val="lrTb"/>
            <w:noWrap w:val="false"/>
          </w:tcPr>
          <w:p>
            <w:pPr>
              <w:pStyle w:val="940"/>
              <w:jc w:val="center"/>
            </w:pPr>
            <w:r>
              <w:t xml:space="preserve">9,4</w:t>
            </w:r>
            <w:r/>
          </w:p>
        </w:tc>
      </w:tr>
    </w:tbl>
    <w:p>
      <w:pPr>
        <w:pStyle w:val="940"/>
      </w:pPr>
      <w:r/>
      <w:r/>
    </w:p>
    <w:p>
      <w:pPr>
        <w:pStyle w:val="940"/>
        <w:numPr>
          <w:ilvl w:val="1"/>
          <w:numId w:val="31"/>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в регионе по категориям </w:t>
      </w:r>
      <w:r/>
    </w:p>
    <w:p>
      <w:pPr>
        <w:pStyle w:val="940"/>
        <w:jc w:val="right"/>
        <w:keepNext/>
        <w:spacing w:before="0" w:after="200"/>
        <w:rPr>
          <w:bCs/>
          <w:i/>
          <w:sz w:val="18"/>
          <w:szCs w:val="18"/>
        </w:rPr>
      </w:pPr>
      <w:r>
        <w:rPr>
          <w:bCs/>
          <w:i/>
          <w:sz w:val="18"/>
          <w:szCs w:val="18"/>
        </w:rPr>
        <w:t xml:space="preserve">Таблица 2-3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404"/>
        <w:gridCol w:w="2255"/>
      </w:tblGrid>
      <w:tr>
        <w:trPr>
          <w:trHeight w:val="273"/>
        </w:trPr>
        <w:tc>
          <w:tcPr>
            <w:tcBorders>
              <w:top w:val="single" w:color="000000" w:sz="4" w:space="0"/>
              <w:left w:val="single" w:color="000000" w:sz="4" w:space="0"/>
              <w:bottom w:val="single" w:color="000000" w:sz="4" w:space="0"/>
            </w:tcBorders>
            <w:tcW w:w="7404"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224</w:t>
            </w:r>
            <w:r/>
          </w:p>
        </w:tc>
      </w:tr>
      <w:tr>
        <w:trPr>
          <w:trHeight w:val="539"/>
        </w:trPr>
        <w:tc>
          <w:tcPr>
            <w:tcBorders>
              <w:top w:val="single" w:color="000000" w:sz="4" w:space="0"/>
              <w:left w:val="single" w:color="000000" w:sz="4" w:space="0"/>
              <w:bottom w:val="single" w:color="000000" w:sz="4" w:space="0"/>
            </w:tcBorders>
            <w:tcW w:w="7404"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12"/>
              <w:t xml:space="preserve">*</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190</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24</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5</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7</w:t>
            </w:r>
            <w:r/>
          </w:p>
        </w:tc>
      </w:tr>
      <w:tr>
        <w:trPr>
          <w:trHeight w:val="273"/>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3</w:t>
            </w:r>
            <w:r/>
          </w:p>
        </w:tc>
      </w:tr>
      <w:tr>
        <w:trPr>
          <w:trHeight w:val="288"/>
        </w:trPr>
        <w:tc>
          <w:tcPr>
            <w:tcBorders>
              <w:top w:val="single" w:color="000000" w:sz="4" w:space="0"/>
              <w:left w:val="single" w:color="000000" w:sz="4" w:space="0"/>
              <w:bottom w:val="single" w:color="000000" w:sz="4" w:space="0"/>
            </w:tcBorders>
            <w:tcW w:w="740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255" w:type="dxa"/>
            <w:textDirection w:val="lrTb"/>
            <w:noWrap w:val="false"/>
          </w:tcPr>
          <w:p>
            <w:pPr>
              <w:pStyle w:val="940"/>
              <w:contextualSpacing/>
              <w:jc w:val="both"/>
              <w:spacing w:before="0" w:after="0"/>
            </w:pPr>
            <w:r>
              <w:t xml:space="preserve">-</w:t>
            </w:r>
            <w:r/>
          </w:p>
        </w:tc>
      </w:tr>
    </w:tbl>
    <w:p>
      <w:pPr>
        <w:pStyle w:val="940"/>
        <w:contextualSpacing/>
        <w:spacing w:before="0" w:after="0"/>
        <w:rPr>
          <w:lang w:eastAsia="en-US"/>
        </w:rPr>
      </w:pPr>
      <w:r>
        <w:rPr>
          <w:lang w:eastAsia="en-US"/>
        </w:rPr>
      </w:r>
      <w:r/>
    </w:p>
    <w:p>
      <w:pPr>
        <w:pStyle w:val="940"/>
        <w:numPr>
          <w:ilvl w:val="1"/>
          <w:numId w:val="31"/>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Количество участников ЕГЭ по типам ОО </w:t>
      </w:r>
      <w:r/>
    </w:p>
    <w:p>
      <w:pPr>
        <w:pStyle w:val="940"/>
        <w:jc w:val="right"/>
        <w:keepNext/>
        <w:spacing w:before="0" w:after="200"/>
        <w:rPr>
          <w:bCs/>
          <w:i/>
          <w:sz w:val="18"/>
          <w:szCs w:val="18"/>
        </w:rPr>
      </w:pPr>
      <w:r>
        <w:rPr>
          <w:bCs/>
          <w:i/>
          <w:sz w:val="18"/>
          <w:szCs w:val="18"/>
        </w:rPr>
        <w:t xml:space="preserve">Таблица 2-4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251"/>
        <w:gridCol w:w="2408"/>
      </w:tblGrid>
      <w:tr>
        <w:trPr>
          <w:trHeight w:val="278"/>
        </w:trPr>
        <w:tc>
          <w:tcPr>
            <w:tcBorders>
              <w:top w:val="single" w:color="000000" w:sz="4" w:space="0"/>
              <w:left w:val="single" w:color="000000" w:sz="4" w:space="0"/>
              <w:bottom w:val="single" w:color="000000" w:sz="4" w:space="0"/>
            </w:tcBorders>
            <w:tcW w:w="7251"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408" w:type="dxa"/>
            <w:textDirection w:val="lrTb"/>
            <w:noWrap w:val="false"/>
          </w:tcPr>
          <w:p>
            <w:pPr>
              <w:pStyle w:val="940"/>
              <w:contextualSpacing/>
              <w:jc w:val="both"/>
              <w:spacing w:before="0" w:after="0"/>
            </w:pPr>
            <w:r>
              <w:t xml:space="preserve">190</w:t>
            </w:r>
            <w:r/>
          </w:p>
        </w:tc>
      </w:tr>
      <w:tr>
        <w:trPr>
          <w:trHeight w:val="555"/>
        </w:trPr>
        <w:tc>
          <w:tcPr>
            <w:tcBorders>
              <w:top w:val="single" w:color="000000" w:sz="4" w:space="0"/>
              <w:left w:val="single" w:color="000000" w:sz="4" w:space="0"/>
              <w:bottom w:val="single" w:color="000000" w:sz="4" w:space="0"/>
            </w:tcBorders>
            <w:tcW w:w="7251" w:type="dxa"/>
            <w:textDirection w:val="lrTb"/>
            <w:noWrap w:val="false"/>
          </w:tcPr>
          <w:p>
            <w:pPr>
              <w:pStyle w:val="940"/>
              <w:contextualSpacing/>
              <w:jc w:val="both"/>
              <w:spacing w:before="0" w:after="0"/>
            </w:pPr>
            <w:r>
              <w:t xml:space="preserve">Из них:</w:t>
            </w:r>
            <w:r/>
          </w:p>
          <w:p>
            <w:pPr>
              <w:pStyle w:val="940"/>
              <w:numPr>
                <w:ilvl w:val="0"/>
                <w:numId w:val="63"/>
              </w:numPr>
              <w:contextualSpacing/>
              <w:ind w:left="0" w:firstLine="0"/>
              <w:jc w:val="both"/>
              <w:spacing w:before="0" w:after="0"/>
              <w:rPr>
                <w:lang w:eastAsia="en-US"/>
              </w:rPr>
            </w:pPr>
            <w:r>
              <w:rPr>
                <w:lang w:eastAsia="en-US"/>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408" w:type="dxa"/>
            <w:textDirection w:val="lrTb"/>
            <w:noWrap w:val="false"/>
          </w:tcPr>
          <w:p>
            <w:pPr>
              <w:pStyle w:val="940"/>
              <w:contextualSpacing/>
              <w:jc w:val="both"/>
              <w:spacing w:before="0" w:after="0"/>
            </w:pPr>
            <w:r>
              <w:t xml:space="preserve">45</w:t>
            </w:r>
            <w:r/>
          </w:p>
        </w:tc>
      </w:tr>
      <w:tr>
        <w:trPr>
          <w:trHeight w:val="293"/>
        </w:trPr>
        <w:tc>
          <w:tcPr>
            <w:tcBorders>
              <w:top w:val="single" w:color="000000" w:sz="4" w:space="0"/>
              <w:left w:val="single" w:color="000000" w:sz="4" w:space="0"/>
              <w:bottom w:val="single" w:color="000000" w:sz="4" w:space="0"/>
            </w:tcBorders>
            <w:tcW w:w="7251" w:type="dxa"/>
            <w:textDirection w:val="lrTb"/>
            <w:noWrap w:val="false"/>
          </w:tcPr>
          <w:p>
            <w:pPr>
              <w:pStyle w:val="940"/>
              <w:numPr>
                <w:ilvl w:val="0"/>
                <w:numId w:val="63"/>
              </w:numPr>
              <w:contextualSpacing/>
              <w:ind w:left="0" w:firstLine="0"/>
              <w:jc w:val="both"/>
              <w:spacing w:before="0" w:after="0"/>
              <w:rPr>
                <w:lang w:eastAsia="en-US"/>
              </w:rPr>
            </w:pPr>
            <w:r>
              <w:rPr>
                <w:lang w:eastAsia="en-US"/>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408" w:type="dxa"/>
            <w:textDirection w:val="lrTb"/>
            <w:noWrap w:val="false"/>
          </w:tcPr>
          <w:p>
            <w:pPr>
              <w:pStyle w:val="940"/>
              <w:contextualSpacing/>
              <w:jc w:val="both"/>
              <w:spacing w:before="0" w:after="0"/>
            </w:pPr>
            <w:r>
              <w:t xml:space="preserve">137</w:t>
            </w:r>
            <w:r/>
          </w:p>
        </w:tc>
      </w:tr>
      <w:tr>
        <w:trPr>
          <w:trHeight w:val="293"/>
        </w:trPr>
        <w:tc>
          <w:tcPr>
            <w:tcBorders>
              <w:top w:val="single" w:color="000000" w:sz="4" w:space="0"/>
              <w:left w:val="single" w:color="000000" w:sz="4" w:space="0"/>
              <w:bottom w:val="single" w:color="000000" w:sz="4" w:space="0"/>
            </w:tcBorders>
            <w:tcW w:w="725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408" w:type="dxa"/>
            <w:textDirection w:val="lrTb"/>
            <w:noWrap w:val="false"/>
          </w:tcPr>
          <w:p>
            <w:pPr>
              <w:pStyle w:val="940"/>
              <w:contextualSpacing/>
              <w:jc w:val="both"/>
              <w:spacing w:before="0" w:after="0"/>
            </w:pPr>
            <w:r>
              <w:t xml:space="preserve">2</w:t>
            </w:r>
            <w:r/>
          </w:p>
        </w:tc>
      </w:tr>
      <w:tr>
        <w:trPr>
          <w:trHeight w:val="571"/>
        </w:trPr>
        <w:tc>
          <w:tcPr>
            <w:tcBorders>
              <w:top w:val="single" w:color="000000" w:sz="4" w:space="0"/>
              <w:left w:val="single" w:color="000000" w:sz="4" w:space="0"/>
              <w:bottom w:val="single" w:color="000000" w:sz="4" w:space="0"/>
            </w:tcBorders>
            <w:tcW w:w="7251"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408" w:type="dxa"/>
            <w:textDirection w:val="lrTb"/>
            <w:noWrap w:val="false"/>
          </w:tcPr>
          <w:p>
            <w:pPr>
              <w:pStyle w:val="940"/>
              <w:contextualSpacing/>
              <w:jc w:val="both"/>
              <w:spacing w:before="0" w:after="0"/>
            </w:pPr>
            <w:r>
              <w:t xml:space="preserve">6</w:t>
            </w:r>
            <w:r/>
          </w:p>
        </w:tc>
      </w:tr>
    </w:tbl>
    <w:p>
      <w:pPr>
        <w:pStyle w:val="940"/>
      </w:pPr>
      <w:r/>
      <w:r/>
    </w:p>
    <w:p>
      <w:pPr>
        <w:pStyle w:val="940"/>
        <w:numPr>
          <w:ilvl w:val="1"/>
          <w:numId w:val="31"/>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предмету по АТЕ региона</w:t>
      </w:r>
      <w:r/>
    </w:p>
    <w:p>
      <w:pPr>
        <w:pStyle w:val="940"/>
        <w:jc w:val="right"/>
        <w:keepNext/>
        <w:spacing w:before="0" w:after="200"/>
        <w:rPr>
          <w:bCs/>
          <w:i/>
          <w:sz w:val="18"/>
          <w:szCs w:val="18"/>
        </w:rPr>
      </w:pPr>
      <w:r>
        <w:rPr>
          <w:bCs/>
          <w:i/>
          <w:sz w:val="18"/>
          <w:szCs w:val="18"/>
        </w:rPr>
        <w:t xml:space="preserve">Таблица 2-5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991"/>
        <w:gridCol w:w="3402"/>
        <w:gridCol w:w="3266"/>
      </w:tblGrid>
      <w:tr>
        <w:trPr>
          <w:trHeight w:val="630"/>
        </w:trPr>
        <w:tc>
          <w:tcPr>
            <w:shd w:val="clear" w:color="auto" w:fill="ffffff"/>
            <w:tcBorders>
              <w:top w:val="single" w:color="000000" w:sz="4" w:space="0"/>
              <w:left w:val="single" w:color="000000" w:sz="4" w:space="0"/>
              <w:bottom w:val="single" w:color="000000" w:sz="4" w:space="0"/>
            </w:tcBorders>
            <w:tcW w:w="2991"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литературе</w:t>
            </w:r>
            <w:r/>
          </w:p>
        </w:tc>
        <w:tc>
          <w:tcPr>
            <w:shd w:val="clear" w:color="auto" w:fill="ffffff"/>
            <w:tcBorders>
              <w:top w:val="single" w:color="000000" w:sz="4" w:space="0"/>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117</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52,2</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10,3</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2,2</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3</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2,2</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0,9</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0,4</w:t>
            </w:r>
            <w:r/>
          </w:p>
        </w:tc>
      </w:tr>
      <w:tr>
        <w:trPr>
          <w:trHeight w:val="216"/>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4</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1,8</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r>
      <w:tr>
        <w:trPr>
          <w:trHeight w:val="182"/>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2,7</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10,7</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402" w:type="dxa"/>
            <w:vAlign w:val="center"/>
            <w:textDirection w:val="lrTb"/>
            <w:noWrap w:val="false"/>
          </w:tcPr>
          <w:p>
            <w:pPr>
              <w:pStyle w:val="940"/>
              <w:jc w:val="center"/>
              <w:rPr>
                <w:rFonts w:eastAsia="Times New Roman"/>
                <w:color w:val="000000"/>
              </w:rPr>
            </w:pPr>
            <w:r>
              <w:rPr>
                <w:rFonts w:eastAsia="Times New Roman"/>
                <w:color w:val="000000"/>
              </w:rPr>
              <w:t xml:space="preserve">0</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15"/>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3</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r>
      <w:tr>
        <w:trPr>
          <w:trHeight w:val="630"/>
        </w:trPr>
        <w:tc>
          <w:tcPr>
            <w:shd w:val="clear" w:color="auto" w:fill="ffffff"/>
            <w:tcBorders>
              <w:left w:val="single" w:color="000000" w:sz="4" w:space="0"/>
              <w:bottom w:val="single" w:color="000000" w:sz="4" w:space="0"/>
            </w:tcBorders>
            <w:tcW w:w="2991"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402"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3266"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0"/>
        <w:numPr>
          <w:ilvl w:val="1"/>
          <w:numId w:val="31"/>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jc w:val="right"/>
        <w:keepNext/>
        <w:spacing w:before="0" w:after="200"/>
        <w:rPr>
          <w:bCs/>
          <w:i/>
          <w:sz w:val="18"/>
          <w:szCs w:val="18"/>
        </w:rPr>
      </w:pPr>
      <w:r>
        <w:rPr>
          <w:bCs/>
          <w:i/>
          <w:sz w:val="18"/>
          <w:szCs w:val="18"/>
        </w:rPr>
        <w:t xml:space="preserve">Таблица 2-6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40"/>
        <w:gridCol w:w="5940"/>
        <w:gridCol w:w="3179"/>
      </w:tblGrid>
      <w:tr>
        <w:trPr>
          <w:cantSplit/>
          <w:tblHeader/>
        </w:trPr>
        <w:tc>
          <w:tcPr>
            <w:tcBorders>
              <w:top w:val="single" w:color="000000" w:sz="4" w:space="0"/>
              <w:left w:val="single" w:color="000000" w:sz="4" w:space="0"/>
              <w:bottom w:val="single" w:color="000000" w:sz="4" w:space="0"/>
            </w:tcBorders>
            <w:tcW w:w="540" w:type="dxa"/>
            <w:vAlign w:val="center"/>
            <w:textDirection w:val="lrTb"/>
            <w:noWrap w:val="false"/>
          </w:tcPr>
          <w:p>
            <w:pPr>
              <w:pStyle w:val="940"/>
              <w:contextualSpacing/>
              <w:jc w:val="center"/>
              <w:spacing w:before="0" w:after="0"/>
            </w:pPr>
            <w:r>
              <w:rPr>
                <w:lang w:eastAsia="en-US"/>
              </w:rPr>
              <w:t xml:space="preserve">№</w:t>
            </w:r>
            <w:r>
              <w:rPr>
                <w:rFonts w:eastAsia="Times New Roman"/>
                <w:lang w:eastAsia="en-US"/>
              </w:rPr>
              <w:t xml:space="preserve"> </w:t>
            </w:r>
            <w:r>
              <w:rPr>
                <w:lang w:eastAsia="en-US"/>
              </w:rPr>
              <w:t xml:space="preserve">п/п</w:t>
            </w:r>
            <w:r/>
          </w:p>
        </w:tc>
        <w:tc>
          <w:tcPr>
            <w:tcBorders>
              <w:top w:val="single" w:color="000000" w:sz="4" w:space="0"/>
              <w:left w:val="single" w:color="000000" w:sz="4" w:space="0"/>
              <w:bottom w:val="single" w:color="000000" w:sz="4" w:space="0"/>
            </w:tcBorders>
            <w:tcW w:w="5940" w:type="dxa"/>
            <w:vAlign w:val="center"/>
            <w:textDirection w:val="lrTb"/>
            <w:noWrap w:val="false"/>
          </w:tcPr>
          <w:p>
            <w:pPr>
              <w:pStyle w:val="940"/>
              <w:contextualSpacing/>
              <w:jc w:val="center"/>
              <w:spacing w:before="0" w:after="0"/>
              <w:rPr>
                <w:lang w:eastAsia="en-US"/>
              </w:rPr>
            </w:pPr>
            <w:r>
              <w:rPr>
                <w:lang w:eastAsia="en-US"/>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179" w:type="dxa"/>
            <w:vAlign w:val="center"/>
            <w:textDirection w:val="lrTb"/>
            <w:noWrap w:val="false"/>
          </w:tcPr>
          <w:p>
            <w:pPr>
              <w:pStyle w:val="940"/>
              <w:contextualSpacing/>
              <w:jc w:val="center"/>
              <w:spacing w:before="0" w:after="0"/>
              <w:rPr>
                <w:lang w:eastAsia="en-US"/>
              </w:rPr>
            </w:pPr>
            <w:r>
              <w:rPr>
                <w:lang w:eastAsia="en-US"/>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5940" w:type="dxa"/>
            <w:textDirection w:val="lrTb"/>
            <w:noWrap w:val="false"/>
          </w:tcPr>
          <w:p>
            <w:pPr>
              <w:pStyle w:val="940"/>
            </w:pPr>
            <w:r>
              <w:t xml:space="preserve">УМК Литература. Ланин Б.А. (10-11), 2014 г.</w:t>
            </w:r>
            <w:r/>
          </w:p>
        </w:tc>
        <w:tc>
          <w:tcPr>
            <w:tcBorders>
              <w:top w:val="single" w:color="000000" w:sz="4" w:space="0"/>
              <w:left w:val="single" w:color="000000" w:sz="4" w:space="0"/>
              <w:bottom w:val="single" w:color="000000" w:sz="4" w:space="0"/>
              <w:right w:val="single" w:color="000000" w:sz="4" w:space="0"/>
            </w:tcBorders>
            <w:tcW w:w="317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54</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5940" w:type="dxa"/>
            <w:textDirection w:val="lrTb"/>
            <w:noWrap w:val="false"/>
          </w:tcPr>
          <w:p>
            <w:pPr>
              <w:pStyle w:val="940"/>
            </w:pPr>
            <w:r>
              <w:t xml:space="preserve">Г.С. Меркин, С.А . Зинин, В.А. Чалмаев М., Русское слово  2018 г. (44%)</w:t>
            </w:r>
            <w:r/>
          </w:p>
        </w:tc>
        <w:tc>
          <w:tcPr>
            <w:tcBorders>
              <w:top w:val="single" w:color="000000" w:sz="4" w:space="0"/>
              <w:left w:val="single" w:color="000000" w:sz="4" w:space="0"/>
              <w:bottom w:val="single" w:color="000000" w:sz="4" w:space="0"/>
              <w:right w:val="single" w:color="000000" w:sz="4" w:space="0"/>
            </w:tcBorders>
            <w:tcW w:w="317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5940" w:type="dxa"/>
            <w:textDirection w:val="lrTb"/>
            <w:noWrap w:val="false"/>
          </w:tcPr>
          <w:p>
            <w:pPr>
              <w:pStyle w:val="940"/>
            </w:pPr>
            <w:r>
              <w:t xml:space="preserve">Литература УМК  Журавлёва В.П., М., - Просвещение 2018-2020 гг. (44%)</w:t>
            </w:r>
            <w:r/>
          </w:p>
        </w:tc>
        <w:tc>
          <w:tcPr>
            <w:tcBorders>
              <w:top w:val="single" w:color="000000" w:sz="4" w:space="0"/>
              <w:left w:val="single" w:color="000000" w:sz="4" w:space="0"/>
              <w:bottom w:val="single" w:color="000000" w:sz="4" w:space="0"/>
              <w:right w:val="single" w:color="000000" w:sz="4" w:space="0"/>
            </w:tcBorders>
            <w:tcW w:w="317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12</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5940" w:type="dxa"/>
            <w:textDirection w:val="lrTb"/>
            <w:noWrap w:val="false"/>
          </w:tcPr>
          <w:p>
            <w:pPr>
              <w:pStyle w:val="940"/>
            </w:pPr>
            <w:r>
              <w:t xml:space="preserve">Лебедев Ю.В. Литература. 10 класс. Базовый </w:t>
            </w:r>
            <w:r/>
          </w:p>
          <w:p>
            <w:pPr>
              <w:pStyle w:val="940"/>
            </w:pPr>
            <w:r>
              <w:t xml:space="preserve">уровень. В 2 частях. Литература. Лебедев Ю.В., Журавлев В.П. (10-11) (Базовый) АО "Издательство "Просвещение" 2020 г.</w:t>
            </w:r>
            <w:r/>
          </w:p>
        </w:tc>
        <w:tc>
          <w:tcPr>
            <w:tcBorders>
              <w:top w:val="single" w:color="000000" w:sz="4" w:space="0"/>
              <w:left w:val="single" w:color="000000" w:sz="4" w:space="0"/>
              <w:bottom w:val="single" w:color="000000" w:sz="4" w:space="0"/>
              <w:right w:val="single" w:color="000000" w:sz="4" w:space="0"/>
            </w:tcBorders>
            <w:tcW w:w="3179"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22</w:t>
            </w:r>
            <w:r/>
          </w:p>
        </w:tc>
      </w:tr>
    </w:tbl>
    <w:p>
      <w:pPr>
        <w:pStyle w:val="940"/>
        <w:jc w:val="both"/>
        <w:rPr>
          <w:lang w:eastAsia="en-US"/>
        </w:rPr>
      </w:pPr>
      <w:r>
        <w:rPr>
          <w:lang w:eastAsia="en-US"/>
        </w:rPr>
      </w:r>
      <w:r/>
    </w:p>
    <w:p>
      <w:pPr>
        <w:pStyle w:val="940"/>
        <w:ind w:firstLine="708"/>
        <w:jc w:val="both"/>
        <w:rPr>
          <w:lang w:eastAsia="en-US"/>
        </w:rPr>
      </w:pPr>
      <w:r>
        <w:rPr>
          <w:lang w:eastAsia="en-US"/>
        </w:rPr>
        <w:t xml:space="preserve">Запланировано перейти:</w:t>
      </w:r>
      <w:r/>
    </w:p>
    <w:p>
      <w:pPr>
        <w:pStyle w:val="940"/>
        <w:ind w:firstLine="708"/>
        <w:jc w:val="both"/>
        <w:rPr>
          <w:lang w:eastAsia="en-US"/>
        </w:rPr>
      </w:pPr>
      <w:r>
        <w:rPr>
          <w:lang w:eastAsia="en-US"/>
        </w:rPr>
        <w:t xml:space="preserve">1. Литература (базовый, углублённый уровни) (в 2 частях).10 кл. АО "Издательство "Просвещение". Чертов В.Ф., Трубина Л.А., Антипова A.M. и др./Под ред. В.Ф. Чертова</w:t>
      </w:r>
      <w:r/>
    </w:p>
    <w:p>
      <w:pPr>
        <w:pStyle w:val="940"/>
        <w:numPr>
          <w:ilvl w:val="1"/>
          <w:numId w:val="31"/>
        </w:numPr>
        <w:ind w:left="0" w:firstLine="0"/>
        <w:jc w:val="both"/>
        <w:keepLines/>
        <w:keepNext/>
        <w:spacing w:before="200" w:after="0"/>
        <w:rPr>
          <w:rFonts w:eastAsia="SimSun;宋体"/>
          <w:b/>
          <w:bCs/>
          <w:sz w:val="28"/>
          <w:lang w:val="en-US"/>
        </w:rPr>
      </w:pPr>
      <w:r>
        <w:rPr>
          <w:rFonts w:eastAsia="SimSun;宋体"/>
          <w:b/>
          <w:bCs/>
          <w:sz w:val="28"/>
          <w:lang w:val="en-US"/>
        </w:rPr>
        <w:t xml:space="preserve">ВЫВОДЫ о характере изменения количества участников ЕГЭ по учебному предмету. </w:t>
      </w:r>
      <w:r/>
    </w:p>
    <w:p>
      <w:pPr>
        <w:pStyle w:val="940"/>
        <w:jc w:val="both"/>
        <w:rPr>
          <w:rFonts w:eastAsia="SimSun;宋体"/>
          <w:b/>
          <w:bCs/>
          <w:sz w:val="28"/>
          <w:lang w:val="en-US"/>
        </w:rPr>
      </w:pPr>
      <w:r>
        <w:rPr>
          <w:rFonts w:eastAsia="SimSun;宋体"/>
          <w:b/>
          <w:bCs/>
          <w:sz w:val="28"/>
          <w:lang w:val="en-US"/>
        </w:rPr>
      </w:r>
      <w:r/>
    </w:p>
    <w:p>
      <w:pPr>
        <w:pStyle w:val="940"/>
        <w:ind w:firstLine="708"/>
        <w:jc w:val="both"/>
      </w:pPr>
      <w:r>
        <w:t xml:space="preserve">В 2021 году в ЕГЭ по литературе приняли участие 224 человек, что всего лишь на 3 человека превышает показатели прошлого года. В</w:t>
      </w:r>
      <w:r>
        <w:t xml:space="preserve"> целом, количество участников может свидетельствовать о невысоком интересе выпускников региона к данному предмету. Это обусловлено еще и тем, что перечень специальностей в российских вузах, требующий результатов ЕГЭ по литературе для поступления, не велик.</w:t>
      </w:r>
      <w:r/>
    </w:p>
    <w:p>
      <w:pPr>
        <w:pStyle w:val="940"/>
        <w:ind w:firstLine="708"/>
        <w:jc w:val="both"/>
      </w:pPr>
      <w:r>
        <w:t xml:space="preserve">В гендерном соотношении доля участия девушек достигла своей максимальной отметки по сравнению с аналогичными показателями по другим учебным предметам (свыше 90%). Это еще раз указывает на гендерный характер профессионального самоопределения.</w:t>
      </w:r>
      <w:r/>
    </w:p>
    <w:p>
      <w:pPr>
        <w:pStyle w:val="940"/>
        <w:jc w:val="both"/>
      </w:pPr>
      <w:r>
        <w:t xml:space="preserve">Наибольший процент участников составляют выпускники текущего года, преимущественно выпускники средних общеобразовательных школ, а также лицеев и гимназий. При этом, на 2,6% увеличилась доля выпускников прошлых лет.</w:t>
      </w:r>
      <w:r/>
    </w:p>
    <w:p>
      <w:pPr>
        <w:pStyle w:val="940"/>
        <w:ind w:firstLine="708"/>
        <w:jc w:val="both"/>
      </w:pPr>
      <w:r>
        <w:t xml:space="preserve">В разрезе АТЕ наблюдается уменьшение количества участников в ЗАТО Знаменск (на 2,8%) и увеличение в Харабалинском районе (на 2,3%). </w:t>
      </w:r>
      <w:r/>
    </w:p>
    <w:p>
      <w:pPr>
        <w:pStyle w:val="940"/>
        <w:jc w:val="both"/>
      </w:p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jc w:val="center"/>
        <w:keepLines/>
        <w:keepNext/>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pPr>
      <w:r/>
      <w:r/>
    </w:p>
    <w:p>
      <w:pPr>
        <w:pStyle w:val="940"/>
      </w:pPr>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2.  ОСНОВНЫЕ РЕЗУЛЬТАТЫ ЕГЭ ПО ПРЕДМЕТУ</w:t>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«Литература»</w:t>
      </w:r>
      <w:r/>
    </w:p>
    <w:p>
      <w:pPr>
        <w:pStyle w:val="940"/>
        <w:numPr>
          <w:ilvl w:val="0"/>
          <w:numId w:val="31"/>
        </w:numPr>
        <w:ind w:left="0" w:firstLine="0"/>
        <w:keepLines/>
        <w:keepNext/>
        <w:spacing w:before="200" w:after="0"/>
        <w:rPr>
          <w:rFonts w:eastAsia="SimSun;宋体"/>
          <w:b/>
          <w:bCs/>
          <w:vanish/>
          <w:sz w:val="28"/>
          <w:szCs w:val="28"/>
          <w:lang w:val="en-US"/>
        </w:rPr>
      </w:pPr>
      <w:r>
        <w:rPr>
          <w:rFonts w:eastAsia="SimSun;宋体"/>
          <w:b/>
          <w:bCs/>
          <w:vanish/>
          <w:sz w:val="28"/>
          <w:szCs w:val="28"/>
          <w:lang w:val="en-US"/>
        </w:rPr>
      </w:r>
      <w:r/>
    </w:p>
    <w:p>
      <w:pPr>
        <w:pStyle w:val="940"/>
        <w:numPr>
          <w:ilvl w:val="1"/>
          <w:numId w:val="31"/>
        </w:numPr>
        <w:ind w:left="0" w:firstLine="0"/>
        <w:jc w:val="both"/>
        <w:keepLines/>
        <w:keepNext/>
        <w:spacing w:before="200" w:after="0"/>
        <w:tabs>
          <w:tab w:val="left" w:pos="142" w:leader="none"/>
          <w:tab w:val="clear" w:pos="708" w:leader="none"/>
        </w:tabs>
      </w:pPr>
      <w:r>
        <w:rPr>
          <w:rFonts w:eastAsia="SimSun;宋体"/>
          <w:b/>
          <w:bCs/>
          <w:sz w:val="28"/>
          <w:lang w:val="en-US"/>
        </w:rPr>
        <w:t xml:space="preserve">Диаграмма распределения тестовых баллов </w:t>
      </w:r>
      <w:r>
        <w:rPr>
          <w:rFonts w:eastAsia="SimSun;宋体"/>
          <w:b/>
          <w:bCs/>
          <w:sz w:val="28"/>
        </w:rPr>
        <w:t xml:space="preserve">участников ЕГЭ </w:t>
      </w:r>
      <w:r>
        <w:rPr>
          <w:rFonts w:eastAsia="SimSun;宋体"/>
          <w:b/>
          <w:bCs/>
          <w:sz w:val="28"/>
          <w:lang w:val="en-US"/>
        </w:rPr>
        <w:t xml:space="preserve">по предмету</w:t>
      </w:r>
      <w:r>
        <w:rPr>
          <w:rFonts w:eastAsia="SimSun;宋体"/>
          <w:b/>
          <w:bCs/>
          <w:sz w:val="28"/>
        </w:rPr>
        <w:t xml:space="preserve"> </w:t>
      </w:r>
      <w:r>
        <w:rPr>
          <w:rFonts w:eastAsia="SimSun;宋体"/>
          <w:b/>
          <w:bCs/>
          <w:sz w:val="28"/>
          <w:lang w:val="en-US"/>
        </w:rPr>
        <w:t xml:space="preserve">в</w:t>
      </w:r>
      <w:r>
        <w:rPr>
          <w:rFonts w:eastAsia="SimSun;宋体"/>
          <w:b/>
          <w:bCs/>
          <w:sz w:val="28"/>
        </w:rPr>
        <w:t xml:space="preserve"> </w:t>
      </w:r>
      <w:r>
        <w:rPr>
          <w:rFonts w:eastAsia="SimSun;宋体"/>
          <w:b/>
          <w:bCs/>
          <w:sz w:val="28"/>
          <w:lang w:val="en-US"/>
        </w:rPr>
        <w:t xml:space="preserve">2021</w:t>
      </w:r>
      <w:r>
        <w:rPr>
          <w:rFonts w:eastAsia="SimSun;宋体"/>
          <w:b/>
          <w:bCs/>
          <w:sz w:val="28"/>
        </w:rPr>
        <w:t xml:space="preserve"> </w:t>
      </w:r>
      <w:r>
        <w:rPr>
          <w:rFonts w:eastAsia="SimSun;宋体"/>
          <w:b/>
          <w:bCs/>
          <w:sz w:val="28"/>
          <w:lang w:val="en-US"/>
        </w:rPr>
        <w:t xml:space="preserve">г.</w:t>
      </w:r>
      <w:r>
        <w:rPr>
          <w:rFonts w:eastAsia="SimSun;宋体"/>
          <w:b/>
          <w:bCs/>
          <w:sz w:val="28"/>
        </w:rPr>
        <w:t xml:space="preserve"> </w:t>
      </w:r>
      <w:r/>
    </w:p>
    <w:p>
      <w:pPr>
        <w:pStyle w:val="940"/>
        <w:jc w:val="both"/>
        <w:keepLines/>
        <w:keepNext/>
        <w:spacing w:before="200" w:after="0"/>
        <w:tabs>
          <w:tab w:val="left" w:pos="142" w:leader="none"/>
          <w:tab w:val="clear" w:pos="708" w:leader="none"/>
        </w:tabs>
      </w:pPr>
      <w:r>
        <w:rPr>
          <w:rFonts w:eastAsia="SimSun;宋体"/>
          <w:bCs/>
          <w:i/>
          <w:sz w:val="28"/>
        </w:rPr>
        <w:t xml:space="preserve">(</w:t>
      </w:r>
      <w:r>
        <w:rPr>
          <w:rFonts w:eastAsia="SimSun;宋体"/>
          <w:bCs/>
          <w:i/>
          <w:lang w:val="en-US"/>
        </w:rPr>
        <w:t xml:space="preserve">количество участников, получивших тот или иной тестовый балл)</w:t>
      </w:r>
      <w:r/>
    </w:p>
    <w:p>
      <w:pPr>
        <w:pStyle w:val="940"/>
        <w:rPr>
          <w:rFonts w:eastAsia="SimSun;宋体"/>
          <w:bCs/>
          <w:i/>
          <w:lang w:val="en-US"/>
        </w:rPr>
      </w:pPr>
      <w:r>
        <w:rPr>
          <w:rFonts w:eastAsia="SimSun;宋体"/>
          <w:bCs/>
          <w:i/>
          <w:lang w:val="en-US"/>
        </w:rPr>
      </w:r>
      <w:r/>
    </w:p>
    <w:p>
      <w:pPr>
        <w:pStyle w:val="940"/>
        <w:jc w:val="center"/>
        <w:rPr>
          <w:rFonts w:eastAsia="Times New Roman"/>
          <w:b/>
          <w:bCs/>
          <w:sz w:val="28"/>
        </w:rPr>
      </w:pPr>
      <w:r>
        <w:rPr>
          <w:lang w:val="en-US" w:eastAsia="en-US"/>
        </w:rPr>
        <mc:AlternateContent>
          <mc:Choice Requires="wpg">
            <w:drawing>
              <wp:inline xmlns:wp="http://schemas.openxmlformats.org/drawingml/2006/wordprocessingDrawing" distT="0" distB="0" distL="0" distR="0">
                <wp:extent cx="6106160" cy="1816735"/>
                <wp:effectExtent l="0" t="0" r="0" b="0"/>
                <wp:docPr id="18" name="Image13"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hidden="0"/>
                        <pic:cNvPicPr>
                          <a:picLocks noChangeAspect="1"/>
                        </pic:cNvPicPr>
                        <pic:nvPr isPhoto="0" userDrawn="0"/>
                      </pic:nvPicPr>
                      <pic:blipFill>
                        <a:blip r:embed="rId40"/>
                        <a:srcRect l="0" t="8477" r="0" b="0"/>
                        <a:stretch/>
                      </pic:blipFill>
                      <pic:spPr bwMode="auto">
                        <a:xfrm>
                          <a:off x="0" y="0"/>
                          <a:ext cx="6106160" cy="1816735"/>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80.8pt;height:143.0pt;" strokecolor="#000000" strokeweight="0.75pt">
                <v:path textboxrect="0,0,0,0"/>
                <v:imagedata r:id="rId40" o:title=""/>
              </v:shape>
            </w:pict>
          </mc:Fallback>
        </mc:AlternateContent>
      </w:r>
      <w:r/>
    </w:p>
    <w:p>
      <w:pPr>
        <w:pStyle w:val="940"/>
        <w:numPr>
          <w:ilvl w:val="1"/>
          <w:numId w:val="31"/>
        </w:numPr>
        <w:ind w:left="0" w:firstLine="0"/>
        <w:keepLines/>
        <w:keepNext/>
        <w:spacing w:before="200" w:after="0"/>
        <w:tabs>
          <w:tab w:val="left" w:pos="142" w:leader="none"/>
          <w:tab w:val="clear" w:pos="708" w:leader="none"/>
        </w:tabs>
      </w:pPr>
      <w:r>
        <w:rPr>
          <w:rFonts w:eastAsia="Times New Roman"/>
          <w:b/>
          <w:bCs/>
          <w:sz w:val="28"/>
        </w:rPr>
        <w:t xml:space="preserve"> </w:t>
      </w:r>
      <w:r>
        <w:rPr>
          <w:rFonts w:eastAsia="SimSun;宋体"/>
          <w:b/>
          <w:bCs/>
          <w:sz w:val="28"/>
          <w:lang w:val="en-US"/>
        </w:rPr>
        <w:t xml:space="preserve">Динамика результатов ЕГЭ по предмету за последние 3 года</w:t>
      </w:r>
      <w:r/>
    </w:p>
    <w:p>
      <w:pPr>
        <w:pStyle w:val="940"/>
        <w:jc w:val="right"/>
        <w:keepNext/>
        <w:spacing w:before="0" w:after="200"/>
        <w:rPr>
          <w:bCs/>
          <w:i/>
          <w:sz w:val="18"/>
          <w:szCs w:val="18"/>
        </w:rPr>
      </w:pPr>
      <w:r>
        <w:rPr>
          <w:bCs/>
          <w:i/>
          <w:sz w:val="18"/>
          <w:szCs w:val="18"/>
        </w:rPr>
        <w:t xml:space="preserve">Таблица 2-7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931"/>
        <w:gridCol w:w="1569"/>
        <w:gridCol w:w="1704"/>
        <w:gridCol w:w="1455"/>
      </w:tblGrid>
      <w:tr>
        <w:trPr>
          <w:cantSplit/>
          <w:trHeight w:val="333"/>
          <w:tblHeader/>
        </w:trPr>
        <w:tc>
          <w:tcPr>
            <w:tcBorders>
              <w:top w:val="single" w:color="000000" w:sz="4" w:space="0"/>
              <w:left w:val="single" w:color="000000" w:sz="4" w:space="0"/>
              <w:bottom w:val="single" w:color="000000" w:sz="4" w:space="0"/>
            </w:tcBorders>
            <w:tcW w:w="4931"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728"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52"/>
          <w:tblHeader/>
        </w:trPr>
        <w:tc>
          <w:tcPr>
            <w:tcBorders>
              <w:top w:val="single" w:color="000000" w:sz="4" w:space="0"/>
              <w:left w:val="single" w:color="000000" w:sz="4" w:space="0"/>
              <w:bottom w:val="single" w:color="000000" w:sz="4" w:space="0"/>
            </w:tcBorders>
            <w:tcW w:w="4931"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69"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704"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455"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43"/>
        </w:trPr>
        <w:tc>
          <w:tcPr>
            <w:tcBorders>
              <w:top w:val="single" w:color="000000" w:sz="4" w:space="0"/>
              <w:left w:val="single" w:color="000000" w:sz="4" w:space="0"/>
              <w:bottom w:val="single" w:color="000000" w:sz="4" w:space="0"/>
            </w:tcBorders>
            <w:tcW w:w="4931"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69" w:type="dxa"/>
            <w:vAlign w:val="center"/>
            <w:textDirection w:val="lrTb"/>
            <w:noWrap w:val="false"/>
          </w:tcPr>
          <w:p>
            <w:pPr>
              <w:pStyle w:val="940"/>
              <w:jc w:val="center"/>
              <w:rPr>
                <w:color w:val="000000"/>
              </w:rPr>
            </w:pPr>
            <w:r>
              <w:rPr>
                <w:color w:val="000000"/>
              </w:rPr>
              <w:t xml:space="preserve">4,9</w:t>
            </w:r>
            <w:r/>
          </w:p>
        </w:tc>
        <w:tc>
          <w:tcPr>
            <w:tcBorders>
              <w:top w:val="single" w:color="000000" w:sz="4" w:space="0"/>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4,1</w:t>
            </w:r>
            <w:r/>
          </w:p>
        </w:tc>
        <w:tc>
          <w:tcPr>
            <w:tcBorders>
              <w:top w:val="single" w:color="000000" w:sz="4" w:space="0"/>
              <w:left w:val="single" w:color="000000" w:sz="4" w:space="0"/>
              <w:bottom w:val="single" w:color="000000" w:sz="4" w:space="0"/>
              <w:right w:val="single" w:color="000000" w:sz="4" w:space="0"/>
            </w:tcBorders>
            <w:tcW w:w="1455" w:type="dxa"/>
            <w:textDirection w:val="lrTb"/>
            <w:noWrap w:val="false"/>
          </w:tcPr>
          <w:p>
            <w:pPr>
              <w:pStyle w:val="940"/>
              <w:jc w:val="center"/>
              <w:rPr>
                <w:lang w:val="en-US"/>
              </w:rPr>
            </w:pPr>
            <w:r>
              <w:rPr>
                <w:lang w:val="en-US"/>
              </w:rPr>
              <w:t xml:space="preserve">2,7</w:t>
            </w:r>
            <w:r/>
          </w:p>
        </w:tc>
      </w:tr>
      <w:tr>
        <w:trPr>
          <w:cantSplit/>
          <w:trHeight w:val="348"/>
        </w:trPr>
        <w:tc>
          <w:tcPr>
            <w:tcBorders>
              <w:top w:val="single" w:color="000000" w:sz="4" w:space="0"/>
              <w:left w:val="single" w:color="000000" w:sz="4" w:space="0"/>
              <w:bottom w:val="single" w:color="000000" w:sz="4" w:space="0"/>
            </w:tcBorders>
            <w:tcW w:w="4931"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69" w:type="dxa"/>
            <w:vAlign w:val="center"/>
            <w:textDirection w:val="lrTb"/>
            <w:noWrap w:val="false"/>
          </w:tcPr>
          <w:p>
            <w:pPr>
              <w:pStyle w:val="940"/>
              <w:jc w:val="center"/>
              <w:rPr>
                <w:color w:val="000000"/>
              </w:rPr>
            </w:pPr>
            <w:r>
              <w:rPr>
                <w:color w:val="000000"/>
              </w:rPr>
              <w:t xml:space="preserve">61,6</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63,1</w:t>
            </w:r>
            <w:r/>
          </w:p>
        </w:tc>
        <w:tc>
          <w:tcPr>
            <w:tcBorders>
              <w:top w:val="single" w:color="000000" w:sz="4" w:space="0"/>
              <w:left w:val="single" w:color="000000" w:sz="4" w:space="0"/>
              <w:bottom w:val="single" w:color="000000" w:sz="4" w:space="0"/>
              <w:right w:val="single" w:color="000000" w:sz="4" w:space="0"/>
            </w:tcBorders>
            <w:tcW w:w="1455" w:type="dxa"/>
            <w:textDirection w:val="lrTb"/>
            <w:noWrap w:val="false"/>
          </w:tcPr>
          <w:p>
            <w:pPr>
              <w:pStyle w:val="940"/>
              <w:jc w:val="center"/>
            </w:pPr>
            <w:r>
              <w:t xml:space="preserve">61,4</w:t>
            </w:r>
            <w:r/>
          </w:p>
        </w:tc>
      </w:tr>
      <w:tr>
        <w:trPr>
          <w:cantSplit/>
          <w:trHeight w:val="333"/>
        </w:trPr>
        <w:tc>
          <w:tcPr>
            <w:tcBorders>
              <w:top w:val="single" w:color="000000" w:sz="4" w:space="0"/>
              <w:left w:val="single" w:color="000000" w:sz="4" w:space="0"/>
              <w:bottom w:val="single" w:color="000000" w:sz="4" w:space="0"/>
            </w:tcBorders>
            <w:tcW w:w="493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69" w:type="dxa"/>
            <w:vAlign w:val="center"/>
            <w:textDirection w:val="lrTb"/>
            <w:noWrap w:val="false"/>
          </w:tcPr>
          <w:p>
            <w:pPr>
              <w:pStyle w:val="940"/>
              <w:jc w:val="center"/>
              <w:rPr>
                <w:color w:val="000000"/>
              </w:rPr>
            </w:pPr>
            <w:r>
              <w:rPr>
                <w:color w:val="000000"/>
              </w:rPr>
              <w:t xml:space="preserve">14,3</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16,7</w:t>
            </w:r>
            <w:r/>
          </w:p>
        </w:tc>
        <w:tc>
          <w:tcPr>
            <w:tcBorders>
              <w:top w:val="single" w:color="000000" w:sz="4" w:space="0"/>
              <w:left w:val="single" w:color="000000" w:sz="4" w:space="0"/>
              <w:bottom w:val="single" w:color="000000" w:sz="4" w:space="0"/>
              <w:right w:val="single" w:color="000000" w:sz="4" w:space="0"/>
            </w:tcBorders>
            <w:tcW w:w="1455" w:type="dxa"/>
            <w:textDirection w:val="lrTb"/>
            <w:noWrap w:val="false"/>
          </w:tcPr>
          <w:p>
            <w:pPr>
              <w:pStyle w:val="940"/>
              <w:jc w:val="center"/>
            </w:pPr>
            <w:r>
              <w:t xml:space="preserve">13,0</w:t>
            </w:r>
            <w:r/>
          </w:p>
        </w:tc>
      </w:tr>
      <w:tr>
        <w:trPr>
          <w:cantSplit/>
          <w:trHeight w:val="363"/>
        </w:trPr>
        <w:tc>
          <w:tcPr>
            <w:tcBorders>
              <w:top w:val="single" w:color="000000" w:sz="4" w:space="0"/>
              <w:left w:val="single" w:color="000000" w:sz="4" w:space="0"/>
              <w:bottom w:val="single" w:color="000000" w:sz="4" w:space="0"/>
            </w:tcBorders>
            <w:tcW w:w="4931"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69" w:type="dxa"/>
            <w:vAlign w:val="center"/>
            <w:textDirection w:val="lrTb"/>
            <w:noWrap w:val="false"/>
          </w:tcPr>
          <w:p>
            <w:pPr>
              <w:pStyle w:val="940"/>
              <w:jc w:val="center"/>
              <w:rPr>
                <w:color w:val="000000"/>
              </w:rPr>
            </w:pPr>
            <w:r>
              <w:rPr>
                <w:color w:val="000000"/>
              </w:rPr>
              <w:t xml:space="preserve">1</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2</w:t>
            </w:r>
            <w:r/>
          </w:p>
        </w:tc>
        <w:tc>
          <w:tcPr>
            <w:tcBorders>
              <w:top w:val="single" w:color="000000" w:sz="4" w:space="0"/>
              <w:left w:val="single" w:color="000000" w:sz="4" w:space="0"/>
              <w:bottom w:val="single" w:color="000000" w:sz="4" w:space="0"/>
              <w:right w:val="single" w:color="000000" w:sz="4" w:space="0"/>
            </w:tcBorders>
            <w:tcW w:w="1455" w:type="dxa"/>
            <w:textDirection w:val="lrTb"/>
            <w:noWrap w:val="false"/>
          </w:tcPr>
          <w:p>
            <w:pPr>
              <w:pStyle w:val="940"/>
              <w:jc w:val="center"/>
            </w:pPr>
            <w:r>
              <w:t xml:space="preserve">0</w:t>
            </w:r>
            <w:r/>
          </w:p>
        </w:tc>
      </w:tr>
    </w:tbl>
    <w:p>
      <w:pPr>
        <w:pStyle w:val="940"/>
        <w:jc w:val="both"/>
        <w:tabs>
          <w:tab w:val="clear" w:pos="708" w:leader="none"/>
          <w:tab w:val="left" w:pos="709" w:leader="none"/>
        </w:tabs>
      </w:pPr>
      <w:r/>
      <w:r/>
    </w:p>
    <w:p>
      <w:pPr>
        <w:pStyle w:val="940"/>
        <w:numPr>
          <w:ilvl w:val="1"/>
          <w:numId w:val="31"/>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Результаты по группам участников экзамена с различным уровнем подготовки:</w:t>
      </w:r>
      <w:r/>
    </w:p>
    <w:p>
      <w:pPr>
        <w:pStyle w:val="940"/>
        <w:numPr>
          <w:ilvl w:val="2"/>
          <w:numId w:val="31"/>
        </w:numPr>
        <w:ind w:left="567" w:firstLine="0"/>
        <w:keepLines/>
        <w:keepNext/>
        <w:spacing w:before="200" w:after="0"/>
      </w:pPr>
      <w:r>
        <w:rPr>
          <w:rFonts w:eastAsia="SimSun;宋体"/>
          <w:sz w:val="28"/>
          <w:lang w:val="en-US"/>
        </w:rPr>
        <w:t xml:space="preserve">в разрезе категорий</w:t>
      </w:r>
      <w:r>
        <w:rPr>
          <w:rFonts w:eastAsia="SimSun;宋体"/>
          <w:sz w:val="28"/>
        </w:rPr>
        <w:t xml:space="preserve"> </w:t>
      </w:r>
      <w:r>
        <w:rPr>
          <w:rFonts w:eastAsia="SimSun;宋体"/>
          <w:sz w:val="28"/>
          <w:lang w:val="en-US"/>
        </w:rPr>
        <w:t xml:space="preserve">участников ЕГЭ </w:t>
      </w:r>
      <w:r/>
    </w:p>
    <w:p>
      <w:pPr>
        <w:pStyle w:val="940"/>
        <w:jc w:val="right"/>
        <w:keepNext/>
        <w:spacing w:before="0" w:after="200"/>
        <w:rPr>
          <w:bCs/>
          <w:i/>
          <w:sz w:val="18"/>
          <w:szCs w:val="18"/>
        </w:rPr>
      </w:pPr>
      <w:r>
        <w:rPr>
          <w:bCs/>
          <w:i/>
          <w:sz w:val="18"/>
          <w:szCs w:val="18"/>
        </w:rPr>
        <w:t xml:space="preserve">Таблица 2-8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45"/>
        <w:gridCol w:w="1174"/>
        <w:gridCol w:w="1174"/>
        <w:gridCol w:w="1147"/>
        <w:gridCol w:w="1212"/>
        <w:gridCol w:w="1211"/>
        <w:gridCol w:w="1211"/>
        <w:gridCol w:w="1085"/>
      </w:tblGrid>
      <w:tr>
        <w:trPr>
          <w:cantSplit/>
          <w:trHeight w:val="1052"/>
          <w:tblHeader/>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4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1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3,2</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42,1</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71,4</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41,6</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28,6</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66,7</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13,2</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16,7</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541"/>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keepNext/>
        <w:spacing w:before="0" w:after="200"/>
        <w:rPr>
          <w:bCs/>
          <w:i/>
          <w:sz w:val="18"/>
          <w:szCs w:val="18"/>
        </w:rPr>
      </w:pPr>
      <w:r>
        <w:rPr>
          <w:bCs/>
          <w:i/>
          <w:sz w:val="18"/>
          <w:szCs w:val="18"/>
        </w:rPr>
      </w:r>
      <w:r/>
    </w:p>
    <w:p>
      <w:pPr>
        <w:pStyle w:val="940"/>
        <w:numPr>
          <w:ilvl w:val="2"/>
          <w:numId w:val="31"/>
        </w:numPr>
        <w:ind w:left="567" w:firstLine="0"/>
        <w:keepLines/>
        <w:keepNext/>
        <w:spacing w:before="200" w:after="0"/>
        <w:rPr>
          <w:rFonts w:eastAsia="SimSun;宋体"/>
          <w:sz w:val="28"/>
          <w:lang w:val="en-US"/>
        </w:rPr>
      </w:pPr>
      <w:r>
        <w:rPr>
          <w:rFonts w:eastAsia="SimSun;宋体"/>
          <w:sz w:val="28"/>
          <w:lang w:val="en-US"/>
        </w:rPr>
        <w:t xml:space="preserve">в разрезе типа ОО</w:t>
      </w:r>
      <w:r/>
    </w:p>
    <w:p>
      <w:pPr>
        <w:pStyle w:val="940"/>
        <w:jc w:val="right"/>
        <w:keepNext/>
        <w:spacing w:before="0" w:after="200"/>
        <w:rPr>
          <w:bCs/>
          <w:i/>
          <w:sz w:val="18"/>
          <w:szCs w:val="18"/>
        </w:rPr>
      </w:pPr>
      <w:r>
        <w:rPr>
          <w:bCs/>
          <w:i/>
          <w:sz w:val="18"/>
          <w:szCs w:val="18"/>
        </w:rPr>
        <w:t xml:space="preserve">Таблица 2-9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660"/>
        <w:gridCol w:w="1629"/>
        <w:gridCol w:w="1629"/>
        <w:gridCol w:w="1516"/>
        <w:gridCol w:w="1517"/>
        <w:gridCol w:w="1815"/>
      </w:tblGrid>
      <w:tr>
        <w:trPr>
          <w:trHeight w:val="358"/>
        </w:trPr>
        <w:tc>
          <w:tcPr>
            <w:tcBorders>
              <w:top w:val="single" w:color="000000" w:sz="4" w:space="0"/>
              <w:left w:val="single" w:color="000000" w:sz="4" w:space="0"/>
              <w:bottom w:val="single" w:color="000000" w:sz="4" w:space="0"/>
            </w:tcBorders>
            <w:tcW w:w="1660"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9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815"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32"/>
        </w:trPr>
        <w:tc>
          <w:tcPr>
            <w:tcBorders>
              <w:top w:val="single" w:color="000000" w:sz="4" w:space="0"/>
              <w:left w:val="single" w:color="000000" w:sz="4" w:space="0"/>
              <w:bottom w:val="single" w:color="000000" w:sz="4" w:space="0"/>
            </w:tcBorders>
            <w:tcW w:w="1660"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51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top w:val="single" w:color="000000" w:sz="4" w:space="0"/>
              <w:left w:val="single" w:color="000000" w:sz="4" w:space="0"/>
              <w:bottom w:val="single" w:color="000000" w:sz="4" w:space="0"/>
            </w:tcBorders>
            <w:tcW w:w="1517"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815" w:type="dxa"/>
            <w:vAlign w:val="bottom"/>
            <w:vMerge w:val="continue"/>
            <w:textDirection w:val="lrTb"/>
            <w:noWrap w:val="false"/>
          </w:tcPr>
          <w:p>
            <w:pPr>
              <w:pStyle w:val="940"/>
              <w:rPr>
                <w:rFonts w:eastAsia="Times New Roman"/>
              </w:rPr>
            </w:pPr>
            <w:r>
              <w:rPr>
                <w:rFonts w:eastAsia="Times New Roman"/>
              </w:rPr>
            </w:r>
            <w:r/>
          </w:p>
        </w:tc>
      </w:tr>
      <w:tr>
        <w:trPr>
          <w:trHeight w:val="332"/>
        </w:trPr>
        <w:tc>
          <w:tcPr>
            <w:tcBorders>
              <w:top w:val="single" w:color="000000" w:sz="4" w:space="0"/>
              <w:left w:val="single" w:color="000000" w:sz="4" w:space="0"/>
              <w:bottom w:val="single" w:color="000000" w:sz="4" w:space="0"/>
            </w:tcBorders>
            <w:tcW w:w="1660" w:type="dxa"/>
            <w:vAlign w:val="bottom"/>
            <w:textDirection w:val="lrTb"/>
            <w:noWrap w:val="false"/>
          </w:tcPr>
          <w:p>
            <w:pPr>
              <w:pStyle w:val="940"/>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3,6</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45,3</w:t>
            </w:r>
            <w:r/>
          </w:p>
        </w:tc>
        <w:tc>
          <w:tcPr>
            <w:tcBorders>
              <w:top w:val="single" w:color="000000" w:sz="4" w:space="0"/>
              <w:left w:val="single" w:color="000000" w:sz="4" w:space="0"/>
              <w:bottom w:val="single" w:color="000000" w:sz="4" w:space="0"/>
            </w:tcBorders>
            <w:tcW w:w="1516" w:type="dxa"/>
            <w:vAlign w:val="bottom"/>
            <w:textDirection w:val="lrTb"/>
            <w:noWrap w:val="false"/>
          </w:tcPr>
          <w:p>
            <w:pPr>
              <w:pStyle w:val="940"/>
              <w:jc w:val="center"/>
              <w:rPr>
                <w:rFonts w:eastAsia="Times New Roman"/>
              </w:rPr>
            </w:pPr>
            <w:r>
              <w:rPr>
                <w:rFonts w:eastAsia="Times New Roman"/>
              </w:rPr>
              <w:t xml:space="preserve">43,1</w:t>
            </w:r>
            <w:r/>
          </w:p>
        </w:tc>
        <w:tc>
          <w:tcPr>
            <w:tcBorders>
              <w:top w:val="single" w:color="000000" w:sz="4" w:space="0"/>
              <w:left w:val="single" w:color="000000" w:sz="4" w:space="0"/>
              <w:bottom w:val="single" w:color="000000" w:sz="4" w:space="0"/>
            </w:tcBorders>
            <w:tcW w:w="1517" w:type="dxa"/>
            <w:vAlign w:val="bottom"/>
            <w:textDirection w:val="lrTb"/>
            <w:noWrap w:val="false"/>
          </w:tcPr>
          <w:p>
            <w:pPr>
              <w:pStyle w:val="940"/>
              <w:jc w:val="center"/>
              <w:rPr>
                <w:rFonts w:eastAsia="Times New Roman"/>
              </w:rPr>
            </w:pPr>
            <w:r>
              <w:rPr>
                <w:rFonts w:eastAsia="Times New Roman"/>
              </w:rPr>
              <w:t xml:space="preserve">8,0</w:t>
            </w:r>
            <w:r/>
          </w:p>
        </w:tc>
        <w:tc>
          <w:tcPr>
            <w:tcBorders>
              <w:top w:val="single" w:color="000000" w:sz="4" w:space="0"/>
              <w:left w:val="single" w:color="000000" w:sz="4" w:space="0"/>
              <w:bottom w:val="single" w:color="000000" w:sz="4" w:space="0"/>
              <w:right w:val="single" w:color="000000" w:sz="4" w:space="0"/>
            </w:tcBorders>
            <w:tcW w:w="1815" w:type="dxa"/>
            <w:vAlign w:val="bottom"/>
            <w:textDirection w:val="lrTb"/>
            <w:noWrap w:val="false"/>
          </w:tcPr>
          <w:p>
            <w:pPr>
              <w:pStyle w:val="940"/>
              <w:jc w:val="center"/>
              <w:rPr>
                <w:rFonts w:eastAsia="Times New Roman"/>
              </w:rPr>
            </w:pPr>
            <w:r>
              <w:rPr>
                <w:rFonts w:eastAsia="Times New Roman"/>
              </w:rPr>
              <w:t xml:space="preserve">0</w:t>
            </w:r>
            <w:r/>
          </w:p>
        </w:tc>
      </w:tr>
      <w:tr>
        <w:trPr>
          <w:trHeight w:val="332"/>
        </w:trPr>
        <w:tc>
          <w:tcPr>
            <w:tcBorders>
              <w:top w:val="single" w:color="000000" w:sz="4" w:space="0"/>
              <w:left w:val="single" w:color="000000" w:sz="4" w:space="0"/>
              <w:bottom w:val="single" w:color="000000" w:sz="4" w:space="0"/>
            </w:tcBorders>
            <w:tcW w:w="1660"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2,2</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33,3</w:t>
            </w:r>
            <w:r/>
          </w:p>
        </w:tc>
        <w:tc>
          <w:tcPr>
            <w:tcBorders>
              <w:top w:val="single" w:color="000000" w:sz="4" w:space="0"/>
              <w:left w:val="single" w:color="000000" w:sz="4" w:space="0"/>
              <w:bottom w:val="single" w:color="000000" w:sz="4" w:space="0"/>
            </w:tcBorders>
            <w:tcW w:w="1516" w:type="dxa"/>
            <w:vAlign w:val="bottom"/>
            <w:textDirection w:val="lrTb"/>
            <w:noWrap w:val="false"/>
          </w:tcPr>
          <w:p>
            <w:pPr>
              <w:pStyle w:val="940"/>
              <w:jc w:val="center"/>
              <w:rPr>
                <w:color w:val="000000"/>
              </w:rPr>
            </w:pPr>
            <w:r>
              <w:rPr>
                <w:color w:val="000000"/>
              </w:rPr>
              <w:t xml:space="preserve">37,8</w:t>
            </w:r>
            <w:r/>
          </w:p>
        </w:tc>
        <w:tc>
          <w:tcPr>
            <w:tcBorders>
              <w:top w:val="single" w:color="000000" w:sz="4" w:space="0"/>
              <w:left w:val="single" w:color="000000" w:sz="4" w:space="0"/>
              <w:bottom w:val="single" w:color="000000" w:sz="4" w:space="0"/>
            </w:tcBorders>
            <w:tcW w:w="1517" w:type="dxa"/>
            <w:vAlign w:val="bottom"/>
            <w:textDirection w:val="lrTb"/>
            <w:noWrap w:val="false"/>
          </w:tcPr>
          <w:p>
            <w:pPr>
              <w:pStyle w:val="940"/>
              <w:jc w:val="center"/>
              <w:rPr>
                <w:color w:val="000000"/>
              </w:rPr>
            </w:pPr>
            <w:r>
              <w:rPr>
                <w:color w:val="000000"/>
              </w:rPr>
              <w:t xml:space="preserve">26,7</w:t>
            </w:r>
            <w:r/>
          </w:p>
        </w:tc>
        <w:tc>
          <w:tcPr>
            <w:tcBorders>
              <w:top w:val="single" w:color="000000" w:sz="4" w:space="0"/>
              <w:left w:val="single" w:color="000000" w:sz="4" w:space="0"/>
              <w:bottom w:val="single" w:color="000000" w:sz="4" w:space="0"/>
              <w:right w:val="single" w:color="000000" w:sz="4" w:space="0"/>
            </w:tcBorders>
            <w:tcW w:w="1815" w:type="dxa"/>
            <w:vAlign w:val="bottom"/>
            <w:textDirection w:val="lrTb"/>
            <w:noWrap w:val="false"/>
          </w:tcPr>
          <w:p>
            <w:pPr>
              <w:pStyle w:val="940"/>
              <w:jc w:val="center"/>
              <w:rPr>
                <w:rFonts w:eastAsia="Times New Roman"/>
              </w:rPr>
            </w:pPr>
            <w:r>
              <w:rPr>
                <w:rFonts w:eastAsia="Times New Roman"/>
              </w:rPr>
              <w:t xml:space="preserve">0</w:t>
            </w:r>
            <w:r/>
          </w:p>
        </w:tc>
      </w:tr>
      <w:tr>
        <w:trPr>
          <w:trHeight w:val="311"/>
        </w:trPr>
        <w:tc>
          <w:tcPr>
            <w:tcBorders>
              <w:top w:val="single" w:color="000000" w:sz="4" w:space="0"/>
              <w:left w:val="single" w:color="000000" w:sz="4" w:space="0"/>
              <w:bottom w:val="single" w:color="000000" w:sz="4" w:space="0"/>
            </w:tcBorders>
            <w:tcW w:w="1660" w:type="dxa"/>
            <w:vAlign w:val="bottom"/>
            <w:textDirection w:val="lrTb"/>
            <w:noWrap w:val="false"/>
          </w:tcPr>
          <w:p>
            <w:pPr>
              <w:pStyle w:val="940"/>
              <w:rPr>
                <w:rFonts w:eastAsia="Times New Roman"/>
              </w:rPr>
            </w:pPr>
            <w:r>
              <w:rPr>
                <w:rFonts w:eastAsia="Times New Roman"/>
              </w:rPr>
              <w:t xml:space="preserve">О(c)ОШ</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100,0</w:t>
            </w:r>
            <w:r/>
          </w:p>
        </w:tc>
        <w:tc>
          <w:tcPr>
            <w:tcBorders>
              <w:top w:val="single" w:color="000000" w:sz="4" w:space="0"/>
              <w:left w:val="single" w:color="000000" w:sz="4" w:space="0"/>
              <w:bottom w:val="single" w:color="000000" w:sz="4" w:space="0"/>
            </w:tcBorders>
            <w:tcW w:w="1516"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tcBorders>
            <w:tcW w:w="1517"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right w:val="single" w:color="000000" w:sz="4" w:space="0"/>
            </w:tcBorders>
            <w:tcW w:w="1815" w:type="dxa"/>
            <w:vAlign w:val="bottom"/>
            <w:textDirection w:val="lrTb"/>
            <w:noWrap w:val="false"/>
          </w:tcPr>
          <w:p>
            <w:pPr>
              <w:pStyle w:val="940"/>
              <w:jc w:val="center"/>
              <w:rPr>
                <w:rFonts w:eastAsia="Times New Roman"/>
              </w:rPr>
            </w:pPr>
            <w:r>
              <w:rPr>
                <w:rFonts w:eastAsia="Times New Roman"/>
              </w:rPr>
              <w:t xml:space="preserve">0</w:t>
            </w:r>
            <w:r/>
          </w:p>
        </w:tc>
      </w:tr>
      <w:tr>
        <w:trPr>
          <w:trHeight w:val="332"/>
        </w:trPr>
        <w:tc>
          <w:tcPr>
            <w:tcBorders>
              <w:top w:val="single" w:color="000000" w:sz="4" w:space="0"/>
              <w:left w:val="single" w:color="000000" w:sz="4" w:space="0"/>
              <w:bottom w:val="single" w:color="000000" w:sz="4" w:space="0"/>
            </w:tcBorders>
            <w:tcW w:w="1660"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16,7</w:t>
            </w:r>
            <w:r/>
          </w:p>
        </w:tc>
        <w:tc>
          <w:tcPr>
            <w:tcBorders>
              <w:top w:val="single" w:color="000000" w:sz="4" w:space="0"/>
              <w:left w:val="single" w:color="000000" w:sz="4" w:space="0"/>
              <w:bottom w:val="single" w:color="000000" w:sz="4" w:space="0"/>
            </w:tcBorders>
            <w:tcW w:w="1516"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517" w:type="dxa"/>
            <w:vAlign w:val="bottom"/>
            <w:textDirection w:val="lrTb"/>
            <w:noWrap w:val="false"/>
          </w:tcPr>
          <w:p>
            <w:pPr>
              <w:pStyle w:val="940"/>
              <w:jc w:val="center"/>
              <w:rPr>
                <w:color w:val="000000"/>
              </w:rPr>
            </w:pPr>
            <w:r>
              <w:rPr>
                <w:color w:val="000000"/>
              </w:rPr>
              <w:t xml:space="preserve">33,3</w:t>
            </w:r>
            <w:r/>
          </w:p>
        </w:tc>
        <w:tc>
          <w:tcPr>
            <w:tcBorders>
              <w:top w:val="single" w:color="000000" w:sz="4" w:space="0"/>
              <w:left w:val="single" w:color="000000" w:sz="4" w:space="0"/>
              <w:bottom w:val="single" w:color="000000" w:sz="4" w:space="0"/>
              <w:right w:val="single" w:color="000000" w:sz="4" w:space="0"/>
            </w:tcBorders>
            <w:tcW w:w="1815"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numPr>
          <w:ilvl w:val="2"/>
          <w:numId w:val="31"/>
        </w:numPr>
        <w:ind w:left="567" w:firstLine="0"/>
        <w:keepLines/>
        <w:keepNext/>
        <w:spacing w:before="200" w:after="0"/>
        <w:rPr>
          <w:rFonts w:eastAsia="SimSun;宋体"/>
          <w:sz w:val="28"/>
          <w:lang w:val="en-US"/>
        </w:rPr>
      </w:pPr>
      <w:r>
        <w:rPr>
          <w:rFonts w:eastAsia="SimSun;宋体"/>
          <w:sz w:val="28"/>
          <w:lang w:val="en-US"/>
        </w:rPr>
        <w:t xml:space="preserve">основные результаты ЕГЭ по предмету в сравнении по АТЕ</w:t>
      </w:r>
      <w:r/>
    </w:p>
    <w:p>
      <w:pPr>
        <w:pStyle w:val="940"/>
        <w:jc w:val="right"/>
        <w:keepNext/>
        <w:spacing w:before="0" w:after="200"/>
        <w:rPr>
          <w:bCs/>
          <w:i/>
          <w:sz w:val="18"/>
          <w:szCs w:val="18"/>
        </w:rPr>
      </w:pPr>
      <w:r>
        <w:rPr>
          <w:bCs/>
          <w:i/>
          <w:sz w:val="18"/>
          <w:szCs w:val="18"/>
        </w:rPr>
        <w:t xml:space="preserve">Таблица 2-10</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924"/>
        <w:gridCol w:w="1660"/>
        <w:gridCol w:w="1659"/>
        <w:gridCol w:w="1459"/>
        <w:gridCol w:w="1461"/>
        <w:gridCol w:w="1603"/>
      </w:tblGrid>
      <w:tr>
        <w:trPr>
          <w:trHeight w:val="230"/>
        </w:trPr>
        <w:tc>
          <w:tcPr>
            <w:tcBorders>
              <w:top w:val="single" w:color="000000" w:sz="4" w:space="0"/>
              <w:left w:val="single" w:color="000000" w:sz="4" w:space="0"/>
              <w:bottom w:val="single" w:color="000000" w:sz="4" w:space="0"/>
            </w:tcBorders>
            <w:tcW w:w="1924"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23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03"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952"/>
        </w:trPr>
        <w:tc>
          <w:tcPr>
            <w:tcBorders>
              <w:top w:val="single" w:color="000000" w:sz="4" w:space="0"/>
              <w:left w:val="single" w:color="000000" w:sz="4" w:space="0"/>
              <w:bottom w:val="single" w:color="000000" w:sz="4" w:space="0"/>
            </w:tcBorders>
            <w:tcW w:w="1924"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03" w:type="dxa"/>
            <w:vAlign w:val="bottom"/>
            <w:vMerge w:val="continue"/>
            <w:textDirection w:val="lrTb"/>
            <w:noWrap w:val="false"/>
          </w:tcPr>
          <w:p>
            <w:pPr>
              <w:pStyle w:val="940"/>
              <w:rPr>
                <w:rFonts w:eastAsia="Times New Roman"/>
              </w:rPr>
            </w:pPr>
            <w:r>
              <w:rPr>
                <w:rFonts w:eastAsia="Times New Roman"/>
              </w:rPr>
            </w:r>
            <w:r/>
          </w:p>
        </w:tc>
      </w:tr>
      <w:tr>
        <w:trPr>
          <w:trHeight w:val="230"/>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2,6</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41,0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38,5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17,9</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30"/>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4,3</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34,8</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56,5</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4,3</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30"/>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60,0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27"/>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60,0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27"/>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71,4</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27"/>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14,3</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42,9</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42,9</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71,4</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r>
        <w:trPr>
          <w:trHeight w:val="242"/>
        </w:trPr>
        <w:tc>
          <w:tcPr>
            <w:tcBorders>
              <w:left w:val="single" w:color="000000" w:sz="4" w:space="0"/>
              <w:bottom w:val="single" w:color="000000" w:sz="4" w:space="0"/>
            </w:tcBorders>
            <w:tcW w:w="1924" w:type="dxa"/>
            <w:vAlign w:val="bottom"/>
            <w:textDirection w:val="lrTb"/>
            <w:noWrap w:val="false"/>
          </w:tcPr>
          <w:p>
            <w:pPr>
              <w:pStyle w:val="940"/>
              <w:rPr>
                <w:rFonts w:eastAsia="Times New Roman"/>
              </w:rPr>
            </w:pPr>
            <w:r>
              <w:rPr>
                <w:rFonts w:eastAsia="Times New Roman"/>
              </w:rPr>
              <w:t xml:space="preserve">Экстерны</w:t>
            </w:r>
            <w:r/>
          </w:p>
        </w:tc>
        <w:tc>
          <w:tcPr>
            <w:tcBorders>
              <w:left w:val="single" w:color="000000" w:sz="4" w:space="0"/>
              <w:bottom w:val="single" w:color="000000" w:sz="4" w:space="0"/>
            </w:tcBorders>
            <w:tcW w:w="166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659"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59"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461"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03" w:type="dxa"/>
            <w:vAlign w:val="bottom"/>
            <w:textDirection w:val="lrTb"/>
            <w:noWrap w:val="false"/>
          </w:tcPr>
          <w:p>
            <w:pPr>
              <w:pStyle w:val="940"/>
              <w:jc w:val="center"/>
              <w:rPr>
                <w:rFonts w:eastAsia="Times New Roman"/>
                <w:lang w:val="en-US"/>
              </w:rPr>
            </w:pPr>
            <w:r>
              <w:rPr>
                <w:rFonts w:eastAsia="Times New Roman"/>
                <w:lang w:val="en-US"/>
              </w:rPr>
              <w:t xml:space="preserve">0</w:t>
            </w:r>
            <w:r/>
          </w:p>
        </w:tc>
      </w:tr>
    </w:tbl>
    <w:p>
      <w:pPr>
        <w:pStyle w:val="940"/>
        <w:keepNext/>
        <w:spacing w:before="0" w:after="200"/>
        <w:rPr>
          <w:bCs/>
          <w:i/>
          <w:sz w:val="18"/>
          <w:szCs w:val="18"/>
          <w:lang w:val="en-US"/>
        </w:rPr>
      </w:pPr>
      <w:r>
        <w:rPr>
          <w:bCs/>
          <w:i/>
          <w:sz w:val="18"/>
          <w:szCs w:val="18"/>
          <w:lang w:val="en-US"/>
        </w:rPr>
      </w:r>
      <w:r/>
    </w:p>
    <w:p>
      <w:pPr>
        <w:pStyle w:val="940"/>
        <w:numPr>
          <w:ilvl w:val="1"/>
          <w:numId w:val="31"/>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Выделение перечня ОО, продемонстрировавших наиболее высокие и низкие результаты ЕГЭ по предмету</w:t>
      </w:r>
      <w:r/>
    </w:p>
    <w:p>
      <w:pPr>
        <w:pStyle w:val="940"/>
        <w:numPr>
          <w:ilvl w:val="2"/>
          <w:numId w:val="46"/>
        </w:numPr>
        <w:ind w:left="567" w:firstLine="0"/>
        <w:jc w:val="both"/>
        <w:rPr>
          <w:rFonts w:eastAsia="SimSun;宋体"/>
          <w:bCs/>
          <w:sz w:val="28"/>
        </w:rPr>
      </w:pPr>
      <w:r>
        <w:rPr>
          <w:rFonts w:eastAsia="SimSun;宋体"/>
          <w:bCs/>
          <w:sz w:val="28"/>
        </w:rPr>
        <w:t xml:space="preserve">Перечень ОО, продемонстрировавших наиболее высокие результаты ЕГЭ по предмету</w:t>
      </w:r>
      <w:r/>
    </w:p>
    <w:p>
      <w:pPr>
        <w:pStyle w:val="940"/>
        <w:keepNext/>
        <w:spacing w:before="0" w:after="200"/>
        <w:rPr>
          <w:b/>
          <w:bCs/>
        </w:rPr>
      </w:pPr>
      <w:r>
        <w:rPr>
          <w:b/>
          <w:bCs/>
        </w:rPr>
        <w:t xml:space="preserve">Менее 10 участников экзамена от ОО</w:t>
      </w:r>
      <w:r/>
    </w:p>
    <w:p>
      <w:pPr>
        <w:pStyle w:val="940"/>
        <w:numPr>
          <w:ilvl w:val="2"/>
          <w:numId w:val="46"/>
        </w:numPr>
        <w:ind w:left="567" w:firstLine="0"/>
        <w:jc w:val="both"/>
        <w:keepLines/>
        <w:keepNext/>
        <w:spacing w:before="200" w:after="0"/>
        <w:tabs>
          <w:tab w:val="left" w:pos="142" w:leader="none"/>
          <w:tab w:val="clear" w:pos="708" w:leader="none"/>
        </w:tabs>
      </w:pPr>
      <w:r>
        <w:rPr>
          <w:rFonts w:eastAsia="SimSun;宋体"/>
          <w:sz w:val="28"/>
        </w:rPr>
        <w:t xml:space="preserve">П</w:t>
      </w:r>
      <w:r>
        <w:rPr>
          <w:rFonts w:eastAsia="SimSun;宋体"/>
          <w:sz w:val="28"/>
          <w:lang w:val="en-US"/>
        </w:rPr>
        <w:t xml:space="preserve">еречень ОО, продемонстрировавших низкие результаты ЕГЭ по предмету</w:t>
      </w:r>
      <w:r/>
    </w:p>
    <w:p>
      <w:pPr>
        <w:pStyle w:val="940"/>
        <w:keepNext/>
        <w:spacing w:before="0" w:after="200"/>
        <w:rPr>
          <w:b/>
          <w:bCs/>
        </w:rPr>
      </w:pPr>
      <w:r>
        <w:rPr>
          <w:b/>
          <w:bCs/>
        </w:rPr>
        <w:t xml:space="preserve">Менее 10 участников экзамена от ОО</w:t>
      </w:r>
      <w:r/>
    </w:p>
    <w:p>
      <w:pPr>
        <w:pStyle w:val="940"/>
        <w:keepLines/>
        <w:keepNext/>
        <w:spacing w:before="200" w:after="0"/>
      </w:pPr>
      <w:r>
        <w:rPr>
          <w:rFonts w:eastAsia="SimSun;宋体"/>
          <w:b/>
          <w:bCs/>
          <w:sz w:val="28"/>
        </w:rPr>
        <w:t xml:space="preserve">2.5. </w:t>
      </w:r>
      <w:r>
        <w:rPr>
          <w:rFonts w:eastAsia="SimSun;宋体"/>
          <w:b/>
          <w:bCs/>
          <w:sz w:val="28"/>
          <w:lang w:val="en-US"/>
        </w:rPr>
        <w:t xml:space="preserve">ВЫВОДЫ о характере изменения результатов ЕГЭ по предмету</w:t>
      </w:r>
      <w:r/>
    </w:p>
    <w:p>
      <w:pPr>
        <w:pStyle w:val="940"/>
        <w:jc w:val="both"/>
      </w:pPr>
      <w:r/>
      <w:r/>
    </w:p>
    <w:p>
      <w:pPr>
        <w:pStyle w:val="940"/>
        <w:ind w:firstLine="708"/>
        <w:jc w:val="both"/>
      </w:pPr>
      <w:r>
        <w:t xml:space="preserve">В 2021 году по сравнению с 2020, а по некоторым критериям и с 2019 годом, произошел спад показателе</w:t>
      </w:r>
      <w:r>
        <w:t xml:space="preserve">й экзамена. От 81 до 99 баллов в этом году получили только 13,0% экзаменующихся. При 16,7% за прошлый год и 14,3 % за 2019. Отсутствие стобалльников говорит о влиянии на экзамен онлайн-обучения прошлого года и утрате выпускниками навыка вдумчивого чтения. </w:t>
      </w:r>
      <w:r/>
    </w:p>
    <w:p>
      <w:pPr>
        <w:pStyle w:val="940"/>
        <w:ind w:firstLine="708"/>
        <w:jc w:val="both"/>
      </w:pPr>
      <w:r>
        <w:t xml:space="preserve">При этом количество участников, не преодолевших минимальный порог, уменьшилось с 4,7 до 2,7%, средний балл также стал меньше на 1,7 балла.</w:t>
        <w:tab/>
      </w:r>
      <w:r/>
    </w:p>
    <w:p>
      <w:pPr>
        <w:pStyle w:val="940"/>
        <w:ind w:firstLine="708"/>
        <w:jc w:val="both"/>
      </w:pPr>
      <w:r>
        <w:t xml:space="preserve">Свою лепту внесли все категории участников. ВПЛ в 2 раза уменьшили количество не преодолевших минимальный порог. Среди СПО такие отсутствуют полностью, при этом 40% сдали экзамен более чем на 81 балл. Выпускники лицее</w:t>
      </w:r>
      <w:r>
        <w:t xml:space="preserve">в и гимназий более чем в 2 раза улучшили свои показатели в диапазоне более 81 балла, правда при этом в 2,5 раза увеличив количество не преодолевших минимальный порог. Выпускники СОШ в значительной степени получили результаты в диапазоне от 61 до 80 баллов.</w:t>
      </w:r>
      <w:r/>
    </w:p>
    <w:p>
      <w:pPr>
        <w:pStyle w:val="940"/>
        <w:ind w:firstLine="708"/>
        <w:jc w:val="both"/>
      </w:pPr>
      <w:r>
        <w:t xml:space="preserve">Только в Красноярском районе и г. Астрахани есть участники, не набравшие минимальный балл.</w:t>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jc w:val="both"/>
      </w:pPr>
      <w:r/>
      <w:r/>
    </w:p>
    <w:p>
      <w:pPr>
        <w:pStyle w:val="940"/>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940"/>
        <w:jc w:val="both"/>
      </w:pPr>
      <w:r/>
      <w:r/>
    </w:p>
    <w:p>
      <w:pPr>
        <w:pStyle w:val="940"/>
        <w:ind w:firstLine="708"/>
        <w:jc w:val="both"/>
      </w:pPr>
      <w:r>
        <w:t xml:space="preserve">В каждый вариант КИМ по литературе включаются различные как по форме предъявления, так и по уровню сложности задания, выполнение которых выявляет уровень усвоения участниками ЕГЭ основных элементов со</w:t>
      </w:r>
      <w:r>
        <w:t xml:space="preserve">держания различных разделов курса, степень сформированности предметных компетенций и общеучебных навыков. Содержание и структура экзаменационной работы дают возможность проверить знание участника экзамена содержательной стороны курса (истории и теории лите</w:t>
      </w:r>
      <w:r>
        <w:t xml:space="preserve">ратуры), а также необходимый комплекс умений по предмету: аналитического осмысления художественного текста, его интерпретации, поиска оснований для сопоставления литературных явлений и фактов, написания аргументированного ответа на проблемный вопрос и т.п.</w:t>
      </w:r>
      <w:r/>
    </w:p>
    <w:p>
      <w:pPr>
        <w:pStyle w:val="940"/>
        <w:ind w:firstLine="708"/>
        <w:jc w:val="both"/>
      </w:pPr>
      <w:r>
        <w:t xml:space="preserve">Каждый вариант КИМ состоит из двух частей, принята сквозная</w:t>
      </w:r>
      <w:r>
        <w:t xml:space="preserve"> нумерация заданий. КИМ включает в себя 17 заданий, различающихся формой и уровнем сложности. В части 1 предлагается выполнение заданий, содержащих вопросы к анализу литературных произведений. Проверяется умение участника экзамена определять основные элеме</w:t>
      </w:r>
      <w:r>
        <w:t xml:space="preserve">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 </w:t>
      </w:r>
      <w:r/>
    </w:p>
    <w:p>
      <w:pPr>
        <w:pStyle w:val="940"/>
        <w:ind w:firstLine="708"/>
        <w:jc w:val="both"/>
      </w:pPr>
      <w:r>
        <w:t xml:space="preserve">Ч</w:t>
      </w:r>
      <w:r>
        <w:t xml:space="preserve">асть 1 включает в себя два комплекса заданий. Первый комплекс относится к фрагменту эпического, лироэпического или драматического произведения: 7 заданий с кратким ответом (1–7), требующих написания одного слóва, или словосочетания, или двух слов, или посл</w:t>
      </w:r>
      <w:r>
        <w:t xml:space="preserve">едовательности цифр, и 2 задания с развёрнутым ответом в объёме 5–10 предложений (8, 9). Второй комплекс заданий относится к лирическому произведению: 5 заданий с кратким ответом (10–14) и 2 задания с развёрнутым ответом в объёме 5–10 предложений (15, 16).</w:t>
      </w:r>
      <w:r/>
    </w:p>
    <w:p>
      <w:pPr>
        <w:pStyle w:val="940"/>
        <w:ind w:firstLine="708"/>
        <w:jc w:val="both"/>
      </w:pPr>
      <w:r>
        <w:t xml:space="preserve">Общая структура части 1 подчинена задаче широкого содержательного охвата литературного материала. Художественные тексты, предлагаемы</w:t>
      </w:r>
      <w:r>
        <w:t xml:space="preserve">е для анализа, позволяют проверить не только знание участника экзамена конкретных произведений, но и способность анализировать текст с учётом его жанровой принадлежности; 2 задания предполагают выход в широкий литературный контекст (обоснование связи данно</w:t>
      </w:r>
      <w:r>
        <w:t xml:space="preserve">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позволяет обеспечить дополнительный охват содержания проверяемого литературного материала. С</w:t>
      </w:r>
      <w:r>
        <w:t xml:space="preserve">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сюжетно-композиционные, образно-тематические и стилистические особенности анализируемого текста</w:t>
      </w:r>
      <w:r>
        <w:t xml:space="preserve">, обобщить свои наблюдения с выходом в литературный контекст. Часть 2 работы требует от участников ЕГЭ написания полноформатного развёрнутого сочинения на литературную тему. Таким образом, к отработанному в части 1 литературному материалу добавляется ещё о</w:t>
      </w:r>
      <w:r>
        <w:t xml:space="preserve">дин содержательный компонент проверяемого курса. Участнику экзамена предлагается 4 темы (17.1–17.4). Внутренняя логика компоновки набора из четырёх тем определяется несколькими подходами. Темы сочинений охватывают важнейшие этапы отечественного историко-ли</w:t>
      </w:r>
      <w:r>
        <w:t xml:space="preserve">тературного процесса и формулируются по произведениям древнерусской литературы, классики XVIII в., литературы ХIХ –ХХI в. (включая новейшую литературу конца ХХ – начала XXI века). В наборе тем могут использоваться разные формы предъявления задания: в виде </w:t>
      </w:r>
      <w:r>
        <w:t xml:space="preserve">вопроса или тезиса (утверждения). Темы задания 17.1–17.4 различаются также особенностями формулировок. Одна из них может иметь литературоведческий характер (на первый план выдвигается литературоведческое понятие «Поэт и Родина в творчестве                 </w:t>
      </w:r>
      <w:r>
        <w:t xml:space="preserve">С.А. Есенина» (на примере трех стихотворений). Другая нацеливает экзаменуемого на размышление над тематикой и проблематикой произведения(-ий) конкретного автора («Тема семьи в поэме М.Ю. Лермонтова «Песня про царя Ивана Васильевича, молодого опричника и уд</w:t>
      </w:r>
      <w:r>
        <w:t xml:space="preserve">алого купца Калашникова»). В наборе может быть представлена тема, ориентирующая экзаменуемого на создание сочинения, близкого к читательскому дневнику. Однако её не следует рассматривать как «свободную», поскольку она строго прикреплена к конкретному литер</w:t>
      </w:r>
      <w:r>
        <w:t xml:space="preserve">атурному материалу и требует его анализа («Как и почему меняются взгляды на жизнь Пьера Безухова?»). Ещё один вариант задания 17.1–17.4 – это тема, близкая к литературному обзору («Тема духовного богатства личности в отечественной литературе ХХ – начала ХХ</w:t>
      </w:r>
      <w:r>
        <w:rPr>
          <w:lang w:val="en-US"/>
        </w:rPr>
        <w:t xml:space="preserve">I</w:t>
      </w:r>
      <w:r>
        <w:t xml:space="preserve"> века» /одно произведение по выбору/). Обращение к теме такого типа позволяет экзаменуемому свободно выбирать текст и даёт ему возможность проявить свои читательские интересы.</w:t>
      </w:r>
      <w:r/>
    </w:p>
    <w:p>
      <w:pPr>
        <w:pStyle w:val="940"/>
        <w:ind w:firstLine="708"/>
        <w:jc w:val="both"/>
      </w:pPr>
      <w:r>
        <w:t xml:space="preserve">Участник экзамена выбирает только одну из предложенных тем и </w:t>
      </w:r>
      <w:r>
        <w:t xml:space="preserve">пишет по ней сочинение, обосновывая свои суждения обращением к произведению (по памяти). Написание сочинения требует большой меры познавательной самостоятельности и в наибольшей степени отвечает специфике литературы как вида искусства и учебной дисциплины,</w:t>
      </w:r>
      <w:r>
        <w:t xml:space="preserve"> ставящей своими целями формирование квалифицированного читателя с развитым эстетическим вкусом и потребностью к духовно-нравственному и культурному развитию. Ниже приводится таблица 1, представляющая распределение заданий по частям экзаменационной работы.</w:t>
      </w:r>
      <w:r/>
    </w:p>
    <w:p>
      <w:pPr>
        <w:pStyle w:val="940"/>
        <w:jc w:val="both"/>
      </w:pPr>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952"/>
        <w:gridCol w:w="1940"/>
        <w:gridCol w:w="1417"/>
        <w:gridCol w:w="1834"/>
        <w:gridCol w:w="3623"/>
      </w:tblGrid>
      <w:tr>
        <w:trPr/>
        <w:tc>
          <w:tcPr>
            <w:tcBorders>
              <w:top w:val="single" w:color="000000" w:sz="4" w:space="0"/>
              <w:left w:val="single" w:color="000000" w:sz="4" w:space="0"/>
              <w:bottom w:val="single" w:color="000000" w:sz="4" w:space="0"/>
            </w:tcBorders>
            <w:tcW w:w="952" w:type="dxa"/>
            <w:textDirection w:val="lrTb"/>
            <w:noWrap w:val="false"/>
          </w:tcPr>
          <w:p>
            <w:pPr>
              <w:pStyle w:val="940"/>
            </w:pPr>
            <w:r>
              <w:t xml:space="preserve">Часть работы</w:t>
            </w:r>
            <w:r/>
          </w:p>
        </w:tc>
        <w:tc>
          <w:tcPr>
            <w:tcBorders>
              <w:top w:val="single" w:color="000000" w:sz="4" w:space="0"/>
              <w:left w:val="single" w:color="000000" w:sz="4" w:space="0"/>
              <w:bottom w:val="single" w:color="000000" w:sz="4" w:space="0"/>
            </w:tcBorders>
            <w:tcW w:w="1940" w:type="dxa"/>
            <w:textDirection w:val="lrTb"/>
            <w:noWrap w:val="false"/>
          </w:tcPr>
          <w:p>
            <w:pPr>
              <w:pStyle w:val="940"/>
            </w:pPr>
            <w:r>
              <w:t xml:space="preserve">Тип заданий</w:t>
            </w:r>
            <w:r/>
          </w:p>
        </w:tc>
        <w:tc>
          <w:tcPr>
            <w:tcBorders>
              <w:top w:val="single" w:color="000000" w:sz="4" w:space="0"/>
              <w:left w:val="single" w:color="000000" w:sz="4" w:space="0"/>
              <w:bottom w:val="single" w:color="000000" w:sz="4" w:space="0"/>
            </w:tcBorders>
            <w:tcW w:w="1417" w:type="dxa"/>
            <w:textDirection w:val="lrTb"/>
            <w:noWrap w:val="false"/>
          </w:tcPr>
          <w:p>
            <w:pPr>
              <w:pStyle w:val="940"/>
            </w:pPr>
            <w:r>
              <w:t xml:space="preserve">Количество заданий</w:t>
            </w:r>
            <w:r/>
          </w:p>
        </w:tc>
        <w:tc>
          <w:tcPr>
            <w:tcBorders>
              <w:top w:val="single" w:color="000000" w:sz="4" w:space="0"/>
              <w:left w:val="single" w:color="000000" w:sz="4" w:space="0"/>
              <w:bottom w:val="single" w:color="000000" w:sz="4" w:space="0"/>
            </w:tcBorders>
            <w:tcW w:w="1834" w:type="dxa"/>
            <w:textDirection w:val="lrTb"/>
            <w:noWrap w:val="false"/>
          </w:tcPr>
          <w:p>
            <w:pPr>
              <w:pStyle w:val="940"/>
            </w:pPr>
            <w:r>
              <w:t xml:space="preserve">Максимальный первичный балл</w:t>
            </w:r>
            <w:r/>
          </w:p>
        </w:tc>
        <w:tc>
          <w:tcPr>
            <w:tcBorders>
              <w:top w:val="single" w:color="000000" w:sz="4" w:space="0"/>
              <w:left w:val="single" w:color="000000" w:sz="4" w:space="0"/>
              <w:bottom w:val="single" w:color="000000" w:sz="4" w:space="0"/>
              <w:right w:val="single" w:color="000000" w:sz="4" w:space="0"/>
            </w:tcBorders>
            <w:tcW w:w="3623" w:type="dxa"/>
            <w:textDirection w:val="lrTb"/>
            <w:noWrap w:val="false"/>
          </w:tcPr>
          <w:p>
            <w:pPr>
              <w:pStyle w:val="940"/>
            </w:pPr>
            <w:r>
              <w:t xml:space="preserve">Процент максимального первичного балла за выполнение заданий данной части от максимального первичного балла за всю работу, равного 58</w:t>
            </w:r>
            <w:r/>
          </w:p>
        </w:tc>
      </w:tr>
      <w:tr>
        <w:trPr>
          <w:trHeight w:val="218"/>
        </w:trPr>
        <w:tc>
          <w:tcPr>
            <w:tcBorders>
              <w:top w:val="single" w:color="000000" w:sz="4" w:space="0"/>
              <w:left w:val="single" w:color="000000" w:sz="4" w:space="0"/>
              <w:bottom w:val="single" w:color="000000" w:sz="4" w:space="0"/>
            </w:tcBorders>
            <w:tcW w:w="952" w:type="dxa"/>
            <w:vMerge w:val="restart"/>
            <w:textDirection w:val="lrTb"/>
            <w:noWrap w:val="false"/>
          </w:tcPr>
          <w:p>
            <w:pPr>
              <w:pStyle w:val="940"/>
            </w:pPr>
            <w:r>
              <w:t xml:space="preserve">Часть 1</w:t>
            </w:r>
            <w:r/>
          </w:p>
        </w:tc>
        <w:tc>
          <w:tcPr>
            <w:tcBorders>
              <w:top w:val="single" w:color="000000" w:sz="4" w:space="0"/>
              <w:left w:val="single" w:color="000000" w:sz="4" w:space="0"/>
              <w:bottom w:val="single" w:color="000000" w:sz="4" w:space="0"/>
            </w:tcBorders>
            <w:tcW w:w="1940" w:type="dxa"/>
            <w:textDirection w:val="lrTb"/>
            <w:noWrap w:val="false"/>
          </w:tcPr>
          <w:p>
            <w:pPr>
              <w:pStyle w:val="940"/>
            </w:pPr>
            <w:r>
              <w:t xml:space="preserve">С кратким ответом </w:t>
            </w:r>
            <w:r/>
          </w:p>
        </w:tc>
        <w:tc>
          <w:tcPr>
            <w:tcBorders>
              <w:top w:val="single" w:color="000000" w:sz="4" w:space="0"/>
              <w:left w:val="single" w:color="000000" w:sz="4" w:space="0"/>
              <w:bottom w:val="single" w:color="000000" w:sz="4" w:space="0"/>
            </w:tcBorders>
            <w:tcW w:w="1417" w:type="dxa"/>
            <w:textDirection w:val="lrTb"/>
            <w:noWrap w:val="false"/>
          </w:tcPr>
          <w:p>
            <w:pPr>
              <w:pStyle w:val="940"/>
            </w:pPr>
            <w:r>
              <w:t xml:space="preserve">12 </w:t>
            </w:r>
            <w:r/>
          </w:p>
        </w:tc>
        <w:tc>
          <w:tcPr>
            <w:tcBorders>
              <w:top w:val="single" w:color="000000" w:sz="4" w:space="0"/>
              <w:left w:val="single" w:color="000000" w:sz="4" w:space="0"/>
              <w:bottom w:val="single" w:color="000000" w:sz="4" w:space="0"/>
            </w:tcBorders>
            <w:tcW w:w="1834" w:type="dxa"/>
            <w:textDirection w:val="lrTb"/>
            <w:noWrap w:val="false"/>
          </w:tcPr>
          <w:p>
            <w:pPr>
              <w:pStyle w:val="940"/>
            </w:pPr>
            <w:r>
              <w:t xml:space="preserve">12</w:t>
            </w:r>
            <w:r/>
          </w:p>
        </w:tc>
        <w:tc>
          <w:tcPr>
            <w:tcBorders>
              <w:top w:val="single" w:color="000000" w:sz="4" w:space="0"/>
              <w:left w:val="single" w:color="000000" w:sz="4" w:space="0"/>
              <w:bottom w:val="single" w:color="000000" w:sz="4" w:space="0"/>
              <w:right w:val="single" w:color="000000" w:sz="4" w:space="0"/>
            </w:tcBorders>
            <w:tcW w:w="3623" w:type="dxa"/>
            <w:vMerge w:val="restart"/>
            <w:textDirection w:val="lrTb"/>
            <w:noWrap w:val="false"/>
          </w:tcPr>
          <w:p>
            <w:pPr>
              <w:pStyle w:val="940"/>
            </w:pPr>
            <w:r>
              <w:t xml:space="preserve">76</w:t>
            </w:r>
            <w:r/>
          </w:p>
        </w:tc>
      </w:tr>
      <w:tr>
        <w:trPr>
          <w:trHeight w:val="217"/>
        </w:trPr>
        <w:tc>
          <w:tcPr>
            <w:tcBorders>
              <w:top w:val="single" w:color="000000" w:sz="4" w:space="0"/>
              <w:left w:val="single" w:color="000000" w:sz="4" w:space="0"/>
              <w:bottom w:val="single" w:color="000000" w:sz="4" w:space="0"/>
            </w:tcBorders>
            <w:tcW w:w="952" w:type="dxa"/>
            <w:vMerge w:val="continue"/>
            <w:textDirection w:val="lrTb"/>
            <w:noWrap w:val="false"/>
          </w:tcPr>
          <w:p>
            <w:pPr>
              <w:pStyle w:val="940"/>
              <w:rPr>
                <w:color w:val="FF0000"/>
              </w:rPr>
            </w:pPr>
            <w:r>
              <w:rPr>
                <w:color w:val="FF0000"/>
              </w:rPr>
            </w:r>
            <w:r/>
          </w:p>
        </w:tc>
        <w:tc>
          <w:tcPr>
            <w:tcBorders>
              <w:top w:val="single" w:color="000000" w:sz="4" w:space="0"/>
              <w:left w:val="single" w:color="000000" w:sz="4" w:space="0"/>
              <w:bottom w:val="single" w:color="000000" w:sz="4" w:space="0"/>
            </w:tcBorders>
            <w:tcW w:w="1940" w:type="dxa"/>
            <w:textDirection w:val="lrTb"/>
            <w:noWrap w:val="false"/>
          </w:tcPr>
          <w:p>
            <w:pPr>
              <w:pStyle w:val="940"/>
            </w:pPr>
            <w:r>
              <w:t xml:space="preserve">С развёрнутым ответом ограниченного объёма</w:t>
            </w:r>
            <w:r/>
          </w:p>
        </w:tc>
        <w:tc>
          <w:tcPr>
            <w:tcBorders>
              <w:top w:val="single" w:color="000000" w:sz="4" w:space="0"/>
              <w:left w:val="single" w:color="000000" w:sz="4" w:space="0"/>
              <w:bottom w:val="single" w:color="000000" w:sz="4" w:space="0"/>
            </w:tcBorders>
            <w:tcW w:w="1417" w:type="dxa"/>
            <w:textDirection w:val="lrTb"/>
            <w:noWrap w:val="false"/>
          </w:tcPr>
          <w:p>
            <w:pPr>
              <w:pStyle w:val="940"/>
            </w:pPr>
            <w:r>
              <w:t xml:space="preserve">4</w:t>
            </w:r>
            <w:r/>
          </w:p>
        </w:tc>
        <w:tc>
          <w:tcPr>
            <w:tcBorders>
              <w:top w:val="single" w:color="000000" w:sz="4" w:space="0"/>
              <w:left w:val="single" w:color="000000" w:sz="4" w:space="0"/>
              <w:bottom w:val="single" w:color="000000" w:sz="4" w:space="0"/>
            </w:tcBorders>
            <w:tcW w:w="1834" w:type="dxa"/>
            <w:textDirection w:val="lrTb"/>
            <w:noWrap w:val="false"/>
          </w:tcPr>
          <w:p>
            <w:pPr>
              <w:pStyle w:val="940"/>
            </w:pPr>
            <w:r>
              <w:t xml:space="preserve">32</w:t>
            </w:r>
            <w:r/>
          </w:p>
        </w:tc>
        <w:tc>
          <w:tcPr>
            <w:tcBorders>
              <w:top w:val="single" w:color="000000" w:sz="4" w:space="0"/>
              <w:left w:val="single" w:color="000000" w:sz="4" w:space="0"/>
              <w:bottom w:val="single" w:color="000000" w:sz="4" w:space="0"/>
              <w:right w:val="single" w:color="000000" w:sz="4" w:space="0"/>
            </w:tcBorders>
            <w:tcW w:w="3623" w:type="dxa"/>
            <w:vMerge w:val="continue"/>
            <w:textDirection w:val="lrTb"/>
            <w:noWrap w:val="false"/>
          </w:tcPr>
          <w:p>
            <w:pPr>
              <w:pStyle w:val="940"/>
              <w:rPr>
                <w:color w:val="FF0000"/>
              </w:rPr>
            </w:pPr>
            <w:r>
              <w:rPr>
                <w:color w:val="FF0000"/>
              </w:rPr>
            </w:r>
            <w:r/>
          </w:p>
        </w:tc>
      </w:tr>
      <w:tr>
        <w:trPr/>
        <w:tc>
          <w:tcPr>
            <w:tcBorders>
              <w:top w:val="single" w:color="000000" w:sz="4" w:space="0"/>
              <w:left w:val="single" w:color="000000" w:sz="4" w:space="0"/>
              <w:bottom w:val="single" w:color="000000" w:sz="4" w:space="0"/>
            </w:tcBorders>
            <w:tcW w:w="952" w:type="dxa"/>
            <w:textDirection w:val="lrTb"/>
            <w:noWrap w:val="false"/>
          </w:tcPr>
          <w:p>
            <w:pPr>
              <w:pStyle w:val="940"/>
              <w:jc w:val="both"/>
            </w:pPr>
            <w:r>
              <w:t xml:space="preserve">Часть 2</w:t>
            </w:r>
            <w:r/>
          </w:p>
        </w:tc>
        <w:tc>
          <w:tcPr>
            <w:tcBorders>
              <w:top w:val="single" w:color="000000" w:sz="4" w:space="0"/>
              <w:left w:val="single" w:color="000000" w:sz="4" w:space="0"/>
              <w:bottom w:val="single" w:color="000000" w:sz="4" w:space="0"/>
            </w:tcBorders>
            <w:tcW w:w="1940" w:type="dxa"/>
            <w:textDirection w:val="lrTb"/>
            <w:noWrap w:val="false"/>
          </w:tcPr>
          <w:p>
            <w:pPr>
              <w:pStyle w:val="940"/>
              <w:jc w:val="both"/>
            </w:pPr>
            <w:r>
              <w:t xml:space="preserve">С развёрнутым ответом (сочинение)</w:t>
            </w:r>
            <w:r/>
          </w:p>
        </w:tc>
        <w:tc>
          <w:tcPr>
            <w:tcBorders>
              <w:top w:val="single" w:color="000000" w:sz="4" w:space="0"/>
              <w:left w:val="single" w:color="000000" w:sz="4" w:space="0"/>
              <w:bottom w:val="single" w:color="000000" w:sz="4" w:space="0"/>
            </w:tcBorders>
            <w:tcW w:w="1417" w:type="dxa"/>
            <w:textDirection w:val="lrTb"/>
            <w:noWrap w:val="false"/>
          </w:tcPr>
          <w:p>
            <w:pPr>
              <w:pStyle w:val="940"/>
              <w:jc w:val="both"/>
            </w:pPr>
            <w:r>
              <w:t xml:space="preserve">1 </w:t>
            </w:r>
            <w:r/>
          </w:p>
        </w:tc>
        <w:tc>
          <w:tcPr>
            <w:tcBorders>
              <w:top w:val="single" w:color="000000" w:sz="4" w:space="0"/>
              <w:left w:val="single" w:color="000000" w:sz="4" w:space="0"/>
              <w:bottom w:val="single" w:color="000000" w:sz="4" w:space="0"/>
            </w:tcBorders>
            <w:tcW w:w="1834" w:type="dxa"/>
            <w:textDirection w:val="lrTb"/>
            <w:noWrap w:val="false"/>
          </w:tcPr>
          <w:p>
            <w:pPr>
              <w:pStyle w:val="940"/>
              <w:jc w:val="both"/>
            </w:pPr>
            <w:r>
              <w:t xml:space="preserve">14</w:t>
            </w:r>
            <w:r/>
          </w:p>
        </w:tc>
        <w:tc>
          <w:tcPr>
            <w:tcBorders>
              <w:top w:val="single" w:color="000000" w:sz="4" w:space="0"/>
              <w:left w:val="single" w:color="000000" w:sz="4" w:space="0"/>
              <w:bottom w:val="single" w:color="000000" w:sz="4" w:space="0"/>
              <w:right w:val="single" w:color="000000" w:sz="4" w:space="0"/>
            </w:tcBorders>
            <w:tcW w:w="3623" w:type="dxa"/>
            <w:textDirection w:val="lrTb"/>
            <w:noWrap w:val="false"/>
          </w:tcPr>
          <w:p>
            <w:pPr>
              <w:pStyle w:val="940"/>
              <w:jc w:val="both"/>
            </w:pPr>
            <w:r>
              <w:t xml:space="preserve">24</w:t>
            </w:r>
            <w:r/>
          </w:p>
        </w:tc>
      </w:tr>
      <w:tr>
        <w:trPr/>
        <w:tc>
          <w:tcPr>
            <w:tcBorders>
              <w:top w:val="single" w:color="000000" w:sz="4" w:space="0"/>
              <w:left w:val="single" w:color="000000" w:sz="4" w:space="0"/>
              <w:bottom w:val="single" w:color="000000" w:sz="4" w:space="0"/>
            </w:tcBorders>
            <w:tcW w:w="952" w:type="dxa"/>
            <w:textDirection w:val="lrTb"/>
            <w:noWrap w:val="false"/>
          </w:tcPr>
          <w:p>
            <w:pPr>
              <w:pStyle w:val="940"/>
              <w:jc w:val="both"/>
              <w:rPr>
                <w:color w:val="FF0000"/>
              </w:rPr>
            </w:pPr>
            <w:r>
              <w:rPr>
                <w:color w:val="FF0000"/>
              </w:rPr>
            </w:r>
            <w:r/>
          </w:p>
        </w:tc>
        <w:tc>
          <w:tcPr>
            <w:tcBorders>
              <w:top w:val="single" w:color="000000" w:sz="4" w:space="0"/>
              <w:left w:val="single" w:color="000000" w:sz="4" w:space="0"/>
              <w:bottom w:val="single" w:color="000000" w:sz="4" w:space="0"/>
            </w:tcBorders>
            <w:tcW w:w="1940" w:type="dxa"/>
            <w:textDirection w:val="lrTb"/>
            <w:noWrap w:val="false"/>
          </w:tcPr>
          <w:p>
            <w:pPr>
              <w:pStyle w:val="940"/>
              <w:jc w:val="both"/>
            </w:pPr>
            <w:r>
              <w:t xml:space="preserve">Итого</w:t>
            </w:r>
            <w:r/>
          </w:p>
        </w:tc>
        <w:tc>
          <w:tcPr>
            <w:tcBorders>
              <w:top w:val="single" w:color="000000" w:sz="4" w:space="0"/>
              <w:left w:val="single" w:color="000000" w:sz="4" w:space="0"/>
              <w:bottom w:val="single" w:color="000000" w:sz="4" w:space="0"/>
            </w:tcBorders>
            <w:tcW w:w="1417" w:type="dxa"/>
            <w:textDirection w:val="lrTb"/>
            <w:noWrap w:val="false"/>
          </w:tcPr>
          <w:p>
            <w:pPr>
              <w:pStyle w:val="940"/>
              <w:jc w:val="both"/>
            </w:pPr>
            <w:r>
              <w:t xml:space="preserve">17</w:t>
            </w:r>
            <w:r/>
          </w:p>
        </w:tc>
        <w:tc>
          <w:tcPr>
            <w:tcBorders>
              <w:top w:val="single" w:color="000000" w:sz="4" w:space="0"/>
              <w:left w:val="single" w:color="000000" w:sz="4" w:space="0"/>
              <w:bottom w:val="single" w:color="000000" w:sz="4" w:space="0"/>
            </w:tcBorders>
            <w:tcW w:w="1834" w:type="dxa"/>
            <w:textDirection w:val="lrTb"/>
            <w:noWrap w:val="false"/>
          </w:tcPr>
          <w:p>
            <w:pPr>
              <w:pStyle w:val="940"/>
              <w:jc w:val="both"/>
            </w:pPr>
            <w:r>
              <w:t xml:space="preserve">58</w:t>
            </w:r>
            <w:r/>
          </w:p>
        </w:tc>
        <w:tc>
          <w:tcPr>
            <w:tcBorders>
              <w:top w:val="single" w:color="000000" w:sz="4" w:space="0"/>
              <w:left w:val="single" w:color="000000" w:sz="4" w:space="0"/>
              <w:bottom w:val="single" w:color="000000" w:sz="4" w:space="0"/>
              <w:right w:val="single" w:color="000000" w:sz="4" w:space="0"/>
            </w:tcBorders>
            <w:tcW w:w="3623" w:type="dxa"/>
            <w:textDirection w:val="lrTb"/>
            <w:noWrap w:val="false"/>
          </w:tcPr>
          <w:p>
            <w:pPr>
              <w:pStyle w:val="940"/>
              <w:jc w:val="both"/>
            </w:pPr>
            <w:r>
              <w:t xml:space="preserve">100</w:t>
            </w:r>
            <w:r/>
          </w:p>
        </w:tc>
      </w:tr>
    </w:tbl>
    <w:p>
      <w:pPr>
        <w:pStyle w:val="940"/>
        <w:keepLines/>
        <w:keepNext/>
        <w:spacing w:line="308" w:lineRule="atLeast"/>
        <w:rPr>
          <w:rFonts w:eastAsia="SimSun;宋体"/>
          <w:b/>
          <w:bCs/>
          <w:color w:val="0B2734"/>
        </w:rPr>
      </w:pPr>
      <w:r>
        <w:rPr>
          <w:rFonts w:eastAsia="SimSun;宋体"/>
          <w:b/>
          <w:bCs/>
          <w:color w:val="0B2734"/>
        </w:rPr>
      </w:r>
      <w:r/>
    </w:p>
    <w:p>
      <w:pPr>
        <w:pStyle w:val="940"/>
        <w:ind w:firstLine="708"/>
        <w:keepLines/>
        <w:keepNext/>
        <w:spacing w:line="308" w:lineRule="atLeast"/>
        <w:rPr>
          <w:rFonts w:eastAsia="SimSun;宋体"/>
          <w:b/>
          <w:bCs/>
          <w:color w:val="0B2734"/>
          <w:lang w:val="en-US"/>
        </w:rPr>
      </w:pPr>
      <w:r>
        <w:rPr>
          <w:rFonts w:eastAsia="SimSun;宋体"/>
          <w:b/>
          <w:bCs/>
          <w:color w:val="0B2734"/>
          <w:lang w:val="en-US"/>
        </w:rPr>
        <w:t xml:space="preserve">Баллы за задания ЕГЭ по литературе</w:t>
      </w:r>
      <w:r/>
    </w:p>
    <w:p>
      <w:pPr>
        <w:pStyle w:val="940"/>
        <w:numPr>
          <w:ilvl w:val="0"/>
          <w:numId w:val="49"/>
        </w:numPr>
        <w:ind w:left="0" w:firstLine="0"/>
        <w:jc w:val="both"/>
        <w:tabs>
          <w:tab w:val="left" w:pos="0" w:leader="none"/>
          <w:tab w:val="clear" w:pos="708" w:leader="none"/>
        </w:tabs>
      </w:pPr>
      <w:r>
        <w:rPr>
          <w:iCs/>
          <w:color w:val="0B2734"/>
        </w:rPr>
        <w:t xml:space="preserve">1 балл</w:t>
      </w:r>
      <w:r>
        <w:rPr>
          <w:color w:val="0B2734"/>
        </w:rPr>
        <w:t xml:space="preserve"> — за 1-7, 10-14 задания.</w:t>
      </w:r>
      <w:r/>
    </w:p>
    <w:p>
      <w:pPr>
        <w:pStyle w:val="940"/>
        <w:numPr>
          <w:ilvl w:val="0"/>
          <w:numId w:val="49"/>
        </w:numPr>
        <w:ind w:left="0" w:firstLine="0"/>
        <w:jc w:val="both"/>
        <w:tabs>
          <w:tab w:val="left" w:pos="0" w:leader="none"/>
          <w:tab w:val="clear" w:pos="708" w:leader="none"/>
        </w:tabs>
      </w:pPr>
      <w:r>
        <w:rPr>
          <w:iCs/>
          <w:color w:val="0B2734"/>
        </w:rPr>
        <w:t xml:space="preserve">6 баллов</w:t>
      </w:r>
      <w:r>
        <w:rPr>
          <w:color w:val="0B2734"/>
        </w:rPr>
        <w:t xml:space="preserve"> — 8, 15.</w:t>
      </w:r>
      <w:r/>
    </w:p>
    <w:p>
      <w:pPr>
        <w:pStyle w:val="940"/>
        <w:numPr>
          <w:ilvl w:val="0"/>
          <w:numId w:val="49"/>
        </w:numPr>
        <w:ind w:left="0" w:firstLine="0"/>
        <w:jc w:val="both"/>
        <w:tabs>
          <w:tab w:val="left" w:pos="0" w:leader="none"/>
          <w:tab w:val="clear" w:pos="708" w:leader="none"/>
        </w:tabs>
      </w:pPr>
      <w:r>
        <w:rPr>
          <w:iCs/>
          <w:color w:val="0B2734"/>
        </w:rPr>
        <w:t xml:space="preserve">10 баллов</w:t>
      </w:r>
      <w:r>
        <w:rPr>
          <w:color w:val="0B2734"/>
        </w:rPr>
        <w:t xml:space="preserve"> — 9, 16.</w:t>
      </w:r>
      <w:r/>
    </w:p>
    <w:p>
      <w:pPr>
        <w:pStyle w:val="940"/>
        <w:numPr>
          <w:ilvl w:val="0"/>
          <w:numId w:val="49"/>
        </w:numPr>
        <w:ind w:left="0" w:firstLine="0"/>
        <w:jc w:val="both"/>
        <w:tabs>
          <w:tab w:val="left" w:pos="0" w:leader="none"/>
          <w:tab w:val="clear" w:pos="708" w:leader="none"/>
        </w:tabs>
      </w:pPr>
      <w:r>
        <w:rPr>
          <w:iCs/>
          <w:color w:val="0B2734"/>
        </w:rPr>
        <w:t xml:space="preserve">14 баллов</w:t>
      </w:r>
      <w:r>
        <w:rPr>
          <w:color w:val="0B2734"/>
        </w:rPr>
        <w:t xml:space="preserve"> — 17.</w:t>
      </w:r>
      <w:r/>
    </w:p>
    <w:p>
      <w:pPr>
        <w:pStyle w:val="940"/>
        <w:ind w:firstLine="708"/>
        <w:spacing w:line="408" w:lineRule="atLeast"/>
        <w:rPr>
          <w:rFonts w:eastAsia="Times New Roman"/>
          <w:b/>
          <w:bCs/>
          <w:color w:val="0B2734"/>
        </w:rPr>
      </w:pPr>
      <w:r>
        <w:rPr>
          <w:rFonts w:eastAsia="Times New Roman"/>
          <w:b/>
          <w:bCs/>
          <w:color w:val="0B2734"/>
        </w:rPr>
        <w:t xml:space="preserve">Всего: 58 баллов.</w:t>
      </w:r>
      <w:r/>
    </w:p>
    <w:p>
      <w:pPr>
        <w:pStyle w:val="940"/>
        <w:ind w:firstLine="708"/>
        <w:jc w:val="both"/>
      </w:pPr>
      <w:r>
        <w:rPr>
          <w:b/>
        </w:rPr>
        <w:t xml:space="preserve">Изменения в КИМ ЕГЭ 2021 года в сравнении с 2020 годом. </w:t>
      </w:r>
      <w:r/>
    </w:p>
    <w:p>
      <w:pPr>
        <w:pStyle w:val="940"/>
        <w:ind w:firstLine="708"/>
        <w:jc w:val="both"/>
      </w:pPr>
      <w:r>
        <w:t xml:space="preserve">Изменения структуры и содержания КИМ отсутствуют. </w:t>
      </w:r>
      <w:r/>
    </w:p>
    <w:p>
      <w:pPr>
        <w:pStyle w:val="940"/>
        <w:ind w:firstLine="708"/>
        <w:jc w:val="both"/>
      </w:pPr>
      <w:r>
        <w:t xml:space="preserve">Обновлено задание 7 с кратким ответом: в текст с пропуском двух слов требуется вписать два литературоведческих термина (или литературных факта). </w:t>
      </w:r>
      <w:r/>
    </w:p>
    <w:p>
      <w:pPr>
        <w:pStyle w:val="940"/>
        <w:ind w:firstLine="708"/>
        <w:jc w:val="both"/>
      </w:pPr>
      <w:r>
        <w:t xml:space="preserve">Например: В приведенном фрагменте ярко виден ______ между аристократичностью Павла Петровича и простотой Базарова. «…» Такое противоборство характеров в литературоведении обозначают термином __________.</w:t>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contextualSpacing/>
        <w:jc w:val="both"/>
        <w:spacing w:before="0" w:after="0"/>
        <w:rPr>
          <w:rFonts w:eastAsia="SimSun;宋体"/>
          <w:b/>
          <w:bCs/>
          <w:i/>
          <w:iCs/>
          <w:sz w:val="28"/>
          <w:lang w:val="en-US"/>
        </w:rPr>
      </w:pPr>
      <w:r>
        <w:rPr>
          <w:rFonts w:eastAsia="SimSun;宋体"/>
          <w:b/>
          <w:bCs/>
          <w:i/>
          <w:iCs/>
          <w:sz w:val="28"/>
          <w:lang w:val="en-US"/>
        </w:rPr>
      </w:r>
      <w:r/>
    </w:p>
    <w:p>
      <w:pPr>
        <w:pStyle w:val="940"/>
        <w:numPr>
          <w:ilvl w:val="2"/>
          <w:numId w:val="73"/>
        </w:numPr>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contextualSpacing/>
        <w:jc w:val="both"/>
        <w:spacing w:before="0" w:after="0"/>
        <w:rPr>
          <w:rFonts w:eastAsia="SimSun;宋体"/>
          <w:i/>
          <w:iCs/>
          <w:sz w:val="28"/>
          <w:lang w:val="en-US"/>
        </w:rPr>
      </w:pPr>
      <w:r>
        <w:rPr>
          <w:rFonts w:eastAsia="SimSun;宋体"/>
          <w:i/>
          <w:iCs/>
          <w:sz w:val="28"/>
          <w:lang w:val="en-US"/>
        </w:rPr>
      </w:r>
      <w:r/>
    </w:p>
    <w:p>
      <w:pPr>
        <w:pStyle w:val="940"/>
        <w:ind w:firstLine="708"/>
        <w:jc w:val="both"/>
      </w:pPr>
      <w:r>
        <w:rPr>
          <w:iCs/>
        </w:rPr>
        <w:t xml:space="preserve">Анализ результатов </w:t>
      </w:r>
      <w:r>
        <w:t xml:space="preserve">выполнения заданий КИМ</w:t>
      </w:r>
      <w:r>
        <w:rPr>
          <w:iCs/>
        </w:rPr>
        <w:t xml:space="preserve"> позволяет судить о том, что выделяются задания с наименьшими процентами выполнения (например, выделяются среди них задания базового уровня, задание №4</w:t>
      </w:r>
      <w:r>
        <w:rPr>
          <w:i/>
          <w:iCs/>
        </w:rPr>
        <w:t xml:space="preserve"> (Найти соответствие между персонажами, фигурирующими в данном произведении,  и их  общественной позицией) </w:t>
      </w:r>
      <w:r>
        <w:rPr>
          <w:iCs/>
        </w:rPr>
        <w:t xml:space="preserve">в группе не преодолевших минимальный балл (с процентом выполнения 38,42%, т.е. ниже 50%)  задания повышенного уровня</w:t>
      </w:r>
      <w:r>
        <w:rPr>
          <w:iCs/>
        </w:rPr>
        <w:t xml:space="preserve"> сложности, задания 9, 16, и высокого уровня, задание №17, (с процентом выполнения ниже 5) в группе не преодолевших минимальный балл.  Выделяются успешно усвоенные и недостаточно усвоенные элементы содержания / освоенные умения, навыки, виды деятельности. </w:t>
      </w:r>
      <w:r/>
    </w:p>
    <w:p>
      <w:pPr>
        <w:pStyle w:val="940"/>
        <w:ind w:firstLine="708"/>
        <w:jc w:val="both"/>
      </w:pPr>
      <w:r>
        <w:rPr>
          <w:iCs/>
        </w:rPr>
        <w:t xml:space="preserve">Рассуждения экзаменуемых по первой теме задания 17.1 «</w:t>
      </w:r>
      <w:r>
        <w:t xml:space="preserve">Тема семьи в поэме                    М.Ю. Лермонтова «Песня про царя И</w:t>
      </w:r>
      <w:r>
        <w:t xml:space="preserve">вана Васильевича, молодого опричника и удалого купца Калашникова» часто были поверхностны и сводились к описанию сюжета произведения. О том, как автору удалось раскрыть роль семьи в «Песне…», в лучшем случае можно было прочитать в последнем абзаце работы. </w:t>
      </w:r>
      <w:r/>
    </w:p>
    <w:p>
      <w:pPr>
        <w:pStyle w:val="940"/>
        <w:ind w:firstLine="708"/>
        <w:jc w:val="both"/>
      </w:pPr>
      <w:r>
        <w:t xml:space="preserve">Вызвала затруднения и тема 17.2 (Как и почему меняются взгляды на жизнь Пьера Безухова?). Рассуждения экзаменуемых сводилось к </w:t>
      </w:r>
      <w:r>
        <w:rPr>
          <w:i/>
        </w:rPr>
        <w:t xml:space="preserve">описанию</w:t>
      </w:r>
      <w:r>
        <w:t xml:space="preserve"> нравственных исканий Пьера (т.е. к воспроизведению сюжета с помощью пересказа), иногда описывались события, относящиеся к Болконскому, а не к Безухову, но на конкретные вопросы: «как?» и «почему?» - ответа не последовало.</w:t>
      </w:r>
      <w:r/>
    </w:p>
    <w:p>
      <w:pPr>
        <w:pStyle w:val="940"/>
        <w:ind w:firstLine="708"/>
        <w:jc w:val="both"/>
      </w:pPr>
      <w:r>
        <w:rPr>
          <w:bCs/>
          <w:lang w:eastAsia="en-US"/>
        </w:rPr>
        <w:t xml:space="preserve">Вызвало значительные затруднения задание № 17.4 (</w:t>
      </w:r>
      <w:r>
        <w:rPr>
          <w:lang w:eastAsia="en-US"/>
        </w:rPr>
        <w:t xml:space="preserve">Тема духовного богатства личности в отечественной литературе ХХ – начала ХХ</w:t>
      </w:r>
      <w:r>
        <w:rPr>
          <w:lang w:val="en-US" w:eastAsia="en-US"/>
        </w:rPr>
        <w:t xml:space="preserve">I</w:t>
      </w:r>
      <w:r>
        <w:rPr>
          <w:lang w:eastAsia="en-US"/>
        </w:rPr>
        <w:t xml:space="preserve"> века /одно произведение по выбору/), в рамках которого можно</w:t>
      </w:r>
      <w:r>
        <w:rPr>
          <w:bCs/>
          <w:lang w:eastAsia="en-US"/>
        </w:rPr>
        <w:t xml:space="preserve"> было обратиться и к произведениям М.А. Шолохова, В. Быкова, и А.И. Солженицына – авторов литературы второй половины ХХ века. Однако экз</w:t>
      </w:r>
      <w:r>
        <w:rPr>
          <w:bCs/>
          <w:lang w:eastAsia="en-US"/>
        </w:rPr>
        <w:t xml:space="preserve">аменующиеся, в основном, нарушали хронологические рамки, указанные в задании, и строили свои рассуждения, обращаясь к героям А.С. Пушкина, И.С. Тургенева, что приводило к невыполнению задания. Встречались также и работы, в которых задание 17 отсутствовало.</w:t>
      </w:r>
      <w:r/>
    </w:p>
    <w:p>
      <w:pPr>
        <w:pStyle w:val="940"/>
        <w:ind w:firstLine="708"/>
        <w:jc w:val="both"/>
      </w:pPr>
      <w:r>
        <w:rPr>
          <w:iCs/>
        </w:rPr>
        <w:t xml:space="preserve">Сложным для участников ЕГЭ   этого года стало задание 9, в котором требовалось   сопоставить произведения в заданном направлении анализа (В каких произведениях отечественных писателей отображен спор поколений и в чем эти произведения можно сопоставить с</w:t>
      </w:r>
      <w:r>
        <w:rPr>
          <w:iCs/>
        </w:rPr>
        <w:t xml:space="preserve"> «Отцами и детьми» И.С. Тургенева?). Типичной ошибкой стало то, что при подборе примеров экзаменуемые путали поэтические и прозаические тексты, сравнивая произведения не с прозой – отрывком из романа И.С. Тургенева, а со стихотворением                     </w:t>
      </w:r>
      <w:r>
        <w:rPr>
          <w:lang w:eastAsia="en-US"/>
        </w:rPr>
        <w:t xml:space="preserve">В.Н. Соколова «Я славы не искал, к чему огласка».</w:t>
      </w:r>
      <w:r>
        <w:rPr>
          <w:iCs/>
        </w:rPr>
        <w:t xml:space="preserve"> Это приводило к нулю баллов. Также, приводя в пример прозаические произведения, выпускники путали названия, имена героев и авторов (А.</w:t>
      </w:r>
      <w:r>
        <w:rPr>
          <w:iCs/>
          <w:lang w:val="en-US"/>
        </w:rPr>
        <w:t xml:space="preserve">C</w:t>
      </w:r>
      <w:r>
        <w:rPr>
          <w:iCs/>
        </w:rPr>
        <w:t xml:space="preserve">. Пушкин «Обломов», И.С. Тургенев «Недоросль», Андрей Соловьев вместо Соколов, семья Раскольниковых в романе «Война и мир» и т.д.). </w:t>
      </w:r>
      <w:r/>
    </w:p>
    <w:p>
      <w:pPr>
        <w:pStyle w:val="940"/>
        <w:ind w:firstLine="708"/>
        <w:jc w:val="both"/>
      </w:pPr>
      <w:r>
        <w:rPr>
          <w:lang w:eastAsia="en-US"/>
        </w:rPr>
        <w:t xml:space="preserve">Низкий процент выполнения остается у заданий на сопоставление стихотворений (задание 16)</w:t>
      </w:r>
      <w:r>
        <w:rPr>
          <w:rFonts w:eastAsia="TimesNewRomanPSMT;Times New Roman"/>
          <w:iCs/>
          <w:lang w:eastAsia="en-US"/>
        </w:rPr>
        <w:t xml:space="preserve">. Особое затруднение вызвало стихотворение </w:t>
      </w:r>
      <w:r>
        <w:rPr>
          <w:lang w:eastAsia="en-US"/>
        </w:rPr>
        <w:t xml:space="preserve">В.Н. Соколова «Я славы не искал, к чему огласка»</w:t>
      </w:r>
      <w:r>
        <w:rPr>
          <w:rFonts w:eastAsia="TimesNewRomanPSMT;Times New Roman"/>
          <w:iCs/>
          <w:lang w:eastAsia="en-US"/>
        </w:rPr>
        <w:t xml:space="preserve">, предложенное в одном из вариантов КИМ. Такие задания требуют от учащихся умений четко понимать смысл написанного, анализировать тему и идею стихотворений, а также знаний из биографии поэта (где, когда и при каких обстоятель</w:t>
      </w:r>
      <w:r>
        <w:rPr>
          <w:rFonts w:eastAsia="TimesNewRomanPSMT;Times New Roman"/>
          <w:iCs/>
          <w:lang w:eastAsia="en-US"/>
        </w:rPr>
        <w:t xml:space="preserve">ствах было написано то или иное стихотворение). Экзаменуемые обращались чаще всего к стихотворению А.С. Пушкина «Памятник», но были и такие, которые для сравнения использовали произведение «Смерть поэта» М.Ю. Лермонтова, в котором тема славы не затронута. </w:t>
      </w:r>
      <w:r/>
    </w:p>
    <w:p>
      <w:pPr>
        <w:pStyle w:val="940"/>
        <w:ind w:firstLine="708"/>
        <w:jc w:val="both"/>
      </w:pPr>
      <w:r>
        <w:t xml:space="preserve">Результаты экзамена показали, что учащиеся недостаточно хорошо владеют собственной речью, о чем свидетельствует обилие речевых ошибок («Базаров отрицает все общечеловеческие</w:t>
      </w:r>
      <w:r>
        <w:t xml:space="preserve"> ценности: любовь, смерть, веру», «Чацкий считает Москву большим ульем крыс» и т.п.). Учителям, работающим в старших классах, занимающимся подготовкой к ЕГЭ по литературе, необходимо больше времени уделять именно речевому оформлению ответов на задания ЕГЭ.</w:t>
      </w:r>
      <w:r/>
    </w:p>
    <w:p>
      <w:pPr>
        <w:pStyle w:val="1409"/>
        <w:jc w:val="left"/>
        <w:keepNext/>
      </w:pPr>
      <w:r/>
      <w:r/>
    </w:p>
    <w:p>
      <w:pPr>
        <w:pStyle w:val="1409"/>
        <w:keepNext/>
      </w:pPr>
      <w:r>
        <w:t xml:space="preserve">Таблица 2-13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898"/>
        <w:gridCol w:w="1777"/>
        <w:gridCol w:w="941"/>
        <w:gridCol w:w="940"/>
        <w:gridCol w:w="1336"/>
        <w:gridCol w:w="1205"/>
        <w:gridCol w:w="1073"/>
        <w:gridCol w:w="1489"/>
      </w:tblGrid>
      <w:tr>
        <w:trPr>
          <w:trHeight w:val="347"/>
        </w:trPr>
        <w:tc>
          <w:tcPr>
            <w:tcBorders>
              <w:top w:val="single" w:color="000000" w:sz="4" w:space="0"/>
              <w:left w:val="single" w:color="000000" w:sz="4" w:space="0"/>
              <w:bottom w:val="single" w:color="000000" w:sz="4" w:space="0"/>
            </w:tcBorders>
            <w:tcW w:w="898" w:type="dxa"/>
            <w:vMerge w:val="restart"/>
            <w:textDirection w:val="lrTb"/>
            <w:noWrap w:val="false"/>
          </w:tcPr>
          <w:p>
            <w:pPr>
              <w:pStyle w:val="940"/>
              <w:jc w:val="center"/>
              <w:rPr>
                <w:sz w:val="20"/>
                <w:lang w:eastAsia="en-US"/>
              </w:rPr>
            </w:pPr>
            <w:r>
              <w:rPr>
                <w:sz w:val="20"/>
                <w:lang w:eastAsia="en-US"/>
              </w:rPr>
              <w:t xml:space="preserve">Номер задания в КИМ</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jc w:val="center"/>
              <w:rPr>
                <w:sz w:val="20"/>
                <w:lang w:eastAsia="en-US"/>
              </w:rPr>
            </w:pPr>
            <w:r>
              <w:rPr>
                <w:sz w:val="20"/>
                <w:lang w:eastAsia="en-US"/>
              </w:rPr>
              <w:t xml:space="preserve">Проверяемые элементы содержания / умения</w:t>
            </w:r>
            <w:r/>
          </w:p>
        </w:tc>
        <w:tc>
          <w:tcPr>
            <w:tcBorders>
              <w:top w:val="single" w:color="000000" w:sz="4" w:space="0"/>
              <w:left w:val="single" w:color="000000" w:sz="4" w:space="0"/>
              <w:bottom w:val="single" w:color="000000" w:sz="4" w:space="0"/>
            </w:tcBorders>
            <w:tcW w:w="941" w:type="dxa"/>
            <w:vMerge w:val="restart"/>
            <w:textDirection w:val="lrTb"/>
            <w:noWrap w:val="false"/>
          </w:tcPr>
          <w:p>
            <w:pPr>
              <w:pStyle w:val="940"/>
              <w:jc w:val="center"/>
              <w:rPr>
                <w:sz w:val="20"/>
                <w:lang w:eastAsia="en-US"/>
              </w:rPr>
            </w:pPr>
            <w:r>
              <w:rPr>
                <w:sz w:val="20"/>
                <w:lang w:eastAsia="en-US"/>
              </w:rPr>
              <w:t xml:space="preserve">Уровень сложности задания</w:t>
            </w:r>
            <w:r/>
          </w:p>
        </w:tc>
        <w:tc>
          <w:tcPr>
            <w:gridSpan w:val="5"/>
            <w:tcBorders>
              <w:top w:val="single" w:color="000000" w:sz="4" w:space="0"/>
              <w:left w:val="single" w:color="000000" w:sz="4" w:space="0"/>
              <w:bottom w:val="single" w:color="000000" w:sz="4" w:space="0"/>
              <w:right w:val="single" w:color="000000" w:sz="4" w:space="0"/>
            </w:tcBorders>
            <w:tcW w:w="6043" w:type="dxa"/>
            <w:textDirection w:val="lrTb"/>
            <w:noWrap w:val="false"/>
          </w:tcPr>
          <w:p>
            <w:pPr>
              <w:pStyle w:val="940"/>
              <w:jc w:val="center"/>
            </w:pPr>
            <w:r>
              <w:rPr>
                <w:sz w:val="20"/>
                <w:lang w:eastAsia="en-US"/>
              </w:rPr>
              <w:t xml:space="preserve">Процент выполнения задания в субъекте Российской Федерации</w:t>
            </w:r>
            <w:r/>
          </w:p>
        </w:tc>
      </w:tr>
      <w:tr>
        <w:trPr>
          <w:trHeight w:val="1238"/>
        </w:trPr>
        <w:tc>
          <w:tcPr>
            <w:tcBorders>
              <w:top w:val="single" w:color="000000" w:sz="4" w:space="0"/>
              <w:left w:val="single" w:color="000000" w:sz="4" w:space="0"/>
              <w:bottom w:val="single" w:color="000000" w:sz="4" w:space="0"/>
            </w:tcBorders>
            <w:tcW w:w="898" w:type="dxa"/>
            <w:vMerge w:val="continue"/>
            <w:textDirection w:val="lrTb"/>
            <w:noWrap w:val="false"/>
          </w:tcPr>
          <w:p>
            <w:pPr>
              <w:pStyle w:val="940"/>
              <w:jc w:val="center"/>
              <w:rPr>
                <w:sz w:val="20"/>
                <w:lang w:eastAsia="en-US"/>
              </w:rPr>
            </w:pPr>
            <w:r>
              <w:rPr>
                <w:sz w:val="20"/>
                <w:lang w:eastAsia="en-US"/>
              </w:rPr>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sz w:val="20"/>
                <w:lang w:eastAsia="en-US"/>
              </w:rPr>
            </w:pPr>
            <w:r>
              <w:rPr>
                <w:sz w:val="20"/>
                <w:lang w:eastAsia="en-US"/>
              </w:rPr>
            </w:r>
            <w:r/>
          </w:p>
        </w:tc>
        <w:tc>
          <w:tcPr>
            <w:tcBorders>
              <w:top w:val="single" w:color="000000" w:sz="4" w:space="0"/>
              <w:left w:val="single" w:color="000000" w:sz="4" w:space="0"/>
              <w:bottom w:val="single" w:color="000000" w:sz="4" w:space="0"/>
            </w:tcBorders>
            <w:tcW w:w="941" w:type="dxa"/>
            <w:vMerge w:val="continue"/>
            <w:textDirection w:val="lrTb"/>
            <w:noWrap w:val="false"/>
          </w:tcPr>
          <w:p>
            <w:pPr>
              <w:pStyle w:val="940"/>
              <w:jc w:val="center"/>
              <w:rPr>
                <w:sz w:val="20"/>
                <w:lang w:eastAsia="en-US"/>
              </w:rPr>
            </w:pPr>
            <w:r>
              <w:rPr>
                <w:sz w:val="20"/>
                <w:lang w:eastAsia="en-US"/>
              </w:rPr>
            </w:r>
            <w:r/>
          </w:p>
        </w:tc>
        <w:tc>
          <w:tcPr>
            <w:tcBorders>
              <w:top w:val="single" w:color="000000" w:sz="4" w:space="0"/>
              <w:left w:val="single" w:color="000000" w:sz="4" w:space="0"/>
              <w:bottom w:val="single" w:color="000000" w:sz="4" w:space="0"/>
            </w:tcBorders>
            <w:tcW w:w="940" w:type="dxa"/>
            <w:textDirection w:val="lrTb"/>
            <w:noWrap w:val="false"/>
          </w:tcPr>
          <w:p>
            <w:pPr>
              <w:pStyle w:val="940"/>
              <w:jc w:val="center"/>
              <w:rPr>
                <w:sz w:val="20"/>
                <w:lang w:eastAsia="en-US"/>
              </w:rPr>
            </w:pPr>
            <w:r>
              <w:rPr>
                <w:sz w:val="20"/>
                <w:lang w:eastAsia="en-US"/>
              </w:rPr>
              <w:t xml:space="preserve">средний</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sz w:val="20"/>
                <w:lang w:eastAsia="en-US"/>
              </w:rPr>
            </w:pPr>
            <w:r>
              <w:rPr>
                <w:sz w:val="20"/>
                <w:lang w:eastAsia="en-US"/>
              </w:rPr>
              <w:t xml:space="preserve">в группе не преодолевших минимальный балл</w:t>
            </w:r>
            <w:r/>
          </w:p>
        </w:tc>
        <w:tc>
          <w:tcPr>
            <w:tcBorders>
              <w:top w:val="single" w:color="000000" w:sz="4" w:space="0"/>
              <w:left w:val="single" w:color="000000" w:sz="4" w:space="0"/>
              <w:bottom w:val="single" w:color="000000" w:sz="4" w:space="0"/>
            </w:tcBorders>
            <w:tcW w:w="1205" w:type="dxa"/>
            <w:textDirection w:val="lrTb"/>
            <w:noWrap w:val="false"/>
          </w:tcPr>
          <w:p>
            <w:pPr>
              <w:pStyle w:val="940"/>
              <w:jc w:val="center"/>
              <w:rPr>
                <w:sz w:val="20"/>
                <w:lang w:eastAsia="en-US"/>
              </w:rPr>
            </w:pPr>
            <w:r>
              <w:rPr>
                <w:sz w:val="20"/>
                <w:lang w:eastAsia="en-US"/>
              </w:rPr>
              <w:t xml:space="preserve">в группе от минимального до 60 т.б.</w:t>
            </w:r>
            <w:r/>
          </w:p>
        </w:tc>
        <w:tc>
          <w:tcPr>
            <w:tcBorders>
              <w:top w:val="single" w:color="000000" w:sz="4" w:space="0"/>
              <w:left w:val="single" w:color="000000" w:sz="4" w:space="0"/>
              <w:bottom w:val="single" w:color="000000" w:sz="4" w:space="0"/>
            </w:tcBorders>
            <w:tcW w:w="1073" w:type="dxa"/>
            <w:textDirection w:val="lrTb"/>
            <w:noWrap w:val="false"/>
          </w:tcPr>
          <w:p>
            <w:pPr>
              <w:pStyle w:val="940"/>
              <w:jc w:val="center"/>
              <w:rPr>
                <w:sz w:val="20"/>
                <w:lang w:eastAsia="en-US"/>
              </w:rPr>
            </w:pPr>
            <w:r>
              <w:rPr>
                <w:sz w:val="20"/>
                <w:lang w:eastAsia="en-US"/>
              </w:rPr>
              <w:t xml:space="preserve">в группе 61-80 т.б.</w:t>
            </w:r>
            <w:r/>
          </w:p>
        </w:tc>
        <w:tc>
          <w:tcPr>
            <w:tcBorders>
              <w:top w:val="single" w:color="000000" w:sz="4" w:space="0"/>
              <w:left w:val="single" w:color="000000" w:sz="4" w:space="0"/>
              <w:bottom w:val="single" w:color="000000" w:sz="4" w:space="0"/>
              <w:right w:val="single" w:color="000000" w:sz="4" w:space="0"/>
            </w:tcBorders>
            <w:tcW w:w="1489" w:type="dxa"/>
            <w:textDirection w:val="lrTb"/>
            <w:noWrap w:val="false"/>
          </w:tcPr>
          <w:p>
            <w:pPr>
              <w:pStyle w:val="940"/>
              <w:jc w:val="center"/>
              <w:rPr>
                <w:sz w:val="20"/>
                <w:lang w:eastAsia="en-US"/>
              </w:rPr>
            </w:pPr>
            <w:r>
              <w:rPr>
                <w:sz w:val="20"/>
                <w:lang w:eastAsia="en-US"/>
              </w:rPr>
              <w:t xml:space="preserve">в группе 81-100 т.б.</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rPr>
                <w:lang w:eastAsia="en-US"/>
              </w:rPr>
            </w:pPr>
            <w:r>
              <w:rPr>
                <w:lang w:eastAsia="en-US"/>
              </w:rPr>
              <w:t xml:space="preserve">Тестовые задания, содержащие вопросы к анализу литературных произведений. Задания, проверяющие умение определять основные элем</w:t>
            </w:r>
            <w:r>
              <w:rPr>
                <w:lang w:eastAsia="en-US"/>
              </w:rPr>
              <w:t xml:space="preserve">енты содержания и художественной структуры изученных произведений (тематика и проблематика, герои и события, художественные приёмы, различные виды тропов и т.п.), а также рассматривать конкретные литературные произведения во взаимосвязи с материалом курса.</w:t>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spacing w:before="29" w:after="0" w:line="218" w:lineRule="exact"/>
              <w:widowControl w:val="off"/>
              <w:rPr>
                <w:bCs/>
              </w:rPr>
            </w:pPr>
            <w:r>
              <w:rPr>
                <w:bCs/>
              </w:rPr>
              <w:t xml:space="preserve">91,05</w:t>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33,33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86,25</w:t>
            </w:r>
            <w:r/>
          </w:p>
        </w:tc>
        <w:tc>
          <w:tcPr>
            <w:tcBorders>
              <w:left w:val="single" w:color="000000" w:sz="4" w:space="0"/>
              <w:bottom w:val="single" w:color="000000" w:sz="4" w:space="0"/>
            </w:tcBorders>
            <w:tcW w:w="1073" w:type="dxa"/>
            <w:textDirection w:val="lrTb"/>
            <w:noWrap w:val="false"/>
          </w:tcPr>
          <w:p>
            <w:pPr>
              <w:pStyle w:val="940"/>
              <w:jc w:val="center"/>
            </w:pPr>
            <w:r>
              <w:t xml:space="preserve">97,47</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spacing w:before="29" w:after="0" w:line="218" w:lineRule="exact"/>
              <w:widowControl w:val="off"/>
              <w:rPr>
                <w:bCs/>
              </w:rPr>
            </w:pPr>
            <w:r>
              <w:rPr>
                <w:bCs/>
              </w:rPr>
              <w:t xml:space="preserve">90,53</w:t>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rPr>
                <w:lang w:eastAsia="en-US"/>
              </w:rPr>
            </w:pPr>
            <w:r>
              <w:rPr>
                <w:lang w:eastAsia="en-US"/>
              </w:rPr>
              <w:t xml:space="preserve">50,00</w:t>
            </w:r>
            <w:r/>
          </w:p>
        </w:tc>
        <w:tc>
          <w:tcPr>
            <w:tcBorders>
              <w:left w:val="single" w:color="000000" w:sz="4" w:space="0"/>
              <w:bottom w:val="single" w:color="000000" w:sz="4" w:space="0"/>
            </w:tcBorders>
            <w:tcW w:w="1205" w:type="dxa"/>
            <w:textDirection w:val="lrTb"/>
            <w:noWrap w:val="false"/>
          </w:tcPr>
          <w:p>
            <w:pPr>
              <w:pStyle w:val="940"/>
              <w:jc w:val="center"/>
            </w:pPr>
            <w:r>
              <w:t xml:space="preserve">85,00</w:t>
            </w:r>
            <w:r/>
          </w:p>
        </w:tc>
        <w:tc>
          <w:tcPr>
            <w:tcBorders>
              <w:left w:val="single" w:color="000000" w:sz="4" w:space="0"/>
              <w:bottom w:val="single" w:color="000000" w:sz="4" w:space="0"/>
            </w:tcBorders>
            <w:tcW w:w="1073" w:type="dxa"/>
            <w:textDirection w:val="lrTb"/>
            <w:noWrap w:val="false"/>
          </w:tcPr>
          <w:p>
            <w:pPr>
              <w:pStyle w:val="940"/>
              <w:jc w:val="center"/>
            </w:pPr>
            <w:r>
              <w:t xml:space="preserve">97,47</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spacing w:before="29" w:after="0" w:line="218" w:lineRule="exact"/>
              <w:widowControl w:val="off"/>
              <w:rPr>
                <w:bCs/>
              </w:rPr>
            </w:pPr>
            <w:r>
              <w:rPr>
                <w:bCs/>
              </w:rPr>
              <w:t xml:space="preserve">91,05</w:t>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83,33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83,75</w:t>
            </w:r>
            <w:r/>
          </w:p>
        </w:tc>
        <w:tc>
          <w:tcPr>
            <w:tcBorders>
              <w:left w:val="single" w:color="000000" w:sz="4" w:space="0"/>
              <w:bottom w:val="single" w:color="000000" w:sz="4" w:space="0"/>
            </w:tcBorders>
            <w:tcW w:w="1073" w:type="dxa"/>
            <w:textDirection w:val="lrTb"/>
            <w:noWrap w:val="false"/>
          </w:tcPr>
          <w:p>
            <w:pPr>
              <w:pStyle w:val="940"/>
              <w:jc w:val="center"/>
            </w:pPr>
            <w:r>
              <w:t xml:space="preserve">97,47</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4</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38,42</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16,67</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26,25</w:t>
            </w:r>
            <w:r/>
          </w:p>
        </w:tc>
        <w:tc>
          <w:tcPr>
            <w:tcBorders>
              <w:left w:val="single" w:color="000000" w:sz="4" w:space="0"/>
              <w:bottom w:val="single" w:color="000000" w:sz="4" w:space="0"/>
            </w:tcBorders>
            <w:tcW w:w="1073" w:type="dxa"/>
            <w:textDirection w:val="lrTb"/>
            <w:noWrap w:val="false"/>
          </w:tcPr>
          <w:p>
            <w:pPr>
              <w:pStyle w:val="940"/>
              <w:jc w:val="center"/>
            </w:pPr>
            <w:r>
              <w:t xml:space="preserve">44,30</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64,00</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5</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95,79</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83,33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91,25</w:t>
            </w:r>
            <w:r/>
          </w:p>
        </w:tc>
        <w:tc>
          <w:tcPr>
            <w:tcBorders>
              <w:left w:val="single" w:color="000000" w:sz="4" w:space="0"/>
              <w:bottom w:val="single" w:color="000000" w:sz="4" w:space="0"/>
            </w:tcBorders>
            <w:tcW w:w="1073" w:type="dxa"/>
            <w:textDirection w:val="lrTb"/>
            <w:noWrap w:val="false"/>
          </w:tcPr>
          <w:p>
            <w:pPr>
              <w:pStyle w:val="940"/>
              <w:jc w:val="center"/>
            </w:pPr>
            <w:r>
              <w:t xml:space="preserve">100,00</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99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6</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93,16</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33,33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91,25</w:t>
            </w:r>
            <w:r/>
          </w:p>
        </w:tc>
        <w:tc>
          <w:tcPr>
            <w:tcBorders>
              <w:left w:val="single" w:color="000000" w:sz="4" w:space="0"/>
              <w:bottom w:val="single" w:color="000000" w:sz="4" w:space="0"/>
            </w:tcBorders>
            <w:tcW w:w="1073" w:type="dxa"/>
            <w:textDirection w:val="lrTb"/>
            <w:noWrap w:val="false"/>
          </w:tcPr>
          <w:p>
            <w:pPr>
              <w:pStyle w:val="940"/>
              <w:jc w:val="center"/>
            </w:pPr>
            <w:r>
              <w:t xml:space="preserve">97,47</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633"/>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7</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85,26</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33,33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75,00</w:t>
            </w:r>
            <w:r/>
          </w:p>
        </w:tc>
        <w:tc>
          <w:tcPr>
            <w:tcBorders>
              <w:left w:val="single" w:color="000000" w:sz="4" w:space="0"/>
              <w:bottom w:val="single" w:color="000000" w:sz="4" w:space="0"/>
            </w:tcBorders>
            <w:tcW w:w="1073" w:type="dxa"/>
            <w:textDirection w:val="lrTb"/>
            <w:noWrap w:val="false"/>
          </w:tcPr>
          <w:p>
            <w:pPr>
              <w:pStyle w:val="940"/>
              <w:jc w:val="center"/>
            </w:pPr>
            <w:r>
              <w:t xml:space="preserve">96,20</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633"/>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10</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rPr>
                <w:lang w:eastAsia="en-US"/>
              </w:rPr>
            </w:pPr>
            <w:r>
              <w:rPr>
                <w:lang w:eastAsia="en-US"/>
              </w:rPr>
              <w:t xml:space="preserve">Задания, поверяющие умения определять вид и способ рифмовки лирического произведения, размер, а также художественные приёмы, различные виды тропов</w:t>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95,26</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pPr>
            <w:r>
              <w:t xml:space="preserve">66,67</w:t>
            </w:r>
            <w:r/>
          </w:p>
          <w:p>
            <w:pPr>
              <w:pStyle w:val="940"/>
              <w:jc w:val="center"/>
              <w:rPr>
                <w:lang w:eastAsia="en-US"/>
              </w:rPr>
            </w:pPr>
            <w:r>
              <w:rPr>
                <w:lang w:eastAsia="en-US"/>
              </w:rPr>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92,50</w:t>
            </w:r>
            <w:r/>
          </w:p>
        </w:tc>
        <w:tc>
          <w:tcPr>
            <w:tcBorders>
              <w:left w:val="single" w:color="000000" w:sz="4" w:space="0"/>
              <w:bottom w:val="single" w:color="000000" w:sz="4" w:space="0"/>
            </w:tcBorders>
            <w:tcW w:w="1073" w:type="dxa"/>
            <w:textDirection w:val="lrTb"/>
            <w:noWrap w:val="false"/>
          </w:tcPr>
          <w:p>
            <w:pPr>
              <w:pStyle w:val="940"/>
              <w:jc w:val="center"/>
            </w:pPr>
            <w:r>
              <w:t xml:space="preserve">98,73</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679"/>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11</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97,89</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rPr>
                <w:lang w:eastAsia="en-US"/>
              </w:rPr>
            </w:pPr>
            <w:r>
              <w:rPr>
                <w:lang w:eastAsia="en-US"/>
              </w:rPr>
              <w:t xml:space="preserve">83,33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96,25</w:t>
            </w:r>
            <w:r/>
          </w:p>
        </w:tc>
        <w:tc>
          <w:tcPr>
            <w:tcBorders>
              <w:left w:val="single" w:color="000000" w:sz="4" w:space="0"/>
              <w:bottom w:val="single" w:color="000000" w:sz="4" w:space="0"/>
            </w:tcBorders>
            <w:tcW w:w="1073" w:type="dxa"/>
            <w:textDirection w:val="lrTb"/>
            <w:noWrap w:val="false"/>
          </w:tcPr>
          <w:p>
            <w:pPr>
              <w:pStyle w:val="940"/>
              <w:jc w:val="center"/>
            </w:pPr>
            <w:r>
              <w:t xml:space="preserve">100,00</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891"/>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91,58</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rPr>
                <w:lang w:eastAsia="en-US"/>
              </w:rPr>
            </w:pPr>
            <w:r>
              <w:rPr>
                <w:lang w:eastAsia="en-US"/>
              </w:rPr>
              <w:t xml:space="preserve">50,00</w:t>
            </w:r>
            <w:r/>
          </w:p>
        </w:tc>
        <w:tc>
          <w:tcPr>
            <w:tcBorders>
              <w:left w:val="single" w:color="000000" w:sz="4" w:space="0"/>
              <w:bottom w:val="single" w:color="000000" w:sz="4" w:space="0"/>
            </w:tcBorders>
            <w:tcW w:w="1205" w:type="dxa"/>
            <w:textDirection w:val="lrTb"/>
            <w:noWrap w:val="false"/>
          </w:tcPr>
          <w:p>
            <w:pPr>
              <w:pStyle w:val="940"/>
              <w:jc w:val="center"/>
            </w:pPr>
            <w:r>
              <w:t xml:space="preserve">88,75</w:t>
            </w:r>
            <w:r/>
          </w:p>
        </w:tc>
        <w:tc>
          <w:tcPr>
            <w:tcBorders>
              <w:left w:val="single" w:color="000000" w:sz="4" w:space="0"/>
              <w:bottom w:val="single" w:color="000000" w:sz="4" w:space="0"/>
            </w:tcBorders>
            <w:tcW w:w="1073" w:type="dxa"/>
            <w:textDirection w:val="lrTb"/>
            <w:noWrap w:val="false"/>
          </w:tcPr>
          <w:p>
            <w:pPr>
              <w:pStyle w:val="940"/>
              <w:jc w:val="center"/>
            </w:pPr>
            <w:r>
              <w:t xml:space="preserve">94,94</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891"/>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pPr>
            <w:r>
              <w:t xml:space="preserve">82,11</w:t>
            </w:r>
            <w:r/>
          </w:p>
          <w:p>
            <w:pPr>
              <w:pStyle w:val="940"/>
              <w:jc w:val="center"/>
              <w:spacing w:before="29" w:after="0" w:line="218" w:lineRule="exact"/>
              <w:widowControl w:val="off"/>
              <w:rPr>
                <w:bCs/>
              </w:rPr>
            </w:pPr>
            <w:r>
              <w:rPr>
                <w:bCs/>
              </w:rPr>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rPr>
                <w:lang w:eastAsia="en-US"/>
              </w:rPr>
            </w:pPr>
            <w:r>
              <w:rPr>
                <w:lang w:eastAsia="en-US"/>
              </w:rPr>
              <w:t xml:space="preserve">50,00</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71,25</w:t>
            </w:r>
            <w:r/>
          </w:p>
        </w:tc>
        <w:tc>
          <w:tcPr>
            <w:tcBorders>
              <w:left w:val="single" w:color="000000" w:sz="4" w:space="0"/>
              <w:bottom w:val="single" w:color="000000" w:sz="4" w:space="0"/>
            </w:tcBorders>
            <w:tcW w:w="1073" w:type="dxa"/>
            <w:textDirection w:val="lrTb"/>
            <w:noWrap w:val="false"/>
          </w:tcPr>
          <w:p>
            <w:pPr>
              <w:pStyle w:val="940"/>
              <w:jc w:val="center"/>
            </w:pPr>
            <w:r>
              <w:t xml:space="preserve">91,14</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891"/>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14</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Б</w:t>
            </w:r>
            <w:r/>
          </w:p>
        </w:tc>
        <w:tc>
          <w:tcPr>
            <w:tcBorders>
              <w:top w:val="single" w:color="000000" w:sz="8" w:space="0"/>
              <w:left w:val="single" w:color="000000" w:sz="8" w:space="0"/>
              <w:bottom w:val="single" w:color="000000" w:sz="8" w:space="0"/>
            </w:tcBorders>
            <w:tcW w:w="940" w:type="dxa"/>
            <w:textDirection w:val="lrTb"/>
            <w:noWrap w:val="false"/>
          </w:tcPr>
          <w:p>
            <w:pPr>
              <w:pStyle w:val="940"/>
              <w:jc w:val="center"/>
              <w:spacing w:before="29" w:after="0" w:line="218" w:lineRule="exact"/>
              <w:widowControl w:val="off"/>
              <w:rPr>
                <w:rFonts w:eastAsia="Times New Roman"/>
              </w:rPr>
            </w:pPr>
            <w:r>
              <w:rPr>
                <w:rFonts w:eastAsia="Times New Roman"/>
              </w:rPr>
              <w:t xml:space="preserve">84,74</w:t>
            </w:r>
            <w:r/>
          </w:p>
        </w:tc>
        <w:tc>
          <w:tcPr>
            <w:tcBorders>
              <w:top w:val="single" w:color="000000" w:sz="4" w:space="0"/>
              <w:left w:val="single" w:color="000000" w:sz="8" w:space="0"/>
              <w:bottom w:val="single" w:color="000000" w:sz="4" w:space="0"/>
            </w:tcBorders>
            <w:tcW w:w="1336" w:type="dxa"/>
            <w:textDirection w:val="lrTb"/>
            <w:noWrap w:val="false"/>
          </w:tcPr>
          <w:p>
            <w:pPr>
              <w:pStyle w:val="940"/>
              <w:jc w:val="center"/>
              <w:rPr>
                <w:lang w:eastAsia="en-US"/>
              </w:rPr>
            </w:pPr>
            <w:r>
              <w:rPr>
                <w:lang w:eastAsia="en-US"/>
              </w:rPr>
              <w:t xml:space="preserve">50,00</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75,00</w:t>
            </w:r>
            <w:r/>
          </w:p>
        </w:tc>
        <w:tc>
          <w:tcPr>
            <w:tcBorders>
              <w:left w:val="single" w:color="000000" w:sz="4" w:space="0"/>
              <w:bottom w:val="single" w:color="000000" w:sz="4" w:space="0"/>
            </w:tcBorders>
            <w:tcW w:w="1073" w:type="dxa"/>
            <w:textDirection w:val="lrTb"/>
            <w:noWrap w:val="false"/>
          </w:tcPr>
          <w:p>
            <w:pPr>
              <w:pStyle w:val="940"/>
              <w:jc w:val="center"/>
            </w:pPr>
            <w:r>
              <w:t xml:space="preserve">92,41</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891"/>
        </w:trPr>
        <w:tc>
          <w:tcPr>
            <w:gridSpan w:val="8"/>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lang w:eastAsia="en-US"/>
              </w:rPr>
            </w:pPr>
            <w:r>
              <w:rPr>
                <w:lang w:eastAsia="en-US"/>
              </w:rPr>
              <w:t xml:space="preserve">Задания ориентированы на проверку умения анализировать в единстве формы и содержания текст художественных произведений, относящийся к различным родам литературы и в той или иной комбинации отражающий разные литературные эпохи.</w:t>
            </w:r>
            <w:r/>
          </w:p>
        </w:tc>
      </w:tr>
      <w:tr>
        <w:trPr>
          <w:trHeight w:val="96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8(к1)</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rPr>
                <w:lang w:eastAsia="en-US"/>
              </w:rPr>
            </w:pPr>
            <w:r>
              <w:rPr>
                <w:lang w:eastAsia="en-US"/>
              </w:rPr>
              <w:t xml:space="preserve">Задания, требующие от экзаменуемого умения обобщить наблюдения над одной из важных проблем текста.</w:t>
              <w:br/>
              <w:t xml:space="preserve">Овладение умением строить содержательное связное лак</w:t>
            </w:r>
            <w:r>
              <w:rPr>
                <w:lang w:eastAsia="en-US"/>
              </w:rPr>
              <w:t xml:space="preserve">оничное высказывание на заданную тему при анализе художественных произведений и ответе на проблемный вопрос, н-р: Как в приведенном эпизоде раскрываются разные стороны натуры Базарова? Или: Почему слава, с точки зрения поэта, может быть похожа на забвенье?</w:t>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78,42</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25,00</w:t>
            </w:r>
            <w:r/>
          </w:p>
        </w:tc>
        <w:tc>
          <w:tcPr>
            <w:tcBorders>
              <w:left w:val="single" w:color="000000" w:sz="4" w:space="0"/>
              <w:bottom w:val="single" w:color="000000" w:sz="4" w:space="0"/>
            </w:tcBorders>
            <w:tcW w:w="1205" w:type="dxa"/>
            <w:textDirection w:val="lrTb"/>
            <w:noWrap w:val="false"/>
          </w:tcPr>
          <w:p>
            <w:pPr>
              <w:pStyle w:val="940"/>
              <w:jc w:val="center"/>
            </w:pPr>
            <w:r>
              <w:t xml:space="preserve">69,38</w:t>
            </w:r>
            <w:r/>
          </w:p>
        </w:tc>
        <w:tc>
          <w:tcPr>
            <w:tcBorders>
              <w:left w:val="single" w:color="000000" w:sz="4" w:space="0"/>
              <w:bottom w:val="single" w:color="000000" w:sz="4" w:space="0"/>
            </w:tcBorders>
            <w:tcW w:w="1073" w:type="dxa"/>
            <w:textDirection w:val="lrTb"/>
            <w:noWrap w:val="false"/>
          </w:tcPr>
          <w:p>
            <w:pPr>
              <w:pStyle w:val="940"/>
              <w:jc w:val="center"/>
            </w:pPr>
            <w:r>
              <w:t xml:space="preserve">85,44</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98,00</w:t>
            </w:r>
            <w:r/>
          </w:p>
        </w:tc>
      </w:tr>
      <w:tr>
        <w:trPr>
          <w:trHeight w:val="755"/>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8(к2)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75,79</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16,67</w:t>
            </w:r>
            <w:r/>
          </w:p>
        </w:tc>
        <w:tc>
          <w:tcPr>
            <w:tcBorders>
              <w:left w:val="single" w:color="000000" w:sz="4" w:space="0"/>
              <w:bottom w:val="single" w:color="000000" w:sz="4" w:space="0"/>
            </w:tcBorders>
            <w:tcW w:w="1205" w:type="dxa"/>
            <w:textDirection w:val="lrTb"/>
            <w:noWrap w:val="false"/>
          </w:tcPr>
          <w:p>
            <w:pPr>
              <w:pStyle w:val="940"/>
              <w:jc w:val="center"/>
            </w:pPr>
            <w:r>
              <w:t xml:space="preserve">68,13</w:t>
            </w:r>
            <w:r/>
          </w:p>
        </w:tc>
        <w:tc>
          <w:tcPr>
            <w:tcBorders>
              <w:left w:val="single" w:color="000000" w:sz="4" w:space="0"/>
              <w:bottom w:val="single" w:color="000000" w:sz="4" w:space="0"/>
            </w:tcBorders>
            <w:tcW w:w="1073" w:type="dxa"/>
            <w:textDirection w:val="lrTb"/>
            <w:noWrap w:val="false"/>
          </w:tcPr>
          <w:p>
            <w:pPr>
              <w:pStyle w:val="940"/>
              <w:jc w:val="center"/>
            </w:pPr>
            <w:r>
              <w:t xml:space="preserve">81,65</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755"/>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8(к3)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66,05</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8,33</w:t>
            </w:r>
            <w:r/>
          </w:p>
        </w:tc>
        <w:tc>
          <w:tcPr>
            <w:tcBorders>
              <w:left w:val="single" w:color="000000" w:sz="4" w:space="0"/>
              <w:bottom w:val="single" w:color="000000" w:sz="4" w:space="0"/>
            </w:tcBorders>
            <w:tcW w:w="1205" w:type="dxa"/>
            <w:textDirection w:val="lrTb"/>
            <w:noWrap w:val="false"/>
          </w:tcPr>
          <w:p>
            <w:pPr>
              <w:pStyle w:val="940"/>
              <w:jc w:val="center"/>
            </w:pPr>
            <w:r>
              <w:t xml:space="preserve">51,88</w:t>
            </w:r>
            <w:r/>
          </w:p>
        </w:tc>
        <w:tc>
          <w:tcPr>
            <w:tcBorders>
              <w:left w:val="single" w:color="000000" w:sz="4" w:space="0"/>
              <w:bottom w:val="single" w:color="000000" w:sz="4" w:space="0"/>
            </w:tcBorders>
            <w:tcW w:w="1073" w:type="dxa"/>
            <w:textDirection w:val="lrTb"/>
            <w:noWrap w:val="false"/>
          </w:tcPr>
          <w:p>
            <w:pPr>
              <w:pStyle w:val="940"/>
              <w:jc w:val="center"/>
            </w:pPr>
            <w:r>
              <w:t xml:space="preserve">77,85</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88,00</w:t>
            </w:r>
            <w:r/>
          </w:p>
        </w:tc>
      </w:tr>
      <w:tr>
        <w:trPr>
          <w:trHeight w:val="755"/>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15(к1)</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78,16</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pPr>
            <w:r>
              <w:t xml:space="preserve">16,67</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63,13</w:t>
            </w:r>
            <w:r/>
          </w:p>
        </w:tc>
        <w:tc>
          <w:tcPr>
            <w:tcBorders>
              <w:left w:val="single" w:color="000000" w:sz="4" w:space="0"/>
              <w:bottom w:val="single" w:color="000000" w:sz="4" w:space="0"/>
            </w:tcBorders>
            <w:tcW w:w="1073" w:type="dxa"/>
            <w:textDirection w:val="lrTb"/>
            <w:noWrap w:val="false"/>
          </w:tcPr>
          <w:p>
            <w:pPr>
              <w:pStyle w:val="940"/>
              <w:jc w:val="center"/>
            </w:pPr>
            <w:r>
              <w:t xml:space="preserve">91,14</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755"/>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15(к2)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67,89</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48,13</w:t>
            </w:r>
            <w:r/>
          </w:p>
        </w:tc>
        <w:tc>
          <w:tcPr>
            <w:tcBorders>
              <w:left w:val="single" w:color="000000" w:sz="4" w:space="0"/>
              <w:bottom w:val="single" w:color="000000" w:sz="4" w:space="0"/>
            </w:tcBorders>
            <w:tcW w:w="1073" w:type="dxa"/>
            <w:textDirection w:val="lrTb"/>
            <w:noWrap w:val="false"/>
          </w:tcPr>
          <w:p>
            <w:pPr>
              <w:pStyle w:val="940"/>
              <w:jc w:val="center"/>
            </w:pPr>
            <w:r>
              <w:t xml:space="preserve">82,91</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1162"/>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15(к3)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56,71</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pPr>
            <w:r>
              <w:t xml:space="preserve">8,33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40,94</w:t>
            </w:r>
            <w:r/>
          </w:p>
        </w:tc>
        <w:tc>
          <w:tcPr>
            <w:tcBorders>
              <w:left w:val="single" w:color="000000" w:sz="4" w:space="0"/>
              <w:bottom w:val="single" w:color="000000" w:sz="4" w:space="0"/>
            </w:tcBorders>
            <w:tcW w:w="1073" w:type="dxa"/>
            <w:textDirection w:val="lrTb"/>
            <w:noWrap w:val="false"/>
          </w:tcPr>
          <w:p>
            <w:pPr>
              <w:pStyle w:val="940"/>
              <w:jc w:val="center"/>
            </w:pPr>
            <w:r>
              <w:t xml:space="preserve">65,82</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90,00</w:t>
            </w:r>
            <w:r/>
          </w:p>
        </w:tc>
      </w:tr>
      <w:tr>
        <w:trPr>
          <w:trHeight w:val="1488"/>
        </w:trPr>
        <w:tc>
          <w:tcPr>
            <w:gridSpan w:val="8"/>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lang w:eastAsia="en-US"/>
              </w:rPr>
            </w:pPr>
            <w:r>
              <w:rPr>
                <w:lang w:eastAsia="en-US"/>
              </w:rPr>
              <w:t xml:space="preserve">Эти задани</w:t>
            </w:r>
            <w:r>
              <w:rPr>
                <w:lang w:eastAsia="en-US"/>
              </w:rPr>
              <w:t xml:space="preserve">я проверяют следующие умения:</w:t>
              <w:br/>
              <w:t xml:space="preserve">– воспринимать информацию, содержащуюся в тексте;</w:t>
              <w:br/>
              <w:t xml:space="preserve">– анализировать содержание фрагмента в канве всего текста;</w:t>
              <w:br/>
              <w:t xml:space="preserve">– обобщать наблюдения над художественным текстом;</w:t>
              <w:br/>
              <w:t xml:space="preserve">– логично и последовательно излагать мысли;</w:t>
              <w:br/>
              <w:t xml:space="preserve">– соблюдать нормы речи.</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9(к1)</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jc w:val="center"/>
            </w:pPr>
            <w:r>
              <w:rPr>
                <w:lang w:eastAsia="en-US"/>
              </w:rPr>
              <w:t xml:space="preserve">Задания этого тип</w:t>
            </w:r>
            <w:r>
              <w:rPr>
                <w:lang w:eastAsia="en-US"/>
              </w:rPr>
              <w:t xml:space="preserve">а представляют собой проблемный вопрос, который связан с конкретным произведением и при этом нацеливает на рассмотрение художественного текста в определенном литературном контексте. </w:t>
              <w:br/>
              <w:t xml:space="preserve">Например:</w:t>
              <w:br/>
              <w:t xml:space="preserve">В каких произведениях отечественных писателей  отражен спор пок</w:t>
            </w:r>
            <w:r>
              <w:rPr>
                <w:lang w:eastAsia="en-US"/>
              </w:rPr>
              <w:t xml:space="preserve">олений  и в чем эти произведения можно сопоставить с «Отцами и детьми» И.С. Тургенева?</w:t>
              <w:br/>
              <w:t xml:space="preserve">Или: Кто из героев отечественной классики размышлял о славе и в чем их суждения близки позиции героя произведения В.Н. Соколова «Я славы не искал…» или расходятся с ней?</w:t>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60,26</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8,33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47,50</w:t>
            </w:r>
            <w:r/>
          </w:p>
        </w:tc>
        <w:tc>
          <w:tcPr>
            <w:tcBorders>
              <w:left w:val="single" w:color="000000" w:sz="4" w:space="0"/>
              <w:bottom w:val="single" w:color="000000" w:sz="4" w:space="0"/>
            </w:tcBorders>
            <w:tcW w:w="1073" w:type="dxa"/>
            <w:textDirection w:val="lrTb"/>
            <w:noWrap w:val="false"/>
          </w:tcPr>
          <w:p>
            <w:pPr>
              <w:pStyle w:val="940"/>
              <w:jc w:val="center"/>
            </w:pPr>
            <w:r>
              <w:t xml:space="preserve">70,89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80,00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9(к2)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83,42</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33,33</w:t>
            </w:r>
            <w:r/>
          </w:p>
        </w:tc>
        <w:tc>
          <w:tcPr>
            <w:tcBorders>
              <w:left w:val="single" w:color="000000" w:sz="4" w:space="0"/>
              <w:bottom w:val="single" w:color="000000" w:sz="4" w:space="0"/>
            </w:tcBorders>
            <w:tcW w:w="1205" w:type="dxa"/>
            <w:textDirection w:val="lrTb"/>
            <w:noWrap w:val="false"/>
          </w:tcPr>
          <w:p>
            <w:pPr>
              <w:pStyle w:val="940"/>
              <w:jc w:val="center"/>
            </w:pPr>
            <w:r>
              <w:t xml:space="preserve">69,38</w:t>
            </w:r>
            <w:r/>
          </w:p>
        </w:tc>
        <w:tc>
          <w:tcPr>
            <w:tcBorders>
              <w:left w:val="single" w:color="000000" w:sz="4" w:space="0"/>
              <w:bottom w:val="single" w:color="000000" w:sz="4" w:space="0"/>
            </w:tcBorders>
            <w:tcW w:w="1073" w:type="dxa"/>
            <w:textDirection w:val="lrTb"/>
            <w:noWrap w:val="false"/>
          </w:tcPr>
          <w:p>
            <w:pPr>
              <w:pStyle w:val="940"/>
              <w:jc w:val="center"/>
            </w:pPr>
            <w:r>
              <w:t xml:space="preserve">96,20</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9(к3)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80,26</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pPr>
            <w:r>
              <w:t xml:space="preserve">33,33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63,75</w:t>
            </w:r>
            <w:r/>
          </w:p>
        </w:tc>
        <w:tc>
          <w:tcPr>
            <w:tcBorders>
              <w:left w:val="single" w:color="000000" w:sz="4" w:space="0"/>
              <w:bottom w:val="single" w:color="000000" w:sz="4" w:space="0"/>
            </w:tcBorders>
            <w:tcW w:w="1073" w:type="dxa"/>
            <w:textDirection w:val="lrTb"/>
            <w:noWrap w:val="false"/>
          </w:tcPr>
          <w:p>
            <w:pPr>
              <w:pStyle w:val="940"/>
              <w:jc w:val="center"/>
            </w:pPr>
            <w:r>
              <w:t xml:space="preserve">94,94</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98,00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9(к4)</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68,95</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pPr>
            <w:r>
              <w:t xml:space="preserve">33,33</w:t>
            </w:r>
            <w:r/>
          </w:p>
          <w:p>
            <w:pPr>
              <w:pStyle w:val="940"/>
              <w:jc w:val="center"/>
              <w:rPr>
                <w:lang w:eastAsia="en-US"/>
              </w:rPr>
            </w:pPr>
            <w:r>
              <w:rPr>
                <w:lang w:eastAsia="en-US"/>
              </w:rPr>
            </w:r>
            <w:r/>
          </w:p>
        </w:tc>
        <w:tc>
          <w:tcPr>
            <w:tcBorders>
              <w:left w:val="single" w:color="000000" w:sz="4" w:space="0"/>
              <w:bottom w:val="single" w:color="000000" w:sz="4" w:space="0"/>
            </w:tcBorders>
            <w:tcW w:w="1205" w:type="dxa"/>
            <w:textDirection w:val="lrTb"/>
            <w:noWrap w:val="false"/>
          </w:tcPr>
          <w:p>
            <w:pPr>
              <w:pStyle w:val="940"/>
              <w:jc w:val="center"/>
            </w:pPr>
            <w:r>
              <w:t xml:space="preserve">57,50</w:t>
            </w:r>
            <w:r/>
          </w:p>
        </w:tc>
        <w:tc>
          <w:tcPr>
            <w:tcBorders>
              <w:left w:val="single" w:color="000000" w:sz="4" w:space="0"/>
              <w:bottom w:val="single" w:color="000000" w:sz="4" w:space="0"/>
            </w:tcBorders>
            <w:tcW w:w="1073" w:type="dxa"/>
            <w:textDirection w:val="lrTb"/>
            <w:noWrap w:val="false"/>
          </w:tcPr>
          <w:p>
            <w:pPr>
              <w:pStyle w:val="940"/>
              <w:jc w:val="center"/>
            </w:pPr>
            <w:r>
              <w:t xml:space="preserve">76,58</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90,00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16(к1)</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60,79</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33,75</w:t>
            </w:r>
            <w:r/>
          </w:p>
        </w:tc>
        <w:tc>
          <w:tcPr>
            <w:tcBorders>
              <w:left w:val="single" w:color="000000" w:sz="4" w:space="0"/>
              <w:bottom w:val="single" w:color="000000" w:sz="4" w:space="0"/>
            </w:tcBorders>
            <w:tcW w:w="1073" w:type="dxa"/>
            <w:textDirection w:val="lrTb"/>
            <w:noWrap w:val="false"/>
          </w:tcPr>
          <w:p>
            <w:pPr>
              <w:pStyle w:val="940"/>
              <w:jc w:val="center"/>
            </w:pPr>
            <w:r>
              <w:t xml:space="preserve">81,01</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98,00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16(к2)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55,00</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25,00</w:t>
            </w:r>
            <w:r/>
          </w:p>
        </w:tc>
        <w:tc>
          <w:tcPr>
            <w:tcBorders>
              <w:left w:val="single" w:color="000000" w:sz="4" w:space="0"/>
              <w:bottom w:val="single" w:color="000000" w:sz="4" w:space="0"/>
            </w:tcBorders>
            <w:tcW w:w="1073" w:type="dxa"/>
            <w:textDirection w:val="lrTb"/>
            <w:noWrap w:val="false"/>
          </w:tcPr>
          <w:p>
            <w:pPr>
              <w:pStyle w:val="940"/>
              <w:jc w:val="center"/>
            </w:pPr>
            <w:r>
              <w:t xml:space="preserve">75,32</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100,00</w:t>
            </w:r>
            <w:r/>
          </w:p>
        </w:tc>
      </w:tr>
      <w:tr>
        <w:trPr>
          <w:trHeight w:val="1298"/>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16(к3)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49,08</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24,38</w:t>
            </w:r>
            <w:r/>
          </w:p>
        </w:tc>
        <w:tc>
          <w:tcPr>
            <w:tcBorders>
              <w:left w:val="single" w:color="000000" w:sz="4" w:space="0"/>
              <w:bottom w:val="single" w:color="000000" w:sz="4" w:space="0"/>
            </w:tcBorders>
            <w:tcW w:w="1073" w:type="dxa"/>
            <w:textDirection w:val="lrTb"/>
            <w:noWrap w:val="false"/>
          </w:tcPr>
          <w:p>
            <w:pPr>
              <w:pStyle w:val="940"/>
              <w:jc w:val="center"/>
            </w:pPr>
            <w:r>
              <w:t xml:space="preserve">63,29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95,00</w:t>
            </w:r>
            <w:r/>
          </w:p>
        </w:tc>
      </w:tr>
      <w:tr>
        <w:trPr>
          <w:trHeight w:val="1072"/>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16(к4)</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П</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51,84</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28,75</w:t>
            </w:r>
            <w:r/>
          </w:p>
        </w:tc>
        <w:tc>
          <w:tcPr>
            <w:tcBorders>
              <w:left w:val="single" w:color="000000" w:sz="4" w:space="0"/>
              <w:bottom w:val="single" w:color="000000" w:sz="4" w:space="0"/>
            </w:tcBorders>
            <w:tcW w:w="1073" w:type="dxa"/>
            <w:textDirection w:val="lrTb"/>
            <w:noWrap w:val="false"/>
          </w:tcPr>
          <w:p>
            <w:pPr>
              <w:pStyle w:val="940"/>
              <w:jc w:val="center"/>
            </w:pPr>
            <w:r>
              <w:t xml:space="preserve">67,09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90,00</w:t>
            </w:r>
            <w:r/>
          </w:p>
        </w:tc>
      </w:tr>
      <w:tr>
        <w:trPr>
          <w:trHeight w:val="2281"/>
        </w:trPr>
        <w:tc>
          <w:tcPr>
            <w:gridSpan w:val="8"/>
            <w:tcBorders>
              <w:top w:val="single" w:color="000000" w:sz="4" w:space="0"/>
              <w:left w:val="single" w:color="000000" w:sz="4" w:space="0"/>
              <w:bottom w:val="single" w:color="000000" w:sz="4" w:space="0"/>
              <w:right w:val="single" w:color="000000" w:sz="4" w:space="0"/>
            </w:tcBorders>
            <w:tcW w:w="9659" w:type="dxa"/>
            <w:textDirection w:val="lrTb"/>
            <w:noWrap w:val="false"/>
          </w:tcPr>
          <w:p>
            <w:pPr>
              <w:pStyle w:val="940"/>
              <w:jc w:val="center"/>
              <w:rPr>
                <w:lang w:eastAsia="en-US"/>
              </w:rPr>
            </w:pPr>
            <w:r>
              <w:rPr>
                <w:lang w:eastAsia="en-US"/>
              </w:rPr>
              <w:t xml:space="preserve">Задания 9 и 16 проверяют следующие умения:</w:t>
              <w:br/>
              <w:t xml:space="preserve">– воспринимать информацию, содержащуюся в тексте;</w:t>
              <w:br/>
              <w:t xml:space="preserve">– анализировать содержание текста;</w:t>
              <w:br/>
              <w:t xml:space="preserve">– обобщать наблюдения над художественным текстом;</w:t>
              <w:br/>
              <w:t xml:space="preserve">– нах</w:t>
            </w:r>
            <w:r>
              <w:rPr>
                <w:lang w:eastAsia="en-US"/>
              </w:rPr>
              <w:t xml:space="preserve">одить литературные аналогии; </w:t>
              <w:br/>
              <w:t xml:space="preserve">– убедительно сопоставлять выбранные произведения с предложенным текстом в заданном направлении анализа;</w:t>
              <w:br/>
              <w:t xml:space="preserve">– выявлять авторскую позицию и не искажать её при сопоставлении произведений;</w:t>
              <w:br/>
              <w:t xml:space="preserve">– логично и последовательно излагать мысли.</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17(к1)</w:t>
            </w:r>
            <w:r/>
          </w:p>
        </w:tc>
        <w:tc>
          <w:tcPr>
            <w:tcBorders>
              <w:top w:val="single" w:color="000000" w:sz="4" w:space="0"/>
              <w:left w:val="single" w:color="000000" w:sz="4" w:space="0"/>
              <w:bottom w:val="single" w:color="000000" w:sz="4" w:space="0"/>
            </w:tcBorders>
            <w:tcW w:w="1777" w:type="dxa"/>
            <w:vMerge w:val="restart"/>
            <w:textDirection w:val="lrTb"/>
            <w:noWrap w:val="false"/>
          </w:tcPr>
          <w:p>
            <w:pPr>
              <w:pStyle w:val="940"/>
            </w:pPr>
            <w:r>
              <w:rPr>
                <w:lang w:eastAsia="en-US"/>
              </w:rPr>
              <w:t xml:space="preserve">1. </w:t>
            </w:r>
            <w:r>
              <w:t xml:space="preserve">Тема семьи в поэме М.Ю. Лермонтова «Песня про царя Ивана Васильевича, молодого опричника и удалого купца Калашникова».</w:t>
            </w:r>
            <w:r>
              <w:rPr>
                <w:lang w:eastAsia="en-US"/>
              </w:rPr>
              <w:br/>
              <w:t xml:space="preserve">2. </w:t>
            </w:r>
            <w:r>
              <w:t xml:space="preserve">Как и почему меняются взгляды на жизнь Пьера Безухова?</w:t>
            </w:r>
            <w:r>
              <w:rPr>
                <w:lang w:eastAsia="en-US"/>
              </w:rPr>
              <w:br/>
              <w:t xml:space="preserve">3. </w:t>
            </w:r>
            <w:r>
              <w:t xml:space="preserve">«Поэт и Родина в творчестве С.А.Есенина» (на примере 3-х стихотворений). </w:t>
            </w:r>
            <w:r>
              <w:rPr>
                <w:lang w:eastAsia="en-US"/>
              </w:rPr>
              <w:t xml:space="preserve">4. </w:t>
            </w:r>
            <w:r>
              <w:t xml:space="preserve">Тема духовного богатства личности в отечественной литературе ХХ – начала ХХ</w:t>
            </w:r>
            <w:r>
              <w:rPr>
                <w:lang w:val="en-US"/>
              </w:rPr>
              <w:t xml:space="preserve">I</w:t>
            </w:r>
            <w:r>
              <w:t xml:space="preserve"> века /одно произведение по выбору/.</w:t>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В</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53,86</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27,08</w:t>
            </w:r>
            <w:r/>
          </w:p>
        </w:tc>
        <w:tc>
          <w:tcPr>
            <w:tcBorders>
              <w:left w:val="single" w:color="000000" w:sz="4" w:space="0"/>
              <w:bottom w:val="single" w:color="000000" w:sz="4" w:space="0"/>
            </w:tcBorders>
            <w:tcW w:w="1073" w:type="dxa"/>
            <w:textDirection w:val="lrTb"/>
            <w:noWrap w:val="false"/>
          </w:tcPr>
          <w:p>
            <w:pPr>
              <w:pStyle w:val="940"/>
              <w:jc w:val="center"/>
            </w:pPr>
            <w:r>
              <w:t xml:space="preserve">70,89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98,67</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17(к2)</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В</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51,75</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25,42</w:t>
            </w:r>
            <w:r/>
          </w:p>
        </w:tc>
        <w:tc>
          <w:tcPr>
            <w:tcBorders>
              <w:left w:val="single" w:color="000000" w:sz="4" w:space="0"/>
              <w:bottom w:val="single" w:color="000000" w:sz="4" w:space="0"/>
            </w:tcBorders>
            <w:tcW w:w="1073" w:type="dxa"/>
            <w:textDirection w:val="lrTb"/>
            <w:noWrap w:val="false"/>
          </w:tcPr>
          <w:p>
            <w:pPr>
              <w:pStyle w:val="940"/>
              <w:jc w:val="center"/>
            </w:pPr>
            <w:r>
              <w:t xml:space="preserve">68,35</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96,00</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17(к3)</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В</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49,47</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28,75</w:t>
            </w:r>
            <w:r/>
          </w:p>
        </w:tc>
        <w:tc>
          <w:tcPr>
            <w:tcBorders>
              <w:left w:val="single" w:color="000000" w:sz="4" w:space="0"/>
              <w:bottom w:val="single" w:color="000000" w:sz="4" w:space="0"/>
            </w:tcBorders>
            <w:tcW w:w="1073" w:type="dxa"/>
            <w:textDirection w:val="lrTb"/>
            <w:noWrap w:val="false"/>
          </w:tcPr>
          <w:p>
            <w:pPr>
              <w:pStyle w:val="940"/>
              <w:jc w:val="center"/>
            </w:pPr>
            <w:r>
              <w:t xml:space="preserve">61,39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90,00</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17(к4)</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В</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59,82</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34,58</w:t>
            </w:r>
            <w:r/>
          </w:p>
        </w:tc>
        <w:tc>
          <w:tcPr>
            <w:tcBorders>
              <w:left w:val="single" w:color="000000" w:sz="4" w:space="0"/>
              <w:bottom w:val="single" w:color="000000" w:sz="4" w:space="0"/>
            </w:tcBorders>
            <w:tcW w:w="1073" w:type="dxa"/>
            <w:textDirection w:val="lrTb"/>
            <w:noWrap w:val="false"/>
          </w:tcPr>
          <w:p>
            <w:pPr>
              <w:pStyle w:val="940"/>
              <w:jc w:val="center"/>
            </w:pPr>
            <w:r>
              <w:t xml:space="preserve">78,06</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97,33</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t xml:space="preserve">17(к5)</w:t>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t xml:space="preserve">В</w:t>
            </w:r>
            <w:r/>
          </w:p>
        </w:tc>
        <w:tc>
          <w:tcPr>
            <w:tcBorders>
              <w:left w:val="single" w:color="000000" w:sz="4" w:space="0"/>
              <w:bottom w:val="single" w:color="000000" w:sz="4" w:space="0"/>
            </w:tcBorders>
            <w:tcW w:w="940" w:type="dxa"/>
            <w:textDirection w:val="lrTb"/>
            <w:noWrap w:val="false"/>
          </w:tcPr>
          <w:p>
            <w:pPr>
              <w:pStyle w:val="940"/>
              <w:jc w:val="center"/>
              <w:rPr>
                <w:rFonts w:eastAsia="Times New Roman"/>
              </w:rPr>
            </w:pPr>
            <w:r>
              <w:rPr>
                <w:rFonts w:eastAsia="Times New Roman"/>
              </w:rPr>
              <w:t xml:space="preserve">48,25</w:t>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t xml:space="preserve">0,00</w:t>
            </w:r>
            <w:r/>
          </w:p>
        </w:tc>
        <w:tc>
          <w:tcPr>
            <w:tcBorders>
              <w:left w:val="single" w:color="000000" w:sz="4" w:space="0"/>
              <w:bottom w:val="single" w:color="000000" w:sz="4" w:space="0"/>
            </w:tcBorders>
            <w:tcW w:w="1205" w:type="dxa"/>
            <w:textDirection w:val="lrTb"/>
            <w:noWrap w:val="false"/>
          </w:tcPr>
          <w:p>
            <w:pPr>
              <w:pStyle w:val="940"/>
              <w:jc w:val="center"/>
            </w:pPr>
            <w:r>
              <w:t xml:space="preserve">25,83</w:t>
            </w:r>
            <w:r/>
          </w:p>
        </w:tc>
        <w:tc>
          <w:tcPr>
            <w:tcBorders>
              <w:left w:val="single" w:color="000000" w:sz="4" w:space="0"/>
              <w:bottom w:val="single" w:color="000000" w:sz="4" w:space="0"/>
            </w:tcBorders>
            <w:tcW w:w="1073" w:type="dxa"/>
            <w:textDirection w:val="lrTb"/>
            <w:noWrap w:val="false"/>
          </w:tcPr>
          <w:p>
            <w:pPr>
              <w:pStyle w:val="940"/>
              <w:jc w:val="center"/>
            </w:pPr>
            <w:r>
              <w:t xml:space="preserve">63,29</w:t>
            </w:r>
            <w:r/>
          </w:p>
        </w:tc>
        <w:tc>
          <w:tcPr>
            <w:tcBorders>
              <w:left w:val="single" w:color="000000" w:sz="4" w:space="0"/>
              <w:bottom w:val="single" w:color="000000" w:sz="4" w:space="0"/>
              <w:right w:val="single" w:color="000000" w:sz="4" w:space="0"/>
            </w:tcBorders>
            <w:tcW w:w="1489" w:type="dxa"/>
            <w:textDirection w:val="lrTb"/>
            <w:noWrap w:val="false"/>
          </w:tcPr>
          <w:p>
            <w:pPr>
              <w:pStyle w:val="940"/>
              <w:jc w:val="center"/>
            </w:pPr>
            <w:r>
              <w:t xml:space="preserve">84,00</w:t>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0"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205"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073"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1489" w:type="dxa"/>
            <w:textDirection w:val="lrTb"/>
            <w:noWrap w:val="false"/>
          </w:tcPr>
          <w:p>
            <w:pPr>
              <w:pStyle w:val="940"/>
              <w:jc w:val="center"/>
              <w:rPr>
                <w:lang w:eastAsia="en-US"/>
              </w:rPr>
            </w:pPr>
            <w:r>
              <w:rPr>
                <w:lang w:eastAsia="en-US"/>
              </w:rPr>
            </w:r>
            <w:r/>
          </w:p>
        </w:tc>
      </w:tr>
      <w:tr>
        <w:trPr>
          <w:trHeight w:val="906"/>
        </w:trPr>
        <w:tc>
          <w:tcPr>
            <w:tcBorders>
              <w:top w:val="single" w:color="000000" w:sz="4" w:space="0"/>
              <w:left w:val="single" w:color="000000" w:sz="4" w:space="0"/>
              <w:bottom w:val="single" w:color="000000" w:sz="4" w:space="0"/>
            </w:tcBorders>
            <w:tcW w:w="898"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777" w:type="dxa"/>
            <w:vMerge w:val="continue"/>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1"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940" w:type="dxa"/>
            <w:textDirection w:val="lrTb"/>
            <w:noWrap w:val="false"/>
          </w:tcPr>
          <w:p>
            <w:pPr>
              <w:pStyle w:val="940"/>
              <w:rPr>
                <w:lang w:eastAsia="en-US"/>
              </w:rPr>
            </w:pPr>
            <w:r>
              <w:rPr>
                <w:lang w:eastAsia="en-US"/>
              </w:rPr>
            </w:r>
            <w:r/>
          </w:p>
        </w:tc>
        <w:tc>
          <w:tcPr>
            <w:tcBorders>
              <w:top w:val="single" w:color="000000" w:sz="4" w:space="0"/>
              <w:left w:val="single" w:color="000000" w:sz="4" w:space="0"/>
              <w:bottom w:val="single" w:color="000000" w:sz="4" w:space="0"/>
            </w:tcBorders>
            <w:tcW w:w="1336"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205"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tcBorders>
            <w:tcW w:w="1073" w:type="dxa"/>
            <w:textDirection w:val="lrTb"/>
            <w:noWrap w:val="false"/>
          </w:tcPr>
          <w:p>
            <w:pPr>
              <w:pStyle w:val="940"/>
              <w:jc w:val="center"/>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1489" w:type="dxa"/>
            <w:textDirection w:val="lrTb"/>
            <w:noWrap w:val="false"/>
          </w:tcPr>
          <w:p>
            <w:pPr>
              <w:pStyle w:val="940"/>
              <w:jc w:val="center"/>
              <w:rPr>
                <w:lang w:eastAsia="en-US"/>
              </w:rPr>
            </w:pPr>
            <w:r>
              <w:rPr>
                <w:lang w:eastAsia="en-US"/>
              </w:rPr>
            </w:r>
            <w:r/>
          </w:p>
        </w:tc>
      </w:tr>
    </w:tbl>
    <w:p>
      <w:pPr>
        <w:pStyle w:val="940"/>
        <w:jc w:val="both"/>
        <w:rPr>
          <w:i/>
          <w:iCs/>
        </w:rPr>
      </w:pPr>
      <w:r>
        <w:rPr>
          <w:i/>
          <w:iCs/>
        </w:rPr>
      </w:r>
      <w:r/>
    </w:p>
    <w:p>
      <w:pPr>
        <w:pStyle w:val="940"/>
        <w:numPr>
          <w:ilvl w:val="2"/>
          <w:numId w:val="73"/>
        </w:numPr>
        <w:keepLines/>
        <w:keepNext/>
        <w:spacing w:before="200" w:after="0"/>
        <w:rPr>
          <w:rFonts w:eastAsia="SimSun;宋体"/>
          <w:sz w:val="28"/>
          <w:lang w:val="en-US"/>
        </w:rPr>
      </w:pPr>
      <w:r>
        <w:rPr>
          <w:rFonts w:eastAsia="SimSun;宋体"/>
          <w:sz w:val="28"/>
          <w:lang w:val="en-US"/>
        </w:rPr>
        <w:t xml:space="preserve">Содержательный анализ выполнения заданий КИМ</w:t>
      </w:r>
      <w:r/>
    </w:p>
    <w:p>
      <w:pPr>
        <w:pStyle w:val="940"/>
        <w:jc w:val="both"/>
        <w:rPr>
          <w:rFonts w:eastAsia="SimSun;宋体"/>
          <w:i/>
          <w:iCs/>
          <w:sz w:val="28"/>
        </w:rPr>
      </w:pPr>
      <w:r>
        <w:rPr>
          <w:rFonts w:eastAsia="SimSun;宋体"/>
          <w:i/>
          <w:iCs/>
          <w:sz w:val="28"/>
        </w:rPr>
      </w:r>
      <w:r/>
    </w:p>
    <w:p>
      <w:pPr>
        <w:pStyle w:val="940"/>
        <w:ind w:firstLine="708"/>
        <w:jc w:val="both"/>
        <w:rPr>
          <w:bCs/>
        </w:rPr>
      </w:pPr>
      <w:r>
        <w:rPr>
          <w:bCs/>
        </w:rPr>
        <w:t xml:space="preserve">Задания с развернутым ответом требуют </w:t>
      </w:r>
      <w:r>
        <w:rPr>
          <w:bCs/>
        </w:rPr>
        <w:t xml:space="preserve">от выпускников создания монологических высказываний разных типов на основе художественного произведения. Они опираются на традиции написания школьного сочинения на литературную тему и относятся к повышенному (8, 9, 15, 16) и высокому (17) уровню сложности.</w:t>
      </w:r>
      <w:r/>
    </w:p>
    <w:p>
      <w:pPr>
        <w:pStyle w:val="940"/>
        <w:ind w:firstLine="708"/>
        <w:jc w:val="both"/>
      </w:pPr>
      <w:r>
        <w:rPr>
          <w:bCs/>
        </w:rPr>
        <w:t xml:space="preserve">Для Астраханской области нельзя считать достаточным усвоение таких умений и видов деятельности, как </w:t>
      </w:r>
      <w:r>
        <w:rPr>
          <w:rFonts w:eastAsia="TimesNewRomanPSMT;Times New Roman"/>
        </w:rPr>
        <w:t xml:space="preserve">умение определять размер стихотворения и находить в нем художественные средства и тропы. Необходимо прочитать как можно больше произведений художественной литературы при подготовке к экзамену. И чтение это должно быть вдумчивым. </w:t>
      </w:r>
      <w:r/>
    </w:p>
    <w:p>
      <w:pPr>
        <w:pStyle w:val="940"/>
        <w:ind w:firstLine="567"/>
        <w:jc w:val="both"/>
      </w:pPr>
      <w:r>
        <w:t xml:space="preserve">Подготов</w:t>
      </w:r>
      <w:r>
        <w:t xml:space="preserve">ка учащихся к ЕГЭ по литературе не должна сводиться к натаскиванию на решение различного рода тестов. Работа по подготовке к экзамену должна проходить в процессе обучения школьников на уроках и факультативных занятиях при изучении и усвоении новых знаний. </w:t>
      </w:r>
      <w:r/>
    </w:p>
    <w:p>
      <w:pPr>
        <w:pStyle w:val="940"/>
        <w:numPr>
          <w:ilvl w:val="2"/>
          <w:numId w:val="73"/>
        </w:numPr>
        <w:ind w:left="567" w:firstLine="0"/>
        <w:keepLines/>
        <w:keepNext/>
        <w:spacing w:before="200" w:after="0"/>
        <w:tabs>
          <w:tab w:val="left" w:pos="426" w:leader="none"/>
          <w:tab w:val="clear" w:pos="708" w:leader="none"/>
        </w:tabs>
      </w:pPr>
      <w:r>
        <w:rPr>
          <w:rFonts w:eastAsia="SimSun;宋体"/>
          <w:bCs/>
          <w:iCs/>
          <w:sz w:val="28"/>
          <w:lang w:val="en-US"/>
        </w:rPr>
        <w:t xml:space="preserve">Выводы</w:t>
      </w:r>
      <w:r>
        <w:rPr>
          <w:rFonts w:eastAsia="SimSun;宋体"/>
          <w:sz w:val="28"/>
          <w:lang w:val="en-US"/>
        </w:rPr>
        <w:t xml:space="preserve"> об итогах анализа выполнения заданий, групп заданий: </w:t>
      </w:r>
      <w:r/>
    </w:p>
    <w:p>
      <w:pPr>
        <w:pStyle w:val="940"/>
        <w:rPr>
          <w:rFonts w:eastAsia="SimSun;宋体"/>
          <w:sz w:val="28"/>
          <w:lang w:val="en-US"/>
        </w:rPr>
      </w:pPr>
      <w:r>
        <w:rPr>
          <w:rFonts w:eastAsia="SimSun;宋体"/>
          <w:sz w:val="28"/>
          <w:lang w:val="en-US"/>
        </w:rPr>
      </w:r>
      <w:r/>
    </w:p>
    <w:p>
      <w:pPr>
        <w:pStyle w:val="940"/>
        <w:ind w:firstLine="708"/>
        <w:jc w:val="both"/>
      </w:pPr>
      <w:r>
        <w:t xml:space="preserve">Подводя итоги, хотелось бы отметить, что задания базового уровня, где пров</w:t>
      </w:r>
      <w:r>
        <w:t xml:space="preserve">еряется знание экзаменуемыми содержательной стороны курса (истории и теории литературы), а также сформированность комплекса умений по предмету, связанного с восприятием и анализом художественного произведения в его жанрово-родовой специфике: 1-3 (определен</w:t>
      </w:r>
      <w:r>
        <w:t xml:space="preserve">ие литературного направления, литературного рода, жанра произведения), 5-7 (анализ текста, выявляющий авторский замысел и различные средства его воплощения; определение мотивов поступков героев и сущности конфликта) -  выполнены на 90 – 97%,  на 95 – 100%.</w:t>
      </w:r>
      <w:r/>
    </w:p>
    <w:p>
      <w:pPr>
        <w:pStyle w:val="940"/>
        <w:ind w:firstLine="708"/>
        <w:jc w:val="both"/>
      </w:pPr>
      <w:r>
        <w:t xml:space="preserve">Определение принадлежности литературного (фольклорного) текста к тому или иному роду и жанру выпускниками усвоено. </w:t>
      </w:r>
      <w:r/>
    </w:p>
    <w:p>
      <w:pPr>
        <w:pStyle w:val="940"/>
        <w:ind w:firstLine="708"/>
        <w:jc w:val="both"/>
      </w:pPr>
      <w:r>
        <w:t xml:space="preserve">Безошибочно выполнили (на 100%) 10 и 11 задания (выявление языковых средств художественной образности и определение их роли в раскрытии идейно-тематического содержания произведения). Навыки базового уровня сформированы, их </w:t>
      </w:r>
      <w:r>
        <w:rPr>
          <w:rFonts w:eastAsia="Times New Roman"/>
          <w:bCs/>
          <w:iCs/>
        </w:rPr>
        <w:t xml:space="preserve">усвоение всеми школьниками региона в целом можно считать достаточным.</w:t>
      </w:r>
      <w:r/>
    </w:p>
    <w:p>
      <w:pPr>
        <w:pStyle w:val="940"/>
        <w:ind w:firstLine="708"/>
        <w:jc w:val="both"/>
      </w:pPr>
      <w:r>
        <w:rPr>
          <w:rFonts w:eastAsia="Times New Roman"/>
          <w:bCs/>
          <w:iCs/>
        </w:rPr>
        <w:t xml:space="preserve">Но при сдаче ЕГЭ обнаружены также элементы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 Так при выполнении задания 16, 17 (</w:t>
      </w:r>
      <w:r>
        <w:t xml:space="preserve">письменные интерпретации художественного произведения) наблюдается</w:t>
      </w:r>
      <w:r>
        <w:rPr>
          <w:rFonts w:eastAsia="Times New Roman"/>
          <w:bCs/>
          <w:iCs/>
        </w:rPr>
        <w:t xml:space="preserve"> ниже 60%, а по некоторым критериям (16К2, 16К3) ниже 50%.</w:t>
      </w:r>
      <w:r/>
    </w:p>
    <w:p>
      <w:pPr>
        <w:pStyle w:val="940"/>
        <w:ind w:firstLine="708"/>
        <w:jc w:val="both"/>
        <w:rPr>
          <w:rFonts w:eastAsia="Times New Roman"/>
          <w:bCs/>
          <w:iCs/>
        </w:rPr>
      </w:pPr>
      <w:r>
        <w:rPr>
          <w:rFonts w:eastAsia="Times New Roman"/>
          <w:bCs/>
          <w:iCs/>
        </w:rPr>
        <w:t xml:space="preserve">Можно сделать вывод о том, что сопоставление поэтических текстов и выявление в них черт сходства и различия пр</w:t>
      </w:r>
      <w:r>
        <w:rPr>
          <w:rFonts w:eastAsia="Times New Roman"/>
          <w:bCs/>
          <w:iCs/>
        </w:rPr>
        <w:t xml:space="preserve">едставляет значительную трудность для выпускников региона и требует более тщательной проработки при подготовке к экзамену. Анализ результатов экзамена 2021 года свидетельствует о том, что даже при успешном выполнении задания №16 многие экзаменуемые испытыв</w:t>
      </w:r>
      <w:r>
        <w:rPr>
          <w:rFonts w:eastAsia="Times New Roman"/>
          <w:bCs/>
          <w:iCs/>
        </w:rPr>
        <w:t xml:space="preserve">али трудности при подборе и анализе второго аргумента, что привело к значительному снижению баллов. Целесообразно организовать систематическую работу над расширением читательского кругозора учащихся, уделяя внимание развитию их аналитических способностей. </w:t>
      </w:r>
      <w:r/>
    </w:p>
    <w:p>
      <w:pPr>
        <w:pStyle w:val="940"/>
        <w:ind w:firstLine="708"/>
        <w:jc w:val="both"/>
        <w:rPr>
          <w:rFonts w:eastAsia="Times New Roman"/>
          <w:bCs/>
          <w:iCs/>
        </w:rPr>
      </w:pPr>
      <w:r>
        <w:rPr>
          <w:rFonts w:eastAsia="Times New Roman"/>
          <w:bCs/>
          <w:iCs/>
        </w:rPr>
        <w:t xml:space="preserve">Существенного вклада содержательные изменения (задание 7) КИМ, использовавшихся в регионе в 2021 году, относительно КИМ прошлых лет, не принесли, хотя 7 задание в 2021 году было выполнено на 95 %.</w:t>
      </w:r>
      <w:r/>
    </w:p>
    <w:p>
      <w:pPr>
        <w:pStyle w:val="940"/>
        <w:ind w:firstLine="708"/>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940"/>
        <w:ind w:firstLine="708"/>
        <w:jc w:val="both"/>
      </w:pPr>
      <w:r>
        <w:t xml:space="preserve">- воспринимать и анализировать художественный текст (лирический, эпический); </w:t>
      </w:r>
      <w:r/>
    </w:p>
    <w:p>
      <w:pPr>
        <w:pStyle w:val="940"/>
        <w:ind w:firstLine="708"/>
        <w:jc w:val="both"/>
      </w:pPr>
      <w:r>
        <w:t xml:space="preserve">- выделять смысловые части художественного текста; </w:t>
      </w:r>
      <w:r/>
    </w:p>
    <w:p>
      <w:pPr>
        <w:pStyle w:val="940"/>
        <w:ind w:firstLine="708"/>
        <w:jc w:val="both"/>
      </w:pPr>
      <w:r>
        <w:t xml:space="preserve">- определять род и жанр литературного произведения; </w:t>
      </w:r>
      <w:r/>
    </w:p>
    <w:p>
      <w:pPr>
        <w:pStyle w:val="940"/>
        <w:ind w:firstLine="708"/>
        <w:jc w:val="both"/>
      </w:pPr>
      <w:r>
        <w:t xml:space="preserve">- выделять и формулировать тему, идею изученного произведения; давать характеристику героям; </w:t>
      </w:r>
      <w:r/>
    </w:p>
    <w:p>
      <w:pPr>
        <w:pStyle w:val="940"/>
        <w:ind w:firstLine="708"/>
        <w:jc w:val="both"/>
      </w:pPr>
      <w:r>
        <w:t xml:space="preserve">- характеризовать особенности сюжета, композиции, роль изобразительно-выразительных средств; </w:t>
      </w:r>
      <w:r/>
    </w:p>
    <w:p>
      <w:pPr>
        <w:pStyle w:val="940"/>
        <w:ind w:firstLine="708"/>
        <w:jc w:val="both"/>
      </w:pPr>
      <w:r>
        <w:t xml:space="preserve">- строить письменные высказывания в связи с изученным произведением. </w:t>
      </w:r>
      <w:r/>
    </w:p>
    <w:p>
      <w:pPr>
        <w:pStyle w:val="940"/>
        <w:ind w:firstLine="708"/>
        <w:jc w:val="both"/>
        <w:rPr>
          <w:rFonts w:eastAsia="Times New Roman"/>
          <w:bCs/>
          <w:i/>
          <w:iCs/>
        </w:rPr>
      </w:pPr>
      <w:r>
        <w:rPr>
          <w:rFonts w:eastAsia="Times New Roman"/>
          <w:bCs/>
          <w:i/>
          <w:iCs/>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940"/>
        <w:ind w:firstLine="708"/>
        <w:jc w:val="both"/>
      </w:pPr>
      <w:r>
        <w:t xml:space="preserve">- умения анализировать, определять авторскую позицию; </w:t>
      </w:r>
      <w:r/>
    </w:p>
    <w:p>
      <w:pPr>
        <w:pStyle w:val="940"/>
        <w:ind w:firstLine="708"/>
        <w:jc w:val="both"/>
      </w:pPr>
      <w:r>
        <w:t xml:space="preserve">- выявлять проблематику, аргументировать свои тезисы; </w:t>
      </w:r>
      <w:r/>
    </w:p>
    <w:p>
      <w:pPr>
        <w:pStyle w:val="940"/>
        <w:ind w:firstLine="708"/>
        <w:jc w:val="both"/>
      </w:pPr>
      <w:r>
        <w:t xml:space="preserve">- сравнивать тексты, строить сравнительную характеристику героев литературных произведений (лирических, эпических), определять линии сопоставления; </w:t>
      </w:r>
      <w:r/>
    </w:p>
    <w:p>
      <w:pPr>
        <w:pStyle w:val="940"/>
        <w:ind w:firstLine="708"/>
        <w:jc w:val="both"/>
      </w:pPr>
      <w:r>
        <w:t xml:space="preserve">- создавать оценочное высказывание; </w:t>
      </w:r>
      <w:r/>
    </w:p>
    <w:p>
      <w:pPr>
        <w:pStyle w:val="940"/>
        <w:ind w:firstLine="708"/>
        <w:jc w:val="both"/>
      </w:pPr>
      <w:r>
        <w:t xml:space="preserve">- писать творческие работы (развёрнутый ответ, сочинение).</w:t>
      </w:r>
      <w:r/>
    </w:p>
    <w:p>
      <w:pPr>
        <w:pStyle w:val="940"/>
        <w:ind w:firstLine="708"/>
        <w:jc w:val="both"/>
        <w:rPr>
          <w:rFonts w:eastAsia="Times New Roman"/>
          <w:bCs/>
          <w:i/>
          <w:iCs/>
        </w:rPr>
      </w:pPr>
      <w:r>
        <w:rPr>
          <w:rFonts w:eastAsia="Times New Roman"/>
          <w:bCs/>
          <w:i/>
          <w:iCs/>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940"/>
        <w:ind w:firstLine="708"/>
        <w:jc w:val="both"/>
        <w:rPr>
          <w:rFonts w:eastAsia="Times New Roman"/>
          <w:bCs/>
          <w:iCs/>
        </w:rPr>
      </w:pPr>
      <w:r>
        <w:rPr>
          <w:rFonts w:eastAsia="Times New Roman"/>
          <w:bCs/>
          <w:iCs/>
        </w:rPr>
        <w:t xml:space="preserve">Можно сделать следующие выводы об изменении успешности выполнения заданий разных лет по одной теме / проверяемому умению, виду деятельности:</w:t>
      </w:r>
      <w:r/>
    </w:p>
    <w:p>
      <w:pPr>
        <w:pStyle w:val="940"/>
        <w:ind w:firstLine="708"/>
        <w:jc w:val="both"/>
      </w:pPr>
      <w:r>
        <w:t xml:space="preserve">В динамике результатов ЕГЭ по литературе за последние 3 года наблюдается незначительное уменьшение среднего тестового балла, а также количества высокобалльных работ. </w:t>
      </w:r>
      <w:r/>
    </w:p>
    <w:p>
      <w:pPr>
        <w:pStyle w:val="940"/>
        <w:ind w:firstLine="708"/>
        <w:jc w:val="both"/>
      </w:pPr>
      <w:r>
        <w:rPr>
          <w:rFonts w:eastAsia="Times New Roman"/>
          <w:bCs/>
          <w:iCs/>
        </w:rPr>
        <w:t xml:space="preserve">Снижение результата, </w:t>
      </w:r>
      <w:r>
        <w:t xml:space="preserve">предположительно</w:t>
      </w:r>
      <w:r>
        <w:rPr>
          <w:rFonts w:eastAsia="Times New Roman"/>
          <w:bCs/>
          <w:iCs/>
        </w:rPr>
        <w:t xml:space="preserve">, объясняется сложностью дистанционного обучения во время пандемии.</w:t>
      </w:r>
      <w:r/>
    </w:p>
    <w:p>
      <w:pPr>
        <w:pStyle w:val="940"/>
        <w:ind w:firstLine="708"/>
        <w:jc w:val="both"/>
        <w:rPr>
          <w:rFonts w:eastAsia="Times New Roman"/>
          <w:bCs/>
          <w:i/>
          <w:iCs/>
        </w:rPr>
      </w:pPr>
      <w:r>
        <w:rPr>
          <w:rFonts w:eastAsia="Times New Roman"/>
          <w:bCs/>
          <w:i/>
          <w:iCs/>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pPr>
      <w:r>
        <w:rPr>
          <w:color w:val="000000"/>
          <w:spacing w:val="2"/>
        </w:rPr>
        <w:t xml:space="preserve">Анализ результатов ЕГЭ позволяет судить о том, что с</w:t>
      </w:r>
      <w:r>
        <w:rPr>
          <w:rFonts w:eastAsia="Times New Roman"/>
          <w:bCs/>
          <w:iCs/>
        </w:rPr>
        <w:t xml:space="preserve">ущественного вклада содержательные изменения (задание 7) КИМ, использовавшихся в регионе в 2021 году, относительно КИМ прошлых лет, не внесли, хотя 7 задание в 2021 году было выполнено на 95 %.</w:t>
      </w:r>
      <w:r>
        <w:rPr>
          <w:color w:val="000000"/>
          <w:spacing w:val="2"/>
        </w:rPr>
        <w:t xml:space="preserve"> (В ЕГЭ по литературе обновлено седьмое задание с кратким ответом: в текст с пропуском двух слов требуется вписать два литературоведческих термина или литературных факта).</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940"/>
        <w:ind w:firstLine="708"/>
        <w:jc w:val="both"/>
        <w:rPr>
          <w:rFonts w:eastAsia="Times New Roman"/>
          <w:bCs/>
          <w:iCs/>
        </w:rPr>
      </w:pPr>
      <w:r>
        <w:rPr>
          <w:rFonts w:eastAsia="Times New Roman"/>
          <w:bCs/>
          <w:iCs/>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 можно сделать следующие:</w:t>
      </w:r>
      <w:r/>
    </w:p>
    <w:p>
      <w:pPr>
        <w:pStyle w:val="940"/>
        <w:ind w:firstLine="708"/>
        <w:jc w:val="both"/>
        <w:rPr>
          <w:rFonts w:eastAsia="Times New Roman"/>
          <w:bCs/>
          <w:iCs/>
        </w:rPr>
      </w:pPr>
      <w:r>
        <w:rPr>
          <w:rFonts w:eastAsia="Times New Roman"/>
          <w:bCs/>
          <w:iCs/>
        </w:rPr>
        <w:t xml:space="preserve">Успешное обучение литературе и подготовка к ЕГЭ для нашего региона в условиях пандемии были возможны отчасти в офлайн, отчасти в онлайн режиме, поэтому полноценное выполнение рекомендации прошлого года представляет определенные затруднения. </w:t>
      </w:r>
      <w:r/>
    </w:p>
    <w:p>
      <w:pPr>
        <w:pStyle w:val="940"/>
        <w:ind w:firstLine="708"/>
        <w:jc w:val="both"/>
        <w:rPr>
          <w:rFonts w:eastAsia="Times New Roman"/>
          <w:bCs/>
          <w:iCs/>
        </w:rPr>
      </w:pPr>
      <w:r>
        <w:rPr>
          <w:rFonts w:eastAsia="Times New Roman"/>
          <w:bCs/>
          <w:iCs/>
        </w:rPr>
        <w:t xml:space="preserve">Однако работу по систематической подготовке к ЕГЭ по литературе необходимо продолжить в 2021 – 2022 уч. году. </w:t>
      </w:r>
      <w:r/>
    </w:p>
    <w:p>
      <w:pPr>
        <w:pStyle w:val="940"/>
        <w:ind w:firstLine="708"/>
        <w:jc w:val="both"/>
      </w:pPr>
      <w:r>
        <w:t xml:space="preserve">Как и в прошлом, 2020 году. самым сложным заданием по-прежнему остаются 16 (на сопоставление стихотворений) и 17 (сочинение, </w:t>
      </w:r>
      <w:r>
        <w:rPr>
          <w:szCs w:val="22"/>
        </w:rPr>
        <w:t xml:space="preserve">отличающееся смысловой цельностью и композиционной стройностью, чёткостью суждений, непротиворечивостью, последовательностью изложения мыслей и обоснованностью тезисов и выводов)</w:t>
      </w:r>
      <w:r>
        <w:rPr>
          <w:sz w:val="28"/>
        </w:rPr>
        <w:t xml:space="preserve">. </w:t>
      </w:r>
      <w:r/>
    </w:p>
    <w:p>
      <w:pPr>
        <w:pStyle w:val="940"/>
        <w:ind w:firstLine="708"/>
        <w:jc w:val="both"/>
        <w:rPr>
          <w:szCs w:val="22"/>
        </w:rPr>
      </w:pPr>
      <w:r>
        <w:rPr>
          <w:szCs w:val="22"/>
        </w:rPr>
        <w:t xml:space="preserve">Не все участники ЕГЭ по литературе в группе от минимального до 60 т.б. </w:t>
      </w:r>
      <w:r>
        <w:rPr>
          <w:szCs w:val="22"/>
        </w:rPr>
        <w:t xml:space="preserve">и в группе от 61 до 80 т.б. приступают к выполнению этих заданий. Типичными ошибками, приводящими к обнулению результатов, являются подмена анализа произведения публицистическими рассуждениями по проблеме, замена указанного произведения другим, несоответст</w:t>
      </w:r>
      <w:r>
        <w:rPr>
          <w:szCs w:val="22"/>
        </w:rPr>
        <w:t xml:space="preserve">вие теме сочинения, что говорит о нацеленности участников с низкой и средней подготовкой не на создание собственного рассуждения, а на воспроизведение заученного текста, а также нарушение хронологии в теме 17.4 (берут произведения Достоевского, Толстого). </w:t>
      </w:r>
      <w:r/>
    </w:p>
    <w:p>
      <w:pPr>
        <w:pStyle w:val="940"/>
        <w:ind w:firstLine="708"/>
        <w:jc w:val="both"/>
      </w:pPr>
      <w:r>
        <w:rPr>
          <w:szCs w:val="22"/>
        </w:rPr>
        <w:t xml:space="preserve">Процент выполнения задания 17 по критерию 1 (Соответствие сочинения теме и ее раскрытие) показывает, что сохраняется поверхностное раскрытие темы слабо подготовленными экзаменуемыми, а сильные участники теряют балл из-за односторонности раскрытия темы.</w:t>
      </w:r>
      <w:r/>
    </w:p>
    <w:p>
      <w:pPr>
        <w:pStyle w:val="940"/>
        <w:ind w:firstLine="708"/>
        <w:jc w:val="both"/>
      </w:pPr>
      <w:r>
        <w:rPr>
          <w:szCs w:val="22"/>
        </w:rPr>
        <w:t xml:space="preserve">В этом году стало значительно меньше работ по новейшей литературе «Тема духовного богатства личности в отечественной литературе ХХ – начала ХХ</w:t>
      </w:r>
      <w:r>
        <w:rPr>
          <w:szCs w:val="22"/>
          <w:lang w:val="en-US"/>
        </w:rPr>
        <w:t xml:space="preserve">I</w:t>
      </w:r>
      <w:r>
        <w:rPr>
          <w:szCs w:val="22"/>
        </w:rPr>
        <w:t xml:space="preserve"> века» /одно произведение по выбору/. (в основном сочинение 17.4 раскрывалось на тексте М. Шолохова «Судьба человека»), но среди тех, кто брал произведения современных авторов, есть и те, кто опирается на тексты, предлагаемые для подготовки к ЕГ</w:t>
      </w:r>
      <w:r>
        <w:rPr>
          <w:szCs w:val="22"/>
        </w:rPr>
        <w:t xml:space="preserve">Э по русскому языку. Типичной ошибкой для всех групп остается то, что при раскрытии темы участники исходят из собственных, современных аксиологических представлений, а не стремятся опереться на авторскую систему ценностей, раскрыть заложенные в художествен</w:t>
      </w:r>
      <w:r>
        <w:rPr>
          <w:szCs w:val="22"/>
        </w:rPr>
        <w:t xml:space="preserve">ном тексте авторские интенции. Особенно ярко такая установка проявилась в сочинениях на тему 17.2 (Как и почему меняются взгляды на жизнь Пьера Безухова?). Очевидно, на представление участников ЕГЭ о произведении Л.Н. Толстого сильно повлияли экранизации. </w:t>
      </w:r>
      <w:r/>
    </w:p>
    <w:p>
      <w:pPr>
        <w:pStyle w:val="940"/>
        <w:ind w:firstLine="708"/>
        <w:jc w:val="both"/>
        <w:rPr>
          <w:szCs w:val="22"/>
        </w:rPr>
      </w:pPr>
      <w:r>
        <w:rPr>
          <w:szCs w:val="22"/>
        </w:rPr>
        <w:t xml:space="preserve">В задании 17 экзаменуемым необходимо создать связный текст на предложенную тему с учетом норм русского литературного языка. Типичными нарушениям композиции текста в группе от минимального до 60 т.б. являются нарушения между частями текст</w:t>
      </w:r>
      <w:r>
        <w:rPr>
          <w:szCs w:val="22"/>
        </w:rPr>
        <w:t xml:space="preserve">а: отсутствие структурного элемента (преимущественно – заключения); отсутствие развития мысли, так как текст построен на пересказе; включение в жанр сочинения-размышления на литературную тему элементов эссе из ЕГЭ по русскому языку или итогового сочинения.</w:t>
      </w:r>
      <w:r/>
    </w:p>
    <w:p>
      <w:pPr>
        <w:pStyle w:val="940"/>
        <w:ind w:firstLine="708"/>
        <w:jc w:val="both"/>
        <w:rPr>
          <w:rFonts w:eastAsia="Times New Roman"/>
          <w:bCs/>
          <w:i/>
          <w:iCs/>
        </w:rPr>
      </w:pPr>
      <w:r>
        <w:rPr>
          <w:rFonts w:eastAsia="Times New Roman"/>
          <w:bCs/>
          <w:i/>
          <w:iCs/>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940"/>
        <w:ind w:firstLine="708"/>
        <w:jc w:val="both"/>
        <w:rPr>
          <w:rFonts w:eastAsia="Times New Roman"/>
          <w:bCs/>
          <w:iCs/>
        </w:rPr>
      </w:pPr>
      <w:r>
        <w:rPr>
          <w:rFonts w:eastAsia="Times New Roman"/>
          <w:bCs/>
          <w:iCs/>
        </w:rPr>
        <w:t xml:space="preserve">Небольшая отрицате</w:t>
      </w:r>
      <w:r>
        <w:rPr>
          <w:rFonts w:eastAsia="Times New Roman"/>
          <w:bCs/>
          <w:iCs/>
        </w:rPr>
        <w:t xml:space="preserve">льная динамика результатов ЕГЭ по литературе по сравнению с 2020 г. свидетельствует о недостаточном количестве обучающих семинаров для учителей-предметников по подготовке выпускников к ЕГЭ по литературе, что следует учесть в следующем 2021 – 2022 уч. году.</w:t>
      </w:r>
      <w:r/>
    </w:p>
    <w:p>
      <w:pPr>
        <w:pStyle w:val="940"/>
        <w:ind w:firstLine="708"/>
        <w:jc w:val="both"/>
        <w:keepLines/>
        <w:keepNext/>
      </w:pPr>
      <w:r>
        <w:t xml:space="preserve">В целях улучшения показателей ЕГЭ по литературе в Астраханской области считаем целесооб</w:t>
      </w:r>
      <w:r>
        <w:t xml:space="preserve">разным активнее использовать очные и дистанционные формы работы с учащимися и педагогами (тематические вебинары и семинары, консультирование по методике обучения литературе в формате заданий ЕГЭ), организованные ИРО и муниципальными методическими службами.</w:t>
      </w:r>
      <w:r/>
    </w:p>
    <w:p>
      <w:pPr>
        <w:pStyle w:val="940"/>
        <w:contextualSpacing/>
        <w:spacing w:before="0" w:after="0"/>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0"/>
        <w:contextualSpacing/>
        <w:spacing w:before="0" w:after="0"/>
        <w:tabs>
          <w:tab w:val="clear" w:pos="708" w:leader="none"/>
          <w:tab w:val="left" w:pos="2045" w:leader="none"/>
        </w:tabs>
        <w:rPr>
          <w:sz w:val="22"/>
          <w:szCs w:val="22"/>
        </w:rPr>
      </w:pPr>
      <w:r>
        <w:rPr>
          <w:sz w:val="22"/>
          <w:szCs w:val="22"/>
        </w:r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4. РЕКОМЕНДАЦИИДЛЯ СИСТЕМЫ ОБРАЗОВАНИЯ СУБЪЕКТА РОССИЙСКОЙ ФЕДЕРАЦИИ</w:t>
      </w:r>
      <w:r/>
    </w:p>
    <w:p>
      <w:pPr>
        <w:pStyle w:val="940"/>
        <w:jc w:val="both"/>
        <w:rPr>
          <w:smallCaps/>
          <w:sz w:val="28"/>
          <w:szCs w:val="28"/>
        </w:rPr>
      </w:pPr>
      <w:r>
        <w:rPr>
          <w:smallCaps/>
          <w:sz w:val="28"/>
          <w:szCs w:val="28"/>
        </w:rPr>
      </w:r>
      <w:r/>
    </w:p>
    <w:p>
      <w:pPr>
        <w:pStyle w:val="943"/>
        <w:numPr>
          <w:ilvl w:val="0"/>
          <w:numId w:val="0"/>
        </w:numPr>
        <w:ind w:left="0" w:firstLine="0"/>
        <w:jc w:val="both"/>
      </w:pPr>
      <w:r>
        <w:rPr>
          <w:rFonts w:ascii="Times New Roman" w:hAnsi="Times New Roman" w:cs="Times New Roman"/>
          <w:lang w:val="ru-RU"/>
        </w:rPr>
        <w:t xml:space="preserve">4.1. </w:t>
      </w:r>
      <w:r>
        <w:rPr>
          <w:rFonts w:ascii="Times New Roman" w:hAnsi="Times New Roman" w:cs="Times New Roman"/>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0"/>
        <w:jc w:val="both"/>
        <w:rPr>
          <w:b/>
          <w:bCs/>
          <w:sz w:val="28"/>
          <w:szCs w:val="28"/>
        </w:rPr>
      </w:pPr>
      <w:r>
        <w:rPr>
          <w:b/>
          <w:bCs/>
          <w:sz w:val="28"/>
          <w:szCs w:val="28"/>
        </w:rPr>
      </w:r>
      <w:r/>
    </w:p>
    <w:p>
      <w:pPr>
        <w:pStyle w:val="940"/>
        <w:ind w:firstLine="708"/>
        <w:jc w:val="both"/>
        <w:rPr>
          <w:b/>
          <w:bCs/>
          <w:sz w:val="28"/>
          <w:szCs w:val="28"/>
        </w:rPr>
      </w:pPr>
      <w:r>
        <w:rPr>
          <w:b/>
          <w:bCs/>
          <w:sz w:val="28"/>
          <w:szCs w:val="28"/>
        </w:rPr>
        <w:t xml:space="preserve">4.1.1.   по совершенствованию преподавания учебного предмета всем обучающимся </w:t>
      </w:r>
      <w:r/>
    </w:p>
    <w:p>
      <w:pPr>
        <w:pStyle w:val="940"/>
        <w:ind w:firstLine="708"/>
        <w:jc w:val="both"/>
      </w:pPr>
      <w:r>
        <w:rPr>
          <w:bCs/>
        </w:rPr>
        <w:t xml:space="preserve">Необходимо познакомиться с содержанием Кодификатора </w:t>
      </w:r>
      <w:r>
        <w:t xml:space="preserve">элементов содержания и требований к уровню подготовки выпускников образовательных организаций для проведения единого государственного экзамена по ЛИТЕРАТУРЕ, который является одним из документов, определяющих структуру и содержание КИМ ЕГЭ</w:t>
      </w:r>
      <w:r>
        <w:rPr>
          <w:rFonts w:eastAsia="Times New Roman"/>
          <w:color w:val="000000"/>
          <w:sz w:val="21"/>
          <w:szCs w:val="21"/>
        </w:rPr>
        <w:t xml:space="preserve"> </w:t>
      </w:r>
      <w:r>
        <w:rPr>
          <w:bCs/>
        </w:rPr>
        <w:t xml:space="preserve">и </w:t>
      </w:r>
      <w:r>
        <w:t xml:space="preserve">Спецификацией контрольных измерительных материалов для проведения единого государственного экзамена по ЛИТЕРАТУРЕ. </w:t>
      </w:r>
      <w:r/>
    </w:p>
    <w:p>
      <w:pPr>
        <w:pStyle w:val="940"/>
        <w:ind w:firstLine="708"/>
        <w:jc w:val="both"/>
      </w:pPr>
      <w:r>
        <w:t xml:space="preserve">Выполняя задания, требующие краткого ответа, следует обращать внимание на форму предъявления материала. Это может быть определение художественного средства или приёма с конкретным примером и</w:t>
      </w:r>
      <w:r>
        <w:t xml:space="preserve">з текста (необходимо указать соответствующий термин) или предъявление цитаты из текста с требованием указать название конкретного приёма («Как называется приём, использованный автором в данной строке стихотворения (цитата)?»). В задании может содержаться у</w:t>
      </w:r>
      <w:r>
        <w:t xml:space="preserve">становка на самостоятельное нахождение художественного средства в тексте или на множественный выбор художественных средств и приёмов из предложенного списка. Особого внимания потребует установление соответствия между элементами двух столбцов (см. задание 4</w:t>
      </w:r>
      <w:r>
        <w:t xml:space="preserve"> демонстрационного варианта КИМ ЕГЭ по литературе), а также самостоятельное выявление элементов текста, несущих определённую смысловую нагрузку («Найдите в тексте повторяющееся слово, характеризующее внутреннее состояние героя»). Следует учесть, что в разн</w:t>
      </w:r>
      <w:r>
        <w:t xml:space="preserve">ых экзаменационных вариантах одно и то же понятие (термин) или литературный факт могут быть представлены заданиями с различными формулировками. Именно поэтому ни в коем случае нельзя механически заучивать конкретную формулировку задания, рассчитывая по ней</w:t>
      </w:r>
      <w:r>
        <w:t xml:space="preserve"> распознать то или иное слово¬ – ответ. При достаточном разнообразии текстов заданий ЕГЭ целесообразно освоить саму суть того или иного понятия без привязки его к конкретной формулировке (в этом случае вероятность правильного ответа будет весьма высокой). </w:t>
      </w:r>
      <w:r/>
    </w:p>
    <w:p>
      <w:pPr>
        <w:pStyle w:val="940"/>
        <w:ind w:firstLine="708"/>
        <w:jc w:val="both"/>
      </w:pPr>
      <w:r>
        <w:t xml:space="preserve">Возвращаясь к заданиям 8 и 15, отнесённым к предложенным в экзаменационной работе текстам, отметим важнейшие условия </w:t>
      </w:r>
      <w:r>
        <w:t xml:space="preserve">их успешного выполнения. Главная рекомендация состоит в указании на необходимость дать прямой связный ответ на поставленный вопрос. В ответе не должно быть ничего лишнего, уводящего от сути заявленной темы (таким «лишним» нередко бывает упоминание фактов б</w:t>
      </w:r>
      <w:r>
        <w:t xml:space="preserve">иографии писателя или творческой истории его произведения, отвлечённых «комплиментарных» оценок творчества автора, отступления от основной темы высказывания с привлечением цитирования или пересказа текста, не имеющего прямого отношения к формату задания). </w:t>
      </w:r>
      <w:r/>
    </w:p>
    <w:p>
      <w:pPr>
        <w:pStyle w:val="940"/>
        <w:ind w:firstLine="708"/>
        <w:jc w:val="both"/>
      </w:pPr>
      <w:r>
        <w:t xml:space="preserve">Не менее важная установка – учёт авторской позиции при обращении к художественному тексту. Расставляя те или иные акценты в раскрытии проблематики произведения, нель</w:t>
      </w:r>
      <w:r>
        <w:t xml:space="preserve">зя упускать из виду авторское отношение к изображаемому. Наиболее очевидно оно проявляется в лирическом тексте, непосредственно передающем авторские мысли и чувства, «передоверенные» лирическому герою. В эпических и драматических произведениях авторское «я</w:t>
      </w:r>
      <w:r>
        <w:t xml:space="preserve">» растворено в сюжете, героях, деталях поэтому ответ на вопрос по тексту (фрагменту) требует не просто хорошего знания содержания произведения в целом, но и понимания творческой задачи автора, делающей это произведение оригинальным и художественно цельным.</w:t>
      </w:r>
      <w:r/>
    </w:p>
    <w:p>
      <w:pPr>
        <w:pStyle w:val="940"/>
        <w:jc w:val="both"/>
      </w:pPr>
      <w:r>
        <w:rPr>
          <w:rFonts w:eastAsia="Times New Roman"/>
        </w:rPr>
        <w:t xml:space="preserve"> </w:t>
      </w:r>
      <w:r>
        <w:rPr>
          <w:rFonts w:eastAsia="Times New Roman"/>
        </w:rPr>
        <w:tab/>
      </w:r>
      <w:r>
        <w:t xml:space="preserve">Задания на сопоставление (9, 16), как уже отмечалось, требуют хорошего знания литературного материала. При этом важно понимать, что успешность выполнения таких заданий зависит не только от знания текстов классической и современной литературы из списка,</w:t>
      </w:r>
      <w:r>
        <w:t xml:space="preserve"> но и от умения сопоставлять литературные факты, включая их в разнообразные связи. Основанием для литературного сопоставления могут быть: – тематическая близость произведений, принадлежащих писателям одной эпохи или разных литературных эпох (тема природы, </w:t>
      </w:r>
      <w:r>
        <w:t xml:space="preserve">тема любви, военная тема и т.п.); – общность мотивов (мотив одиночества, сострадания, фольклорные, героические мотивы и т.п.); – близость проблематики (проблема чести и долга, проблема нравственного выбора в сложной, экстремальной ситуации, философская про</w:t>
      </w:r>
      <w:r>
        <w:t xml:space="preserve">блематика и т.п.); – сходство сюжетных ситуаций (идейные столкновения представителей разных поколений, дуэль, её причины и последствия и т.п.); – образные переклички (образ родной земли, образ матери, образ времени, эпохи и т.п.); – сходство или контраст н</w:t>
      </w:r>
      <w:r>
        <w:t xml:space="preserve">а уровне системы персонажей (тип «лишнего человека», люди подвига, герои-праведники и т.п.); – общность способов изображения действительности (сатирическое изображение жизни, соотнесённость мгновения и вечности в лирическом произведении и т.п.). Простого п</w:t>
      </w:r>
      <w:r>
        <w:t xml:space="preserve">еречисления оснований для сравнения недостаточно для того, чтобы выполнить поставленную задачу на должном уровне. Выбрав материал для межтекстового сопоставления, необходимо выделить в нём то существенное, что необходимо для полноценного анализа, и следова</w:t>
      </w:r>
      <w:r>
        <w:t xml:space="preserve">ть содержащейся в задании установке. Переходя к работе над сочинением, завершающим экзаменационную работу, необходимо помнить о том, что оно является итогом всего экзамена. Именно сочинение выводит предметные умения и навыки на новый, более масштабный уров</w:t>
      </w:r>
      <w:r>
        <w:t xml:space="preserve">ень. В этой работе будут востребованы и детальное знание литературоведческой терминологии (задания с кратким ответом), и внимательное прочтение вопроса к тексту с последующим прямым ответом на него (задания с развёрнутым ответом ограниченного объёма), и сп</w:t>
      </w:r>
      <w:r>
        <w:t xml:space="preserve">особность создавать композиционно стройное и цельное высказывание с опорой на текст произведения, и речевая грамотность. Первое обязательное требование: выбранная тема раскрывается в объёме не менее 200 слов. Данное условие вовсе не предполагает стремления</w:t>
      </w:r>
      <w:r>
        <w:t xml:space="preserve"> к текстовому минимуму: в пределах минимального объёма вряд ли можно развернуть полноценный анализ произведения(-ий) с опорой на текст. Скорее всего, это будет беглый, «пунктирный» обзор материала по заданной теме без глубокой её проработки и индивидуальны</w:t>
      </w:r>
      <w:r>
        <w:t xml:space="preserve">х читательских наблюдений. Дать собственный взгляд на прочитанное и продемонстрировать свой читательский кругозор в пределах 200 слов (включая служебные части речи) вряд ли возможно. Поэтому стремиться ограничиться минимальным объёмом сочинения – значит за</w:t>
      </w:r>
      <w:r>
        <w:t xml:space="preserve">ведомо поставить себя в более слабую позицию по отношению к другим участникам экзамена, написавшим более развёрнутый текст. Второе важное требование, отчасти связанное с предыдущим, – полнота и многосторонность раскрытия темы. Данный критерий невозможно из</w:t>
      </w:r>
      <w:r>
        <w:t xml:space="preserve">мерить количеством слов или предложений – речь идёт не столько о количестве, сколько о качестве текста с точки зрения его соответствия заданной проблематике. К примеру, рассуждая о характере грибоедовского Чацкого, невозможно рассматривать его изолированно</w:t>
      </w:r>
      <w:r>
        <w:t xml:space="preserve">, вне его взаимодействия с другими персонажами пьесы (в противном случае анализ образа будет заведомо сужен, обеднён). Или другой пример: характеризуя определённую тему в поэтическом творчестве С.А. Есенина, вряд ли можно обойтись анализом только одного из</w:t>
      </w:r>
      <w:r>
        <w:t xml:space="preserve"> его стихотворений (сами формулировки подобных тем не ориентируют пишущего на какое-либо одно конкретное стихотворение автора). Решение проблемы – во внимательном прочтении формулировки темы. Читая её, необходимо выделить ключевое слово или словосочетание,</w:t>
      </w:r>
      <w:r>
        <w:t xml:space="preserve"> к которому будет «стягиваться» содержание работы (например, «особенности конфликта», «проблема долга и чести», «природа и человек», «композиционное своеобразие» и т.п.). Следующий объект внимания – литературный материал, на котором раскрывается ключевая п</w:t>
      </w:r>
      <w:r>
        <w:t xml:space="preserve">роблема (рассказ, повесть, поэма, роман или лирические произведения, связанные единой тематикой). Далее – анализ соответствующего произведения (соответствующих произведений) в русле заданной проблемы. Здесь важно избегать перекосов: уход в литературный мат</w:t>
      </w:r>
      <w:r>
        <w:t xml:space="preserve">ериал без учёта проблемы чреват обилием пересказа и лишними деталями (в том числе историко-биографическими), тогда как аналитические выкладки без опоры на художественный текст будут выглядеть бездоказательно и схематично. Если стратегия раскрытия темы сочи</w:t>
      </w:r>
      <w:r>
        <w:t xml:space="preserve">нения выбрана правильно, то на всех этапах его написания (от вводной части к обобщению) предстоит решить ряд «тактических» вопросов. И важнейший из них – понимание авторской позиции. В одних случаях позиция автора выражена достаточно открыто (рассуждения а</w:t>
      </w:r>
      <w:r>
        <w:t xml:space="preserve">втора-повествователя о Чичикове в главе 11 «Мёртвых душ»), в других – опосредованно (легенды о Ларре и Данко, рассказанные Изергиль в горьковской «Старухе Изергиль»), в третьих – завуалированно (жалость или смех вызывает чеховский Беликов?). «Уйти» от авто</w:t>
      </w:r>
      <w:r>
        <w:t xml:space="preserve">ра, переставить смысловые акценты – значит либо окарикатурить авторский текст, либо сделать его содержание совершенно иным, лишить его творческого своеобразия. Необходимо помнить, что авторское начало пронизывает весь текст, и относиться к нему нужно береж</w:t>
      </w:r>
      <w:r>
        <w:t xml:space="preserve">но. Помимо внимательного отношения к деталям текста, в своих рассуждениях очень важно не сбиться с намеченного пути анализа, не допустить композиционных перекосов и логических изъянов. Например, отсутствие обобщающей части в общей структуре сочинения счита</w:t>
      </w:r>
      <w:r>
        <w:t xml:space="preserve">ется серьёзным композиционным упущением, так же как и чрезмерно «раздутое» вступление, минимизирующее объём основной части работы. Всего за успешно написанное сочинение можно получить 14 баллов при условии полного соответствия требованиям, изложенным выше.</w:t>
      </w:r>
      <w:r/>
    </w:p>
    <w:p>
      <w:pPr>
        <w:pStyle w:val="940"/>
        <w:rPr>
          <w:b/>
          <w:sz w:val="28"/>
          <w:szCs w:val="28"/>
        </w:rPr>
      </w:pPr>
      <w:r>
        <w:rPr>
          <w:b/>
          <w:sz w:val="28"/>
          <w:szCs w:val="28"/>
        </w:rPr>
      </w:r>
      <w:r/>
    </w:p>
    <w:p>
      <w:pPr>
        <w:pStyle w:val="940"/>
        <w:jc w:val="both"/>
      </w:pPr>
      <w:r>
        <w:rPr>
          <w:b/>
          <w:sz w:val="28"/>
          <w:szCs w:val="28"/>
        </w:rPr>
        <w:t xml:space="preserve">4.1.2 по организации дифференцированного обучения школьников с разными уровнями предметной подготовки</w:t>
      </w:r>
      <w:r/>
    </w:p>
    <w:p>
      <w:pPr>
        <w:pStyle w:val="940"/>
        <w:jc w:val="both"/>
        <w:rPr>
          <w:szCs w:val="28"/>
        </w:rPr>
      </w:pPr>
      <w:r>
        <w:rPr>
          <w:szCs w:val="28"/>
        </w:rPr>
      </w:r>
      <w:r/>
    </w:p>
    <w:p>
      <w:pPr>
        <w:pStyle w:val="940"/>
        <w:ind w:firstLine="708"/>
        <w:jc w:val="both"/>
        <w:rPr>
          <w:szCs w:val="28"/>
        </w:rPr>
      </w:pPr>
      <w:r>
        <w:rPr>
          <w:szCs w:val="28"/>
        </w:rPr>
        <w:t xml:space="preserve">Задания с развернуты</w:t>
      </w:r>
      <w:r>
        <w:rPr>
          <w:szCs w:val="28"/>
        </w:rPr>
        <w:t xml:space="preserve">м ответом (8, 9, 15, 16, 17) опираются на традиции написания школьного сочинения на литературную тему и относятся в повышенному (8, 9, 15, 16) и высокому (17) уровням сложности. Чтобы выполнить их, экзаменуемый должен уметь создавать монологические высказы</w:t>
      </w:r>
      <w:r>
        <w:rPr>
          <w:szCs w:val="28"/>
        </w:rPr>
        <w:t xml:space="preserve">вания разных типов на основе художественного произведения (или его фрагмента). В первую очередь эти задания ориентированы на выпускников с хорошей и отличной подготовкой (группы 3 и 4), поскольку именно они стремятся к качественному выполнению экзаменацион</w:t>
      </w:r>
      <w:r>
        <w:rPr>
          <w:szCs w:val="28"/>
        </w:rPr>
        <w:t xml:space="preserve">ной работы в полном объеме и претендуют на высокие баллы. В то же время задания повышенного и высокого уровней сложности вполне посильны для представителей группы 2, которым рекомендуется обязательно приступать к их выполнению. Без этого они не смогут прет</w:t>
      </w:r>
      <w:r>
        <w:rPr>
          <w:szCs w:val="28"/>
        </w:rPr>
        <w:t xml:space="preserve">ендовать на достойные баллы за экзамен в целом. Экзаменуемые из группы 1 обычно испытывают значительные затруднения при выполнении этих заданий: если с заданиями 8 и 15 они в основном справляется на том или ином уровне, то к заданиям 9, 16 и 17 во многих с</w:t>
      </w:r>
      <w:r>
        <w:rPr>
          <w:szCs w:val="28"/>
        </w:rPr>
        <w:t xml:space="preserve">лучаях даже не приступают или не достигают при их выполнении положительных результатов. Таким образом, количество выполненных заданий с развернутым ответом и качество их выполнения очень важны для дифференциации экзаменуемых с различным уровнем подготовки.</w:t>
      </w:r>
      <w:r/>
    </w:p>
    <w:p>
      <w:pPr>
        <w:pStyle w:val="940"/>
        <w:ind w:firstLine="708"/>
        <w:jc w:val="both"/>
        <w:rPr>
          <w:szCs w:val="28"/>
        </w:rPr>
      </w:pPr>
      <w:r>
        <w:rPr>
          <w:szCs w:val="28"/>
        </w:rPr>
        <w:t xml:space="preserve">Внимательное чтение и детальное знание текстов художественных произведений, а также заучивание наизусть стихотворений остаются на сегодняшний день одним из ключевых аспектов подготовки к экза</w:t>
      </w:r>
      <w:r>
        <w:rPr>
          <w:szCs w:val="28"/>
        </w:rPr>
        <w:t xml:space="preserve">мену. Для экзаменуемых их группы 2 с этим направлением работы связана возможность заметного повышения уровня выполнения многих заданий ЕГЭ по литературе. Особое внимание при подготовке к экзамену обучающихся, принадлежащих к группе 2, следует также уделить</w:t>
      </w:r>
      <w:r>
        <w:rPr>
          <w:szCs w:val="28"/>
        </w:rPr>
        <w:t xml:space="preserve"> совершенствованию умения понимать и анализировать лирическое произведение, так как часто именно непонимание поэтического текста, даже добросовестно прочитанного, не позволяет им включать его в свой читательский багаж и использовать на итоговой аттестации.</w:t>
      </w:r>
      <w:r/>
    </w:p>
    <w:p>
      <w:pPr>
        <w:pStyle w:val="940"/>
        <w:ind w:firstLine="708"/>
        <w:jc w:val="both"/>
        <w:rPr>
          <w:szCs w:val="28"/>
        </w:rPr>
      </w:pPr>
      <w:r>
        <w:rPr>
          <w:szCs w:val="28"/>
        </w:rPr>
        <w:t xml:space="preserve">К типичным ошибкам, приводящим к снижению уровня выполнения сопоставительных заданий, следует также отнести: – сопоставление п</w:t>
      </w:r>
      <w:r>
        <w:rPr>
          <w:szCs w:val="28"/>
        </w:rPr>
        <w:t xml:space="preserve">роизведений без учета указанного в задании аспекта; – использование в качестве примеров двух произведений одного и того же автора; – неумение выстроить логичный, сбалансированный ответ, в котором оба сопоставления представлены равноценно. Избежать этих нар</w:t>
      </w:r>
      <w:r>
        <w:rPr>
          <w:szCs w:val="28"/>
        </w:rPr>
        <w:t xml:space="preserve">ушений поможет целенаправленное обучение умению сопоставлять литературные произведения, а также их отдельные эпизоды, образы на основе выявления черт сходства и различия, аргументируя свои выводы с опорой на анализ текста. Различия в уровне освоения лириче</w:t>
      </w:r>
      <w:r>
        <w:rPr>
          <w:szCs w:val="28"/>
        </w:rPr>
        <w:t xml:space="preserve">ского и эпического (лироэпического, драматического) произведений проявились и в результатах выполнения заданий 8 и 15 представителями групп 1 и 2. У экзаменуемых, принадлежащих к группам 3 и 4, показатели выполнения заданий 8 и 15 практически одинаковы. Од</w:t>
      </w:r>
      <w:r>
        <w:rPr>
          <w:szCs w:val="28"/>
        </w:rPr>
        <w:t xml:space="preserve">нако главные закономерности, характеризующие качество ответов на проблемный вопрос к тексту или его фрагменту, связаны не с родовой принадлежностью анализируемых произведений. Во-первых, наивысших результатов выполнения контрольной работы выпускники традиц</w:t>
      </w:r>
      <w:r>
        <w:rPr>
          <w:szCs w:val="28"/>
        </w:rPr>
        <w:t xml:space="preserve">ионно достигают именно в заданиях 8 и 15. Эти показатели связаны с выполнением требований критерия 1 «Соответствие ответа заданию» (для группы 4 к ним следует также отнести результаты по критерию 1 для заданий 9 и 16). Во-вторых, во всех группах, как и в п</w:t>
      </w:r>
      <w:r>
        <w:rPr>
          <w:szCs w:val="28"/>
        </w:rPr>
        <w:t xml:space="preserve">рошлые годы, ниже оказались результаты по критерию 2 «Привлечение текста для аргументации». Следовательно, на втором месте по значимости после недостаточного знания текста произведения стоит проблема привлечения его для аргументации собственных тезисов. Ст</w:t>
      </w:r>
      <w:r>
        <w:rPr>
          <w:szCs w:val="28"/>
        </w:rPr>
        <w:t xml:space="preserve">рого говоря, это целый комплекс проблем, связанных с умением анализировать текст, не сбиваясь на пересказ и общие рассуждения о его содержании, а также с умением доказывать свои суждения с опорой на литературный первоисточник, не ограничиваясь его упоминан</w:t>
      </w:r>
      <w:r>
        <w:rPr>
          <w:szCs w:val="28"/>
        </w:rPr>
        <w:t xml:space="preserve">ием вне связи с выдвинутыми тезисами. В-третьих, самые низкие показатели выполнения заданий 8 и 15 представителями всех групп относятся к критерию К3 «Логичность и соблюдение речевых норм». Умения логично выстраивать свои мысли и выражать их правильным язы</w:t>
      </w:r>
      <w:r>
        <w:rPr>
          <w:szCs w:val="28"/>
        </w:rPr>
        <w:t xml:space="preserve">ком являются неотъемлемыми условиями любого полноценного рассуждения. В системе подготовки к экзамену по литературе они определяют еще одно важнейшее направление работы учителя и ученика – совершенствование навыков письменной речи. Освоение требований крит</w:t>
      </w:r>
      <w:r>
        <w:rPr>
          <w:szCs w:val="28"/>
        </w:rPr>
        <w:t xml:space="preserve">ерия 3 имеет также большое метапредметное значение и выходит далеко за рамки изучения не только литературы, но других предметов гуманитарного цикла, поскольку свободное владение родным языком является базовым условием успешной коммуникации в любой области.</w:t>
      </w:r>
      <w:r/>
    </w:p>
    <w:p>
      <w:pPr>
        <w:pStyle w:val="940"/>
        <w:ind w:firstLine="708"/>
        <w:jc w:val="both"/>
      </w:pPr>
      <w:r>
        <w:rPr>
          <w:szCs w:val="28"/>
        </w:rPr>
        <w:t xml:space="preserve">Прежде всего, следует учитывать, что система подготовки к профильному экзамену должна строиться на объективной оценке целей и потенциальных возможностей конкретного об</w:t>
      </w:r>
      <w:r>
        <w:rPr>
          <w:szCs w:val="28"/>
        </w:rPr>
        <w:t xml:space="preserve">учающегося, анализе его индивидуальных проблем и пробелов. Этот подготовительный этап поможет учителю выстроить индивидуальную траекторию подготовки школьника к экзамену и определить стратегию его поведения во время экзамена. Для выпускников с низким уровн</w:t>
      </w:r>
      <w:r>
        <w:rPr>
          <w:szCs w:val="28"/>
        </w:rPr>
        <w:t xml:space="preserve">ем подготовки главной целью является преодоление минимальной границы, для чего им нужно выполнить как можно большее количество посильных заданий. При подготовке к экзамену таких обучающихся важно обратить внимание на следующие аспекты: – выполнение элемент</w:t>
      </w:r>
      <w:r>
        <w:rPr>
          <w:szCs w:val="28"/>
        </w:rPr>
        <w:t xml:space="preserve">арных заданий базового уровня сложности, требующих знания литературоведческой азбуки; – написание развернутых ответах ограниченного объема, не предполагающих выхода в широкий литературный контекст, – задания 8, 15, 16.              – формирование умения ан</w:t>
      </w:r>
      <w:r>
        <w:rPr>
          <w:szCs w:val="28"/>
        </w:rPr>
        <w:t xml:space="preserve">ализировать формулировки тем сочинения, чтобы выбрать наиболее понятную и посильную; – формирование умения формулировать главную мысль своего сочинения в соответствии с темой; – формирование умения подкреплять свои тезисы обращением к тексту литературного </w:t>
      </w:r>
      <w:r>
        <w:rPr>
          <w:szCs w:val="28"/>
        </w:rPr>
        <w:t xml:space="preserve">произведения, привлекая его на любом доступном уровне; – совершенствование культуры речи. Чтобы успешно подготовить к экзамену учеников со средним уровнем мотивации, учителю можно рекомендовать сконцентрировать внимание на следующие направлениях работы: – </w:t>
      </w:r>
      <w:r>
        <w:rPr>
          <w:szCs w:val="28"/>
        </w:rPr>
        <w:t xml:space="preserve">внимательное чтение художественных произведений, входящих в кодификатор, и заучивание наизусть лирических стихотворений; – формирование привычки использовать комментарии, примечания, другие информационные материалы, способствующие полноценному пониманию те</w:t>
      </w:r>
      <w:r>
        <w:rPr>
          <w:szCs w:val="28"/>
        </w:rPr>
        <w:t xml:space="preserve">кста художественного произведения, насыщенного реалиями других эпох; – формирование устойчивого представления о пагубности попыток компенсировать свою неначитанность использованием пересказов, тематических цитатников, просмотром экранизаций, обращением к д</w:t>
      </w:r>
      <w:r>
        <w:rPr>
          <w:szCs w:val="28"/>
        </w:rPr>
        <w:t xml:space="preserve">ругим источникам, вторичным по отношению к литературному произведению; – совершенствование умения анализировать художественное произведение, в том числе лирическое, в заданном аспекте, не подменяя анализа пересказом или общими рассуждениями о его содержани</w:t>
      </w:r>
      <w:r>
        <w:rPr>
          <w:szCs w:val="28"/>
        </w:rPr>
        <w:t xml:space="preserve">и; – совершенствование умения аргументировать свои суждения примерами из художественного произведения; – совершенствование логических умений и навыков, обучение правилам построения ответа на сопоставительное задание на основе выявления черт сходства и разл</w:t>
      </w:r>
      <w:r>
        <w:rPr>
          <w:szCs w:val="28"/>
        </w:rPr>
        <w:t xml:space="preserve">ичия сопоставляемых произведений; – повышение уровня речевой культуры; – обучение редактированию развернутых ответов по замечаниям, сделанным учителем. Для обучающихся с хорошей и отличной подготовкой, претендующих на высокие баллы, особенно актуальны след</w:t>
      </w:r>
      <w:r>
        <w:rPr>
          <w:szCs w:val="28"/>
        </w:rPr>
        <w:t xml:space="preserve">ующие направления работы (при условии, что они овладели также умениями и навыками, описанными выше): – активное расширение читательского кругозора, в том числе за счет знакомства с новейшей литературой; чтение и осмысление художественных произведений, не в</w:t>
      </w:r>
      <w:r>
        <w:rPr>
          <w:szCs w:val="28"/>
        </w:rPr>
        <w:t xml:space="preserve">ходящих в кодификатор; – формирование навыка медленного внимательного чтения и перечитывания полных текстов художественных произведений для последующего текстуального анализа; – заучивание наизусть лирических стихотворений, свободное владение большим цитат</w:t>
      </w:r>
      <w:r>
        <w:rPr>
          <w:szCs w:val="28"/>
        </w:rPr>
        <w:t xml:space="preserve">ным материалом; – освоение алгоритма аспектного сопоставления произведений на основе выявления черт их сходства и различия; – совершенствование навыков анализа текста в его родо-жанровой специфике; – развитие умения воспринимать и интерпретировать незнаком</w:t>
      </w:r>
      <w:r>
        <w:rPr>
          <w:szCs w:val="28"/>
        </w:rPr>
        <w:t xml:space="preserve">ое лирическое стихотворение; – формирование умения выявлять в тексте изобразительно-выразительные средства и определять их художественные функции, а также использовать соответствующие понятия для анализа литературного произведения; – обучение написанию соч</w:t>
      </w:r>
      <w:r>
        <w:rPr>
          <w:szCs w:val="28"/>
        </w:rPr>
        <w:t xml:space="preserve">инения на литературную тему с учетом разнообразия формулировок тем, предлагаемых в задании 17.1 – 17.4; обучение написанию сочинений разных жанров; – формирование языковой зоркости, умения редактировать собственный ответ; совершенствование письменной речи.</w:t>
      </w:r>
      <w:r/>
    </w:p>
    <w:p>
      <w:pPr>
        <w:pStyle w:val="940"/>
        <w:ind w:firstLine="708"/>
        <w:jc w:val="both"/>
      </w:pPr>
      <w:r>
        <w:rPr>
          <w:szCs w:val="28"/>
        </w:rPr>
        <w:t xml:space="preserve">Своего рода «сквозной» темой методических рекомендаций прошлых лет являлось обсуждение проблемы нечтения выпускниками художественных текстов и в итоге создания ими собственных «текстов-имитаций», подме</w:t>
      </w:r>
      <w:r>
        <w:rPr>
          <w:szCs w:val="28"/>
        </w:rPr>
        <w:t xml:space="preserve">няющих живое осмысление отечественной классики бездушным набором штампов и уничтожающих какое-либо авторское «я». К сожалению, ЕГЭ по литературе 2020 г. не стал исключением, и мы снова вынуждены обращаться к вопросу о способах стимулирования читательской а</w:t>
      </w:r>
      <w:r>
        <w:rPr>
          <w:szCs w:val="28"/>
        </w:rPr>
        <w:t xml:space="preserve">ктивности старшеклассников, планирующих сдавать содержательно объемный профильный экзамен. Прокомментируем с этих позиций небольшую работу выпускника (ответ на задание 8), в которой делается попытка охарактеризовать Николая Петровича Кирсанова, героя роман</w:t>
      </w:r>
      <w:r>
        <w:rPr>
          <w:szCs w:val="28"/>
        </w:rPr>
        <w:t xml:space="preserve">а И.С. Тургенева «Отцы и дети», в его отношении к молодому поколению. Начало рассуждения внушает осторожный оптимизм: Николай Петрович – добрый, мягкий человек. Он любит своего сына Аркадия и искренне желает ему счастья. Но Аркадий отвечает черной неблагод</w:t>
      </w:r>
      <w:r>
        <w:rPr>
          <w:szCs w:val="28"/>
        </w:rPr>
        <w:t xml:space="preserve">арностью: он приводит в дом своего друга Базарова. Однако странная мотивировка поведения Аркадия настораживает и в некоторой степени интригует. Далее читаем: Новый друг сына принимается за дело: ставит опыты, подговаривает мужиков против хозяев. Николай Пе</w:t>
      </w:r>
      <w:r>
        <w:rPr>
          <w:szCs w:val="28"/>
        </w:rPr>
        <w:t xml:space="preserve">трович готов вызвать незваного гостя на дуэль, но у него не хватает твердости, и это делает его брат. На этом этапе становится ясно, что текст романа автору работы незнаком. Обращает на себя внимание тот факт, что экзаменуемый не только демонстрирует отсут</w:t>
      </w:r>
      <w:r>
        <w:rPr>
          <w:szCs w:val="28"/>
        </w:rPr>
        <w:t xml:space="preserve">ствие знания произведения, но и пытается «переписать» его по-своему, фантазируя и домысливая за автора мотивы поступков героев и их характеристики. Ответы такого рода менее всего похожи на способность к интерпретации прочитанного и являются лишь попыткой «</w:t>
      </w:r>
      <w:r>
        <w:rPr>
          <w:szCs w:val="28"/>
        </w:rPr>
        <w:t xml:space="preserve">добывания» баллов любой ценой. Сравним эту работу с другой, тоже весьма далекой от совершенства, но все же привязанной к тексту романа. В душе Николая Петровича идет непримиримая борьба. С одной стороны, герой осознает, что он и наследники принадлежат к дв</w:t>
      </w:r>
      <w:r>
        <w:rPr>
          <w:szCs w:val="28"/>
        </w:rPr>
        <w:t xml:space="preserve">ум разным поколениям. Он чувствует, что за молодыми стоит преимущество. Это не только молодость, но и отсутствие барства. Но одновременно с этим мнением сталкивается и другое. Николай Петрович, отложив всякое самолюбие в сторону, считает, что они – старшее</w:t>
      </w:r>
      <w:r>
        <w:rPr>
          <w:szCs w:val="28"/>
        </w:rPr>
        <w:t xml:space="preserve"> поколение – ближе к истине. Они не отвергают поэзию, сочувствуют художеству и природе. Таким образом, мы видим, что Николай Петрович неоднозначно относится к молодому поколению. В ответе много недостатков: логические нестыковки, содержательная «свернутост</w:t>
      </w:r>
      <w:r>
        <w:rPr>
          <w:szCs w:val="28"/>
        </w:rPr>
        <w:t xml:space="preserve">ь» тезисов, речевая безграмотность. Однако «затуманивания» содержания первоисточника здесь нет, как нет и попыток завуалировать пробелы в знании предметного курса. Обе работы свидетельствуют о низком уровне владения литературным материалом. Но самым важным</w:t>
      </w:r>
      <w:r>
        <w:rPr>
          <w:szCs w:val="28"/>
        </w:rPr>
        <w:t xml:space="preserve"> при подготовки к экзамену было и остается чтение и перечитывание художественных текстов, заучивание цитат и полных текстов произведений (речь идет о лирике), акцентирование внимания на именах персонажей, названиях глав и т.п. На уроках литературы очевидну</w:t>
      </w:r>
      <w:r>
        <w:rPr>
          <w:szCs w:val="28"/>
        </w:rPr>
        <w:t xml:space="preserve">ю пользу принесут простейшие тесты: на знание деталей и элементов сюжета, поисковые задания к тексту, обучение различным способам цитирования, ведение читательского дневника, заучивание наизусть и пересказ художественных произведений и их фрагментов и т.п.</w:t>
      </w:r>
      <w:r>
        <w:rPr>
          <w:szCs w:val="28"/>
        </w:rPr>
        <w:t xml:space="preserve"> Наряду с проблемой прочности знания литературного материала встает вопрос о качестве оформления «текста о тексте», т.е. об умении экзаменуемого грамотно и компетентно изложить свои мысли на бумаге. Речь идет не только и не столько 18 о грамматической стор</w:t>
      </w:r>
      <w:r>
        <w:rPr>
          <w:szCs w:val="28"/>
        </w:rPr>
        <w:t xml:space="preserve">оне текста ответа, но прежде всего о готовности рассуждать о литературе на языке науки о литературе, используя необходимые понятия и термины. Вновь обратимся к работам выпускников 2020 г.: Стародум и его единомышленники придерживаются одного мнения, что ка</w:t>
      </w:r>
      <w:r>
        <w:rPr>
          <w:szCs w:val="28"/>
        </w:rPr>
        <w:t xml:space="preserve">ждый человек должен быть образованным и честным. Это высокие ценности. Почему? Во-первых, мы видим к чему приводит необразованность Митрофанушки. Он грубый, ленивый, ему ничто не интересно. В свои 16 лет он ничего не добился, даже на службу не поступил. В </w:t>
      </w:r>
      <w:r>
        <w:rPr>
          <w:szCs w:val="28"/>
        </w:rPr>
        <w:t xml:space="preserve">этом есть большая заслуга матери, которая не настаивает на обучении сына, и сама отговаривает его, мол образование ничему путному не научит. Во-вторых, обманом решила Простакова выдать Софью за своего сына, чтобы получить большое наследство. Но и здесь нич</w:t>
      </w:r>
      <w:r>
        <w:rPr>
          <w:szCs w:val="28"/>
        </w:rPr>
        <w:t xml:space="preserve">его хорошего не вышло. Обман раскрылся, и все участники понесли наказание. Эти примеры ярко иллюстрируют, что отсутствие высоких ценностей опускает человека, и он не живет, а проживает свою жизнь. Поэтому так важно быть единомышленником со Стародумом, ведь</w:t>
      </w:r>
      <w:r>
        <w:rPr>
          <w:szCs w:val="28"/>
        </w:rPr>
        <w:t xml:space="preserve"> он преследует высокие ценности. В приведенном фрагменте сочинения есть фактическая ошибка, грамматическая, речевая и стилистическая «порча» теста, но особого внимания заслуживает «терминологический дефицит», делающий высказывание предельно обытовленным, п</w:t>
      </w:r>
      <w:r>
        <w:rPr>
          <w:szCs w:val="28"/>
        </w:rPr>
        <w:t xml:space="preserve">очти разговорным (обращает на себя внимание неоправданная инверсия в начале третьего абзаца и глагол «опускает» в четвертом). В связи с этим нельзя не отметить ту важную функцию, которую несут в себе задания с кратким ответом. Выполняя задания 1–7 и 10–14 </w:t>
      </w:r>
      <w:r>
        <w:rPr>
          <w:szCs w:val="28"/>
        </w:rPr>
        <w:t xml:space="preserve">экзаменационного варианта, выпускник работает в режиме «терминологической разминки», успешность выполнения которой напрямую влияет на качество связных текстов (задания 8, 9, 15, 19, 17). Поэтому, безусловно, полезным будет тренинг с использованием «термино</w:t>
      </w:r>
      <w:r>
        <w:rPr>
          <w:szCs w:val="28"/>
        </w:rPr>
        <w:t xml:space="preserve">логических» тестов на занятиях по литературе в старших классах. При этом учитель должен объяснить выпускникам, что знание терминологии не должно быть усвоено на уровне бездумного заучивания формулировок из словарей литературоведческих терминов, так как зад</w:t>
      </w:r>
      <w:r>
        <w:rPr>
          <w:szCs w:val="28"/>
        </w:rPr>
        <w:t xml:space="preserve">ания с кратким ответом ориентированы прежде всего на понимание функций тех или иных литературоведческих понятий в конкретном фрагменте эпического, или лироэпического, или драматического произведения, а также лирического стихотворения, и в этих заданиях зна</w:t>
      </w:r>
      <w:r>
        <w:rPr>
          <w:szCs w:val="28"/>
        </w:rPr>
        <w:t xml:space="preserve">ние терминов всегда связано с реализацией того или иного приема или изобразительно-выразительного средства в конкретной цитате или отсылке к тексту литературного произведения. Однако в подготовительный период учитель на первых порах может практиковать тест</w:t>
      </w:r>
      <w:r>
        <w:rPr>
          <w:szCs w:val="28"/>
        </w:rPr>
        <w:t xml:space="preserve">овые опросы по выявлению соответствия между литературоведческим термином и его формулировкой в словаре литературоведческих терминов или соотнесением термина с цитатным примером. Последовательная, систематическая теоретико-литературной подготовка обучающихс</w:t>
      </w:r>
      <w:r>
        <w:rPr>
          <w:szCs w:val="28"/>
        </w:rPr>
        <w:t xml:space="preserve">я положительно сказывается на качестве развернутых ответов при сдаче ЕГЭ: Н.М. Рубцов – один из известнейших отечественных поэтов своего времени. И в каждом произведении этого автора, в том числе и в стихотворении «Привет, Россия – Родина моя!», присутству</w:t>
      </w:r>
      <w:r>
        <w:rPr>
          <w:szCs w:val="28"/>
        </w:rPr>
        <w:t xml:space="preserve">ет чувство, определяющее весь эмоциональный настрой стихотворения. Автор сразу заявляет: «Россия – Родина моя!». Риторическое восклицание говорит об авторской любви к своей Родине. Природа, описанная с применением олицетворения, предстает перед читателями </w:t>
      </w:r>
      <w:r>
        <w:rPr>
          <w:szCs w:val="28"/>
        </w:rPr>
        <w:t xml:space="preserve">красочной и живой: «Как весь простор, небесный и земной, // Дышал в оконце счастьем и покоем…» Для Рубцова природа родного края – это любовь на всю оставшуюся жизнь. Любовь, что «сильнее всякой воли», любовь ко всему, что тебя окружает на Родине, – вот нас</w:t>
      </w:r>
      <w:r>
        <w:rPr>
          <w:szCs w:val="28"/>
        </w:rPr>
        <w:t xml:space="preserve">троение лирического героя, которое он передает читателям. Родной дом «с крапивой под оконцем» для него ценнее любого иного богатства. Родная земля – вот истинное богатство и настоящая любовь, и Рубцов солидарен со своим героем. Через анафору автор показыва</w:t>
      </w:r>
      <w:r>
        <w:rPr>
          <w:szCs w:val="28"/>
        </w:rPr>
        <w:t xml:space="preserve">ет восторг лирического героя, чья любовь к Родине не может удержаться в сердце. 19 В приведенном тексте налицо стремление автора проанализировать стихотворение Е.М. Рубцова в единстве содержания и формы, говорить о поэзии на языке поэзии. И в целом это ему</w:t>
      </w:r>
      <w:r>
        <w:rPr>
          <w:szCs w:val="28"/>
        </w:rPr>
        <w:t xml:space="preserve"> удается. По-прежнему актуальной и методически значимой остается проблема формирования и развития сопоставительно-аналитических умений обучающихся. На проверку этих умений нацелены задания 9 и 16, выполняя которые, выпускник должен найти проблемно–тематиче</w:t>
      </w:r>
      <w:r>
        <w:rPr>
          <w:szCs w:val="28"/>
        </w:rPr>
        <w:t xml:space="preserve">ские связи предложенного текста с произведениями других отечественных писателей. В подготовительный период выпускник под руководством учителя должен уяснить, что при выполнении заданий повышенного уровня на привлечение литературного контекста нужно показат</w:t>
      </w:r>
      <w:r>
        <w:rPr>
          <w:szCs w:val="28"/>
        </w:rPr>
        <w:t xml:space="preserve">ь свое умение сопоставлять с предложенным текстом самостоятельно подобранные произведения, необходимые для ответа на вопрос. При этом для получения максимального балла по критериям 1 «Сопоставление первого выбранного произведения с предложенным текстом» и </w:t>
      </w:r>
      <w:r>
        <w:rPr>
          <w:szCs w:val="28"/>
        </w:rPr>
        <w:t xml:space="preserve">2 «Сопоставление второго выбранного произведения с предложенным текстом» важно не только назвать два произведения, обязательно указав их авторов, но и убедительно сопоставить их с предложенным текстом в заданном направлении анализа, т.е. в нужном ракурсе, </w:t>
      </w:r>
      <w:r>
        <w:rPr>
          <w:szCs w:val="28"/>
        </w:rPr>
        <w:t xml:space="preserve">связанном с теми ключевыми словами заданного вопроса, которые станут основаниями для сопоставления. В период подготовки к экзамену следует предлагать обучающимся для анализа реальные ответы на задания с верным логическим построением и с логическими ошибкам</w:t>
      </w:r>
      <w:r>
        <w:rPr>
          <w:szCs w:val="28"/>
        </w:rPr>
        <w:t xml:space="preserve">и, чтобы выпускники четко уяснили себе, что такое правильная логика рассуждений и какой ответ содержит логические ошибки. Также необходимо научиться редактировать ответы с ошибками, выстраивая в них нужную логику. Как правило, выпускники более уверенно соп</w:t>
      </w:r>
      <w:r>
        <w:rPr>
          <w:szCs w:val="28"/>
        </w:rPr>
        <w:t xml:space="preserve">оставляют предложенный текст с первым выбранным произведением, анализируя при этом образы, микротемы, детали, авторскую позицию, а при анализе второго выбранного произведения для сопоставления часто ограничиваются только указанием на его автора и название,</w:t>
      </w:r>
      <w:r>
        <w:rPr>
          <w:szCs w:val="28"/>
        </w:rPr>
        <w:t xml:space="preserve"> поэтому в подготовительный период нужно потренироваться в составлении таблиц соответствия между предложенным текстом и двумя выбранными произведениями. Учителю важно сообщить своим ученикам, что под «заданным направлением анализа» (см. формулировки критер</w:t>
      </w:r>
      <w:r>
        <w:rPr>
          <w:szCs w:val="28"/>
        </w:rPr>
        <w:t xml:space="preserve">ия 1 и критерия 2) понимается аспект сопоставления, указанный, как правило, в первой части формулировки таких заданий. (Например: «Каким героям русской литературы было присуще чувство превосходства над другими и в чем их можно сопоставить с "сыном орла" из</w:t>
      </w:r>
      <w:r>
        <w:rPr>
          <w:szCs w:val="28"/>
        </w:rPr>
        <w:t xml:space="preserve"> рассказа М. Горького "Старуха Изергиль»?") При подготовке к экзамену учитель на конкретных примерах должен показать, что задания на привлечение литературного контекста не предполагают исчерпывающего сравнительного анализа и не требуют обязательного выявле</w:t>
      </w:r>
      <w:r>
        <w:rPr>
          <w:szCs w:val="28"/>
        </w:rPr>
        <w:t xml:space="preserve">ния, помимо черт сходства и черт различия (если в формулировке конкретного задания нет иных указаний). Для правильного ответа экзаменуемому достаточно соотнести произведения (фрагменты) по общему основанию и сформулировать свои выводы, аргументируя их текс</w:t>
      </w:r>
      <w:r>
        <w:rPr>
          <w:szCs w:val="28"/>
        </w:rPr>
        <w:t xml:space="preserve">том. Основанием для снижения оценки является формальное сопоставление произведений, т.е. когда экзаменуемый ограничивается указанием произведений и их авторов и повторяет слова из формулировки задания для обозначения аспекта сопоставления. Закономерно высо</w:t>
      </w:r>
      <w:r>
        <w:rPr>
          <w:szCs w:val="28"/>
        </w:rPr>
        <w:t xml:space="preserve">кий результат дают правильное понимание задачи, выдвигаемой «контекстным» заданием, сформированность умения выбрать нужный ракурс для сопоставления и наполнить его соответствующими наблюдениями над текстом произведений. В произведениях отечественной литера</w:t>
      </w:r>
      <w:r>
        <w:rPr>
          <w:szCs w:val="28"/>
        </w:rPr>
        <w:t xml:space="preserve">туры тема любви-испытания является одной из основополагающих. Так, героиня Островского не единственный персонаж, чья любовь становится испытанием для нее. В романе Тургенева «Отцы и дети» испытанием является любовь Евгения Базарова к Одинцовой, чувства к к</w:t>
      </w:r>
      <w:r>
        <w:rPr>
          <w:szCs w:val="28"/>
        </w:rPr>
        <w:t xml:space="preserve">оторой стали для все отрицающего нигилиста неожиданностью. Сам Тургенев уверен, что любовь – великое благо. Однако она зачастую ведет к страданиям. Анна Сергеевна отказывает начавшему сомневаться в своих нигилистических 20 взглядах Базарову, чем разбивает </w:t>
      </w:r>
      <w:r>
        <w:rPr>
          <w:szCs w:val="28"/>
        </w:rPr>
        <w:t xml:space="preserve">тому сердце. Для нее тихая и комфортная жизнь оказалась ценнее пылкой страсти. Для Базарова, как и для Катерины Кабановой, страсть оборачивается трагедией. Решив забыться в работе, Евгений подхватывает смертельную болезнь, и лишь на смертном одре он увидит</w:t>
      </w:r>
      <w:r>
        <w:rPr>
          <w:szCs w:val="28"/>
        </w:rPr>
        <w:t xml:space="preserve"> лицо возлюбленной, не ответившей ему взаимностью. Участи как Базарова, так и Катерины, трагичны. Испытанием и душевными терзаниями оборачиваются чувства Евгения Онегина и Татьяны Лариной из произведения А.С. Пушкина «Евгений Онегин». Отказывая юной Татьян</w:t>
      </w:r>
      <w:r>
        <w:rPr>
          <w:szCs w:val="28"/>
        </w:rPr>
        <w:t xml:space="preserve">е в любви, Онегин не мог и предположить, что чувства эти были искренни и что сам он никогда никого не полюбит, кроме Татьяны. Сам Пушкин сочувствует позднему прозрению своего героя. Трагична последняя встреча несостоявшихся влюбленных. Ведь Татьяна говорит</w:t>
      </w:r>
      <w:r>
        <w:rPr>
          <w:szCs w:val="28"/>
        </w:rPr>
        <w:t xml:space="preserve"> в ответ на пылкую речь Онегина: «Но я другому отдана, я буду век ему верна». В этих словах заключено последнее решение Татьяны, ведь она столь же честна и верна долгу перед мужем, пусть и нелюбимым, как и Катерина перед Тихоном. Запретная страсть Катерины</w:t>
      </w:r>
      <w:r>
        <w:rPr>
          <w:szCs w:val="28"/>
        </w:rPr>
        <w:t xml:space="preserve"> и последовавшая за ней трагедия схожа с горькой участью Татьяны и Евгения Онегина. Именно так в вышеуказанных произведениях раскрывается тема любви-испытания. Очень часто, к сожалению, такая любовь оборачивается трагедией. В приведенной работе частные нед</w:t>
      </w:r>
      <w:r>
        <w:rPr>
          <w:szCs w:val="28"/>
        </w:rPr>
        <w:t xml:space="preserve">остатки не заслоняют главного – умений подобрать материал для аспектного сопоставления и убедительно реализовать внутрипредметные связи предметного курса. Не столь удачны и корректны сопоставления в другой работе, автор которой пытается найти образно-темат</w:t>
      </w:r>
      <w:r>
        <w:rPr>
          <w:szCs w:val="28"/>
        </w:rPr>
        <w:t xml:space="preserve">ические аналоги применительно к содержанию стихотворения Б.А. Слуцкого «Самая военная птица». Приведем текст стихотворения: Горожане, только воробьев знавшие из всей орнитологии, слышали внезапно соловьев трели, то крутые, то отлогие. Потому – война была. </w:t>
      </w:r>
      <w:r>
        <w:rPr>
          <w:szCs w:val="28"/>
        </w:rPr>
        <w:t xml:space="preserve">Дрожанье песни, пере-пере-перелив слышали внезапно горожане, полземли под щели перерыв. И военной птицей стал не сокол и не черный ворон, не орел – соловей, который трели цокал и колена вел. Вел, и слушали его живые, и к погибшим залетал во сны. Заглушив о</w:t>
      </w:r>
      <w:r>
        <w:rPr>
          <w:szCs w:val="28"/>
        </w:rPr>
        <w:t xml:space="preserve">ркестры духовые, стал он главной музыкой войны. (Б.А. Слуцкий, 1978) Обратимся к тексту работы, являющейся ответом на задание 16 («В каких произведениях отечественной литературы красота природы противопоставлена хаосу и разрушению и в чем эти произведения </w:t>
      </w:r>
      <w:r>
        <w:rPr>
          <w:szCs w:val="28"/>
        </w:rPr>
        <w:t xml:space="preserve">можно сопоставить со стихотворением                    Б.А. Слуцкого "Самая военная птица"?): 21 Противопоставление красоты природы хаосу и разрушению часто встречается в поэмах, посвященных войне. Мы можем встретить подобную антитезу в тексте Александра Т</w:t>
      </w:r>
      <w:r>
        <w:rPr>
          <w:szCs w:val="28"/>
        </w:rPr>
        <w:t xml:space="preserve">рифоновича Твардовского «Василий Теркин». В одной из глав произведения описывается холодное утро, бодрящая предрассветная атмосфера, которая наполнена звуками природы, трелями птиц. Через какое-то время все это сменяется картиной атаки. Ужасный бой и множе</w:t>
      </w:r>
      <w:r>
        <w:rPr>
          <w:szCs w:val="28"/>
        </w:rPr>
        <w:t xml:space="preserve">ство людских смертей не оставляют и следа от приятных утренних ощущений героев. В произведении Анны Андреевны Ахматовой «Я пришла сюда, бездельница» на фоне печальной и величественной природы красивого старого сада описываются душевные страдания героини. Т</w:t>
      </w:r>
      <w:r>
        <w:rPr>
          <w:szCs w:val="28"/>
        </w:rPr>
        <w:t xml:space="preserve">яжелые губительные думы лирической героини приобретают загадочный характер. Природа живет своей жизнью: «над засохшей повиликою влажно чахнут тополя», а героиня – своей. Ей почему-то и жить особо-то не хочется. Хаос в мыслях находит выход в стихотворении. </w:t>
      </w:r>
      <w:r>
        <w:rPr>
          <w:szCs w:val="28"/>
        </w:rPr>
        <w:t xml:space="preserve">Упадок внутренних сил героини созвучен с состоянием природы в жаркий день, но противопоставлен ее красоте и обновлению, которое случится с наступлением вечера. Приведенный ответ не может быть признан удачным: первый пример (поэма «Василий Теркин») выбран к</w:t>
      </w:r>
      <w:r>
        <w:rPr>
          <w:szCs w:val="28"/>
        </w:rPr>
        <w:t xml:space="preserve">орректно, но лишен содержательной конкретики («в одной из глав…»), а второй подкреплен текстом (цитирование неточное), однако интерпретация ахматовского стихотворения искусственно «притянута» к содержанию исходного произведения. Анализ экзаменационных рабо</w:t>
      </w:r>
      <w:r>
        <w:rPr>
          <w:szCs w:val="28"/>
        </w:rPr>
        <w:t xml:space="preserve">т выявляет попытки экзаменуемых максимально уйти от содержательной конкретики сопоставлений, что свидетельствует о плохом знании курса литературы в целом. Приведем еще один пример неудачного ответа. В самые тяжелые, страшные времена человек, чтобы поддержа</w:t>
      </w:r>
      <w:r>
        <w:rPr>
          <w:szCs w:val="28"/>
        </w:rPr>
        <w:t xml:space="preserve">ть душевные силы, стремится к свету, доброте и красоте. Часто он находит их в природе. А, как известно, она всегда была близка русским по духу людям. Это мы можем подметить как в народном творчестве, так и в произведениях русских классиков. Музыка, созданн</w:t>
      </w:r>
      <w:r>
        <w:rPr>
          <w:szCs w:val="28"/>
        </w:rPr>
        <w:t xml:space="preserve">ая человеком, конечно, красива и торжественна, но она – лишь подражание природе. Она не дарит спокойствие и уверенность в том, что все будет хорошо, что, несмотря на сегодняшние беды, наступит время спокойствия и радости. Военные песни побуждают людей сраж</w:t>
      </w:r>
      <w:r>
        <w:rPr>
          <w:szCs w:val="28"/>
        </w:rPr>
        <w:t xml:space="preserve">аться за Родину, биться до последней капли крови. Они восхваляют храбрых людей, отдавших жизни во имя победы. А без того измученным людям хочется душевного тепла, красоты и покоя. Поэтому-то военные песни и марши уступают чудесным соловьиным трелям, напоми</w:t>
      </w:r>
      <w:r>
        <w:rPr>
          <w:szCs w:val="28"/>
        </w:rPr>
        <w:t xml:space="preserve">нающим о счастье мирного времени. В стилистическом отношении данная работа даже превосходит предыдущую, но по сути является лишь красивой репликой. Объекты сопоставления отсутствуют, то есть задание не выполнено. О необходимости правильного понимания задач</w:t>
      </w:r>
      <w:r>
        <w:rPr>
          <w:szCs w:val="28"/>
        </w:rPr>
        <w:t xml:space="preserve">и при выполнении «контекстных» заданий упоминалось выше. Обучение внутритекстовым и межтекстовым сопоставлениям должно быть таким же системным, как и работа с теоретико-литературным материалом. В заключение обратимся к части 2 экзаменационной работы (сочин</w:t>
      </w:r>
      <w:r>
        <w:rPr>
          <w:szCs w:val="28"/>
        </w:rPr>
        <w:t xml:space="preserve">ение) и дадим ряд рекомендаций. Выпускнику важно понять, что уже на этапе выбора темы нужно оценить свои возможности по привлечению литературного материала, чтобы в процессе написания сочинения этого материала оказалось достаточно для раскрытия темы и по г</w:t>
      </w:r>
      <w:r>
        <w:rPr>
          <w:szCs w:val="28"/>
        </w:rPr>
        <w:t xml:space="preserve">лавным критериям оценки задания – критерию 1 «Соответствие сочинения теме и ее раскрытие» и критерию 2 «Привлечение текста произведения для аргументации» – получить максимально высокий балл. Для выбора темы важно разбираться в родо-жанровой специфике произ</w:t>
      </w:r>
      <w:r>
        <w:rPr>
          <w:szCs w:val="28"/>
        </w:rPr>
        <w:t xml:space="preserve">ведений, что позволяет сделать аргументацию выдвинутых тезисов более убедительной. Если при анализе эпических и драматических произведений следует привлекать важные для раскрытия темы фрагменты (образы, микротемы, детали и т.п.) на уровне, например, коммен</w:t>
      </w:r>
      <w:r>
        <w:rPr>
          <w:szCs w:val="28"/>
        </w:rPr>
        <w:t xml:space="preserve">тированного пересказа, а точные цитаты необязательны, то при анализе лирического произведения нужно помнить необходимые цитаты, так как пересказ стихотворений часто указывает на непонимание выпускником их родо-жанровой специфики. 22 При выборе темы сочинен</w:t>
      </w:r>
      <w:r>
        <w:rPr>
          <w:szCs w:val="28"/>
        </w:rPr>
        <w:t xml:space="preserve">ия экзаменуемому также важно понимать, какой тип сочинения ему предстоит воплотить. Участнику экзамена предложены: – литературоведческая тема, когда в ее формулировке актуализируется какое-либо теоретико-литературное понятие, роль которого нужно раскрыть п</w:t>
      </w:r>
      <w:r>
        <w:rPr>
          <w:szCs w:val="28"/>
        </w:rPr>
        <w:t xml:space="preserve">ри анализе указанного в теме литературного произведения; – тема, раскрытие которой требует анализа тематики и проблематики одного или нескольких художественных произведений; – тема, раскрытие которой предполагает самостоятельный выбор анализируемых произве</w:t>
      </w:r>
      <w:r>
        <w:rPr>
          <w:szCs w:val="28"/>
        </w:rPr>
        <w:t xml:space="preserve">дений в соответствии с читательскими предпочтениями, либо личностное восприятие и самостоятельный анализ указанного в теме произведения. Чрезвычайно важно умение определить и сформулировать главную мысль сочинения, которая может стать примерным заголовком </w:t>
      </w:r>
      <w:r>
        <w:rPr>
          <w:szCs w:val="28"/>
        </w:rPr>
        <w:t xml:space="preserve">его основной части и должна соответствовать проблеме, которая содержится в формулировке темы. Главная мысль развернутого высказывания может быть раскрыта в нескольких тезисах, которые обязательно должны быть аргументированы. Учителю важно убедить учеников,</w:t>
      </w:r>
      <w:r>
        <w:rPr>
          <w:szCs w:val="28"/>
        </w:rPr>
        <w:t xml:space="preserve"> что текст, который привлекается для анализа, сам по себе еще не является аргументом. Аргументы к выдвинутым тезисам должны быть сформулированы убедительно и не противоречить тексту произведения и авторской позиции. Важно понимать, что аргументация – это о</w:t>
      </w:r>
      <w:r>
        <w:rPr>
          <w:szCs w:val="28"/>
        </w:rPr>
        <w:t xml:space="preserve">пределенным образом выстроенная система собственных доказательств выпускника, соответствующая его логике понимания темы и выбранным способам интерпретации художественного текста. В сочинении по литературе главной становится не формальная правильность ответ</w:t>
      </w:r>
      <w:r>
        <w:rPr>
          <w:szCs w:val="28"/>
        </w:rPr>
        <w:t xml:space="preserve">а на задание, а глубина, полнота и самостоятельность раскрытия темы, когда оценивается понимание авторской позиции при выдвижении тезисов и убедительность их аргументации с привлечением для анализа теоретико-литературных понятий, соблюдение композиционной </w:t>
      </w:r>
      <w:r>
        <w:rPr>
          <w:szCs w:val="28"/>
        </w:rPr>
        <w:t xml:space="preserve">стройности и непротиворечивости тезисов и аргументов, умение делать выводы и обобщения, а также речевая грамотность. Важно, чтобы сочинение было написано на заданную тему, которую следует раскрыть глубоко и многосторонне, т.е. уметь выдвинуть основную проб</w:t>
      </w:r>
      <w:r>
        <w:rPr>
          <w:szCs w:val="28"/>
        </w:rPr>
        <w:t xml:space="preserve">лему высказывания, сформулировать его главную мысль и доказать ее при помощи выдвижения, например, трехчетырех тезисов и их убедительного аргументирования. Приведем пример вступления к сочинению «Тема женского счастья в романе М.А. Шолохова "Тихий Дон"». В</w:t>
      </w:r>
      <w:r>
        <w:rPr>
          <w:szCs w:val="28"/>
        </w:rPr>
        <w:t xml:space="preserve"> свой роман-эпопею «Тихий Дон» Шолохов ввел множество героев, каждого из них он наделил индивидуальными чертами, непохожестью. Автор не делит их строго на отрицательных и положительных, показывая, что в одном человеке чаще всего могут сочетаться сразу неск</w:t>
      </w:r>
      <w:r>
        <w:rPr>
          <w:szCs w:val="28"/>
        </w:rPr>
        <w:t xml:space="preserve">олько миров. Одной из таких многогранных, разносторонних личностей является Аксинья Астахова, которая произвела на меня сильнейшее впечатление. Эта женщина выделяется на фоне остальных персонажей романа. Ее судьба невероятно трагична, эту героиню можно счи</w:t>
      </w:r>
      <w:r>
        <w:rPr>
          <w:szCs w:val="28"/>
        </w:rPr>
        <w:t xml:space="preserve">тать одной из самых несчастных в русской литературе. Автор работы уже во вступительной ее части обозначает родо-жанровую принадлежность рассматриваемого произведения, говорит о сложности и неоднозначности характеров шолоховских героев и выделяет среди них </w:t>
      </w:r>
      <w:r>
        <w:rPr>
          <w:szCs w:val="28"/>
        </w:rPr>
        <w:t xml:space="preserve">тот персонаж, на примере которого собирается раскрыть выбранную тему. Вводные тезисы, сформулированные экзаменуемым, дают толчок к дальнейшему развитию темы, которая успешно им раскрывается. Выпускники должны также знать, что многие темы сочинений не предп</w:t>
      </w:r>
      <w:r>
        <w:rPr>
          <w:szCs w:val="28"/>
        </w:rPr>
        <w:t xml:space="preserve">олагают единственно правильного ответа. За высказывание экзаменуемым собственной точки зрения (пусть и нетрадиционной) нельзя снижать оценку, если эта точка зрения не противоречит авторской позиции и убедительно обоснована с опорой на текст произведения. Э</w:t>
      </w:r>
      <w:r>
        <w:rPr>
          <w:szCs w:val="28"/>
        </w:rPr>
        <w:t xml:space="preserve">кзаменуемый имеет право высказать несогласие с авторской позицией, но при этом он должен ее верно определить. Привлечение текста произведения для аргументации должно осуществляться на уровне анализа важных для выполнения задания фрагментов (образов, микрот</w:t>
      </w:r>
      <w:r>
        <w:rPr>
          <w:szCs w:val="28"/>
        </w:rPr>
        <w:t xml:space="preserve">ем, деталей и т.п.), авторская позиция не может быть искажена, а фактические ошибки не допускаются. 23 Опора на теоретико-литературные понятия предполагает, что литературоведческие термины должны быть включены в сочинение и обязательно использованы для ана</w:t>
      </w:r>
      <w:r>
        <w:rPr>
          <w:szCs w:val="28"/>
        </w:rPr>
        <w:t xml:space="preserve">лиза текста произведения(-ий), т.е. определена их художественная функция в целях раскрытия темы. При оценивании работы по критерию 3 важно руководствоваться не количеством приведенных в ней терминов, а уместностью их использования. Смысловые части сочинени</w:t>
      </w:r>
      <w:r>
        <w:rPr>
          <w:szCs w:val="28"/>
        </w:rPr>
        <w:t xml:space="preserve">я должны быть логически связаны, внутри них не допускается нарушений последовательности и необоснованных повторов. Выпускник может допустить в сочинении не более одной речевой ошибки. Следует отличать ошибку от речевого недочета. Если то, как написал экзам</w:t>
      </w:r>
      <w:r>
        <w:rPr>
          <w:szCs w:val="28"/>
        </w:rPr>
        <w:t xml:space="preserve">енуемый, в принципе допустимо, но можно сформулировать мысль и лучше, то речь идет лишь о речевом недочете. Но если эксперт фиксирует нарушение нормы литературного языка (так сказать нельзя!), то речь идет об ошибке. Учителю необходимо различать речевые и </w:t>
      </w:r>
      <w:r>
        <w:rPr>
          <w:szCs w:val="28"/>
        </w:rPr>
        <w:t xml:space="preserve">грамматические ошибки, не влияющие на оценивание работы по литературе. Работу по редактированию и совершенствованию текстов собственных сочинений обязательно нужно проводить в подготовительный период, показывая ученикам, как нужно исправлять свой текст, чт</w:t>
      </w:r>
      <w:r>
        <w:rPr>
          <w:szCs w:val="28"/>
        </w:rPr>
        <w:t xml:space="preserve">обы не были снижены критериальные баллы. Как показывает опыт проверки экзаменационных работ, выпускники при написании сочинения все чаще ограничиваются обращением к тексту произведения на уровне общих рассуждений о его содержании или на уровне пересказа. Г</w:t>
      </w:r>
      <w:r>
        <w:rPr>
          <w:szCs w:val="28"/>
        </w:rPr>
        <w:t xml:space="preserve">лубокий анализ важных для раскрытия темы фрагментов, образов, микротем, деталей и других элементов текста встречается в их сочинениях значительно реже. Недостаточное знание текста произведения приводит к большому количеству фактических ошибок, что также ве</w:t>
      </w:r>
      <w:r>
        <w:rPr>
          <w:szCs w:val="28"/>
        </w:rPr>
        <w:t xml:space="preserve">дет к снижению оценки. Как показывает анализ конкретных работ, трудности в раскрытии темы для многих экзаменуемых начинаются не с написания сочинения или даже его плана, а с понимания формулировки. Выпускники далеко не всегда умеют вчитаться в тему, вычлен</w:t>
      </w:r>
      <w:r>
        <w:rPr>
          <w:szCs w:val="28"/>
        </w:rPr>
        <w:t xml:space="preserve">ить в ней опорные слова, выявить констатирующую часть и затем осмыслить вопрос, ответом на который должна стать главная мысль их работы. Специальных умений требует также работа с формулировкой в форме цитаты, за которой нужно увидеть ключевой проблемный см</w:t>
      </w:r>
      <w:r>
        <w:rPr>
          <w:szCs w:val="28"/>
        </w:rPr>
        <w:t xml:space="preserve">ысл задания и только потом можно начинать строить свой ответ. Поэтому обучение умению понимать и раскрывать тему сочинения (в широком смысле – формулировку любого вопроса, учебного задания) по-прежнему остается значимым аспектом подготовки к экзамену, тем </w:t>
      </w:r>
      <w:r>
        <w:rPr>
          <w:szCs w:val="28"/>
        </w:rPr>
        <w:t xml:space="preserve">более что в данном случае речь идет о метапредметном умении, актуальном для многих учебных предметов. Чтобы избежать типичных ошибок при написании сочинения, в подготовительный период имеет смысл практиковать следующие виды заданий: 1) выявление ключевых с</w:t>
      </w:r>
      <w:r>
        <w:rPr>
          <w:szCs w:val="28"/>
        </w:rPr>
        <w:t xml:space="preserve">лов и опорных понятий в темах сочинений; 2) выявление основной проблемы, которая будет решаться в сочинении; 3) формулирование главной мысли работы (примерный заголовок основной части сочинения); 4) определение двух-трех главных тезисов основной части сочи</w:t>
      </w:r>
      <w:r>
        <w:rPr>
          <w:szCs w:val="28"/>
        </w:rPr>
        <w:t xml:space="preserve">нения и подбор к ним аргументов, примеров из текста и составление микровыводов по каждому тезису; 5) установление соответствия между вступлением к сочинению и заключением к нему, а также редактирование сочинения, где это соответствие не соблюдается. В 2021</w:t>
      </w:r>
      <w:r>
        <w:rPr>
          <w:szCs w:val="28"/>
        </w:rPr>
        <w:t xml:space="preserve"> г. принципиальных изменений в структуре и содержании экзаменационной модели по литературе не предусмотрено. Следует обратить внимание на новую форму одного из заданий с кратким ответом. В задании 7 требуется заполнить пропуски в приведенном тексте соответ</w:t>
      </w:r>
      <w:r>
        <w:rPr>
          <w:szCs w:val="28"/>
        </w:rPr>
        <w:t xml:space="preserve">ствующими терминами или литературными фактами. В бланк ответа необходимо вписать два термина в той же форме и последовательности, что и в тексте. Пример такого задания содержится в проекте демонстрационного варианта ЕГЭ по литературе 2021 г. на сайте ФИПИ.</w:t>
      </w:r>
      <w:r/>
    </w:p>
    <w:p>
      <w:pPr>
        <w:pStyle w:val="943"/>
        <w:numPr>
          <w:ilvl w:val="0"/>
          <w:numId w:val="0"/>
        </w:numPr>
        <w:ind w:left="0" w:firstLine="0"/>
        <w:jc w:val="both"/>
      </w:pPr>
      <w:r>
        <w:rPr>
          <w:rFonts w:ascii="Times New Roman" w:hAnsi="Times New Roman" w:cs="Times New Roman"/>
          <w:szCs w:val="28"/>
          <w:lang w:val="ru-RU"/>
        </w:rPr>
        <w:t xml:space="preserve">4.2. </w:t>
      </w:r>
      <w:r>
        <w:rPr>
          <w:rFonts w:ascii="Times New Roman" w:hAnsi="Times New Roman" w:cs="Times New Roman"/>
          <w:szCs w:val="28"/>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pPr>
      <w:r/>
      <w:r/>
    </w:p>
    <w:p>
      <w:pPr>
        <w:pStyle w:val="940"/>
        <w:ind w:firstLine="708"/>
        <w:jc w:val="both"/>
      </w:pPr>
      <w:r>
        <w:t xml:space="preserve">В целях совершенствования методики преподавания литературы учителям ОО следует усилить практическую направленность уроков, разработав систему индивидуально-групповых разноуровнев</w:t>
      </w:r>
      <w:r>
        <w:t xml:space="preserve">ых заданий по комплексному анализу стихотворного текста, обучению сравнительно-сопоставительному, интертекстуальному анализу текста. Особое внимание на уроках анализа произведения следует уделять использованию терминологии в качестве инструмента аналитичес</w:t>
      </w:r>
      <w:r>
        <w:t xml:space="preserve">кой работы, обучению грамотной (разноплановой) аргументации суждений и тезисов текстом художественного произведения. При планировании уроков в выпускных классах предусмотреть повторительнообобщающие уроки, на которых систематизировать изученный в курсе рус</w:t>
      </w:r>
      <w:r>
        <w:t xml:space="preserve">ской литературы материал (через «сквозные» темы, «сквозные» образы, устойчивые мотивы, архетипы и т.п.). Использовать опыт лучших учителей литературы города и области в проведении методических семинаров, курсов повышения квалификации учителей-словесников. </w:t>
      </w:r>
      <w:r/>
    </w:p>
    <w:p>
      <w:pPr>
        <w:pStyle w:val="940"/>
        <w:ind w:firstLine="708"/>
        <w:jc w:val="both"/>
      </w:pPr>
      <w:r>
        <w:t xml:space="preserve">Возможные направления диагностики учебных достижений по предмету: диагностика умений обучающихся выполнять сравнительно-сопостав</w:t>
      </w:r>
      <w:r>
        <w:t xml:space="preserve">ительный анализ прозаического и стихотворного текста; диагностика умений и навыков аналитической работы с текстом (по разным уровням – характеристика героя, сравнение героев, выявление авторской позиции анализ изобразительно-выразительных средств и т.п.). </w:t>
      </w:r>
      <w:r/>
    </w:p>
    <w:p>
      <w:pPr>
        <w:pStyle w:val="940"/>
        <w:ind w:firstLine="708"/>
        <w:jc w:val="both"/>
      </w:pPr>
      <w:r>
        <w:t xml:space="preserve">- Рекомендовать темы для обсуждения на методических объединениях учителей-предметников: «Система работы у</w:t>
      </w:r>
      <w:r>
        <w:t xml:space="preserve">чителя по подготовке учащихся к выполнению заданий ЕГЭ по литературе», «Требования к написанию полноформатного сочинения на литературную тему», «Обучение сравнительно-сопоставительному анализу художественного произведения на уроках литературы», «Интертекст</w:t>
      </w:r>
      <w:r>
        <w:t xml:space="preserve">уальный анализ художественного текста на уроках литературы», «Система работы по текстоведению на 12 уроках филологической направленности», «Виды анализа литературного произведения на уроках литературы», «Система письменных творческих работ по литературе». </w:t>
      </w:r>
      <w:r/>
    </w:p>
    <w:p>
      <w:pPr>
        <w:pStyle w:val="940"/>
        <w:ind w:firstLine="708"/>
        <w:jc w:val="both"/>
      </w:pPr>
      <w:r>
        <w:t xml:space="preserve">- Рек</w:t>
      </w:r>
      <w:r>
        <w:t xml:space="preserve">омендовать направления для повышения квалификации учителей-словесников: «Виды анализа художественного произведения на уроках литературы», «Создание системы работы учителя по подготовке к письменным творческим работам в среднем и старшем звене», «Организаци</w:t>
      </w:r>
      <w:r>
        <w:t xml:space="preserve">онные формы работы на уроках литературы», «Дифференцированная работа на уроках литературы», «Организация самостоятельной работы обучающихся по анализу художественного текста на уроках литературы», «Специфика выполнения и оценки заданий ЕГЭ по литературе». </w:t>
      </w:r>
      <w:r/>
    </w:p>
    <w:p>
      <w:pPr>
        <w:pStyle w:val="940"/>
        <w:ind w:firstLine="708"/>
        <w:jc w:val="both"/>
      </w:pPr>
      <w:r>
        <w:t xml:space="preserve">- Проводить пробные экзамены для выпускников в 1 и 2 полугодиях с анализом допущенных ошибок. </w:t>
      </w:r>
      <w:r/>
    </w:p>
    <w:p>
      <w:pPr>
        <w:pStyle w:val="940"/>
        <w:ind w:firstLine="708"/>
        <w:jc w:val="both"/>
      </w:pPr>
      <w:r>
        <w:t xml:space="preserve">- </w:t>
      </w:r>
      <w:r>
        <w:t xml:space="preserve">Особое внимание следует уделять методике «медленного» чтения художественного текста с выявлением приемов художественной изобразительности, формированию умения самостоятельно анализировать идейно-художественное содержание литературных произведений: выявлять</w:t>
      </w:r>
      <w:r>
        <w:t xml:space="preserve"> характерологические черты персонажей, мотивацию их поступков, их роль в развитии основного действия, определять тему, идею, проблематику, родо-жанровую специфику произведения. - Следует систематически включать в процесс обучения письменные задания небольш</w:t>
      </w:r>
      <w:r>
        <w:t xml:space="preserve">ого объема, требующие точности мысли и знания фактов. В качестве предложения по возможным направлениям диагностики можно предложить организацию и проведение общерегиональной диагностической работы в формате ЕГЭ за месяц-полтора до основного срока экзамена.</w:t>
      </w:r>
      <w:r/>
    </w:p>
    <w:p>
      <w:pPr>
        <w:pStyle w:val="940"/>
        <w:jc w:val="both"/>
        <w:rPr>
          <w:rFonts w:eastAsia="SimSun;宋体"/>
          <w:b/>
          <w:bCs/>
          <w:sz w:val="28"/>
        </w:rPr>
      </w:pPr>
      <w:r>
        <w:rPr>
          <w:rFonts w:eastAsia="SimSun;宋体"/>
          <w:b/>
          <w:bCs/>
          <w:sz w:val="28"/>
        </w:rPr>
      </w:r>
      <w:r/>
    </w:p>
    <w:p>
      <w:pPr>
        <w:pStyle w:val="940"/>
        <w:jc w:val="both"/>
      </w:pPr>
      <w:r>
        <w:rPr>
          <w:rFonts w:eastAsia="SimSun;宋体"/>
          <w:b/>
          <w:bCs/>
          <w:sz w:val="28"/>
        </w:rPr>
        <w:t xml:space="preserve">4.3. </w:t>
      </w:r>
      <w:r>
        <w:rPr>
          <w:rFonts w:eastAsia="SimSun;宋体"/>
          <w:b/>
          <w:bCs/>
          <w:sz w:val="28"/>
          <w:lang w:val="en-US"/>
        </w:rPr>
        <w:t xml:space="preserve">Адрес размещения на информационных интернет-ресурсах ОИВ (подведомственных учреждений) в неизменном </w:t>
      </w:r>
      <w:r>
        <w:rPr>
          <w:rFonts w:eastAsia="SimSun;宋体"/>
          <w:b/>
          <w:bCs/>
          <w:sz w:val="28"/>
          <w:lang w:val="en-US"/>
        </w:rPr>
        <w:t xml:space="preserve">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p>
    <w:p>
      <w:pPr>
        <w:pStyle w:val="940"/>
      </w:pPr>
      <w:r/>
      <w:r/>
    </w:p>
    <w:p>
      <w:pPr>
        <w:pStyle w:val="940"/>
        <w:rPr>
          <w:sz w:val="28"/>
          <w:szCs w:val="28"/>
        </w:rPr>
      </w:pPr>
      <w:r/>
      <w:hyperlink r:id="rId41"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sz w:val="28"/>
          <w:szCs w:val="28"/>
        </w:rPr>
      </w:pPr>
      <w:r>
        <w:rPr>
          <w:sz w:val="28"/>
          <w:szCs w:val="28"/>
        </w:rPr>
      </w:r>
      <w:r/>
    </w:p>
    <w:p>
      <w:pPr>
        <w:pStyle w:val="940"/>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ind w:left="720" w:firstLine="0"/>
        <w:rPr>
          <w:rFonts w:eastAsia="SimSun;宋体"/>
          <w:b/>
          <w:bCs/>
          <w:sz w:val="28"/>
          <w:lang w:val="en-US"/>
        </w:rPr>
      </w:pPr>
      <w:r>
        <w:rPr>
          <w:rFonts w:eastAsia="SimSun;宋体"/>
          <w:b/>
          <w:bCs/>
          <w:sz w:val="28"/>
          <w:lang w:val="en-US"/>
        </w:rPr>
      </w:r>
      <w:r/>
    </w:p>
    <w:p>
      <w:pPr>
        <w:pStyle w:val="940"/>
        <w:jc w:val="right"/>
        <w:keepNext/>
        <w:spacing w:before="0" w:after="200"/>
        <w:rPr>
          <w:bCs/>
          <w:i/>
          <w:sz w:val="18"/>
          <w:szCs w:val="18"/>
        </w:rPr>
      </w:pPr>
      <w:r>
        <w:rPr>
          <w:bCs/>
          <w:i/>
          <w:sz w:val="18"/>
          <w:szCs w:val="18"/>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2614"/>
        <w:gridCol w:w="3982"/>
        <w:gridCol w:w="2591"/>
      </w:tblGrid>
      <w:tr>
        <w:trPr>
          <w:trHeight w:val="365"/>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участием председат</w:t>
            </w:r>
            <w:r>
              <w:t xml:space="preserve">еля предметной комиссий ЕГЭ по литературе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2.1</w:t>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rPr>
                <w:lang w:eastAsia="en-US"/>
              </w:rPr>
            </w:pPr>
            <w:r>
              <w:rPr>
                <w:lang w:eastAsia="en-US"/>
              </w:rPr>
              <w:t xml:space="preserve">«Анализ отчёта по результатам ЕГЭ 2020» (литература)</w:t>
            </w:r>
            <w:r/>
          </w:p>
        </w:tc>
        <w:tc>
          <w:tcPr>
            <w:tcBorders>
              <w:top w:val="single" w:color="000000" w:sz="4" w:space="0"/>
              <w:left w:val="single" w:color="000000" w:sz="4" w:space="0"/>
              <w:bottom w:val="single" w:color="000000" w:sz="4" w:space="0"/>
            </w:tcBorders>
            <w:tcW w:w="39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литературы</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rPr>
                <w:lang w:eastAsia="en-US"/>
              </w:rPr>
            </w:pPr>
            <w:r>
              <w:rPr>
                <w:lang w:eastAsia="en-US"/>
              </w:rPr>
              <w:t xml:space="preserve">В процессе анализа и обсуждения результатов ЕГЭ – 11 в форма</w:t>
            </w:r>
            <w:r>
              <w:rPr>
                <w:lang w:eastAsia="en-US"/>
              </w:rPr>
              <w:t xml:space="preserve">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литературе особое внимание было уделено анализу выполнения отдельных заданий или групп заданий предмету.</w:t>
            </w:r>
            <w:r/>
          </w:p>
          <w:p>
            <w:pPr>
              <w:pStyle w:val="940"/>
            </w:pPr>
            <w:r>
              <w:t xml:space="preserve">Были выделены и рассмотрены задания, которые вызвали особые затруднения у участников экзамена по литературе.</w:t>
            </w:r>
            <w:r/>
          </w:p>
          <w:p>
            <w:pPr>
              <w:pStyle w:val="940"/>
            </w:pPr>
            <w:r>
              <w:t xml:space="preserve">Определены умения, несформированностью или недостаточной сформированностью которых обусловлено</w:t>
            </w:r>
            <w:r>
              <w:rPr>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литературе.</w:t>
            </w:r>
            <w:r/>
          </w:p>
          <w:p>
            <w:pPr>
              <w:pStyle w:val="940"/>
            </w:pPr>
            <w:r>
              <w:t xml:space="preserve">Разработаны рекомендации по изменению программы повышения квалификации учителей литературы</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65 человек 2 часа, семинар, учителя –предметники, в том числе учителя литературы</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(литература)</w:t>
            </w:r>
            <w:r/>
          </w:p>
        </w:tc>
        <w:tc>
          <w:tcPr>
            <w:tcBorders>
              <w:top w:val="single" w:color="000000" w:sz="4" w:space="0"/>
              <w:left w:val="single" w:color="000000" w:sz="4" w:space="0"/>
              <w:bottom w:val="single" w:color="000000" w:sz="4" w:space="0"/>
            </w:tcBorders>
            <w:tcW w:w="3982" w:type="dxa"/>
            <w:textDirection w:val="lrTb"/>
            <w:noWrap w:val="false"/>
          </w:tcPr>
          <w:p>
            <w:pPr>
              <w:pStyle w:val="940"/>
              <w:jc w:val="both"/>
              <w:spacing w:before="0" w:after="160" w:line="254" w:lineRule="auto"/>
              <w:rPr>
                <w:lang w:eastAsia="en-US"/>
              </w:rPr>
            </w:pPr>
            <w:r>
              <w:rPr>
                <w:lang w:eastAsia="en-US"/>
              </w:rPr>
              <w:t xml:space="preserve">17 человек семинар, члены предметной комиссии, учителя литературы</w:t>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Проведение семинара обеспечило: </w:t>
            </w:r>
            <w:r/>
          </w:p>
          <w:p>
            <w:pPr>
              <w:pStyle w:val="940"/>
              <w:numPr>
                <w:ilvl w:val="0"/>
                <w:numId w:val="41"/>
              </w:numPr>
              <w:ind w:left="34" w:firstLine="0"/>
              <w:spacing w:before="0" w:after="160" w:line="254" w:lineRule="auto"/>
            </w:pPr>
            <w:r>
              <w:t xml:space="preserve">понимание участниками роли ГИА – 11 в контексте общероссийской системы оценки качества образования;</w:t>
            </w:r>
            <w:r/>
          </w:p>
          <w:p>
            <w:pPr>
              <w:pStyle w:val="940"/>
            </w:pPr>
            <w:r>
              <w:t xml:space="preserve">•</w:t>
            </w:r>
            <w: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w:t>
            </w:r>
            <w:r>
              <w:t xml:space="preserve">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литературе;</w:t>
            </w:r>
            <w:r/>
          </w:p>
          <w:p>
            <w:pPr>
              <w:pStyle w:val="940"/>
            </w:pPr>
            <w:r>
              <w:t xml:space="preserve">•</w:t>
            </w:r>
            <w:r>
              <w:tab/>
              <w:t xml:space="preserve">формированию у них представления о структуре и содержании  КИМ по литературе; назначении заданий различного типа (с кратким ответом, с развернутым ответом), принципах и методах их разработки;</w:t>
            </w:r>
            <w:r/>
          </w:p>
          <w:p>
            <w:pPr>
              <w:pStyle w:val="940"/>
            </w:pPr>
            <w:r>
              <w:t xml:space="preserve">а также развитию у участников следующих умений: </w:t>
            </w:r>
            <w:r/>
          </w:p>
          <w:p>
            <w:pPr>
              <w:pStyle w:val="940"/>
            </w:pPr>
            <w:r>
              <w:t xml:space="preserve">‒</w:t>
            </w:r>
            <w: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pPr>
            <w:r>
              <w:t xml:space="preserve">‒</w:t>
            </w:r>
            <w:r>
              <w:tab/>
              <w:t xml:space="preserve">проверять и объективно оценивать ответы выпускников на задания с развернутым ответом;</w:t>
            </w:r>
            <w:r/>
          </w:p>
          <w:p>
            <w:pPr>
              <w:pStyle w:val="940"/>
            </w:pPr>
            <w:r>
              <w:t xml:space="preserve">‒</w:t>
            </w:r>
            <w:r>
              <w:tab/>
              <w:t xml:space="preserve">оформлять результаты проверки, соблюдая установленные технические требования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51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 с учетом предметной концепции и обновленных ФГОС»</w:t>
            </w:r>
            <w:r/>
          </w:p>
        </w:tc>
        <w:tc>
          <w:tcPr>
            <w:tcBorders>
              <w:top w:val="single" w:color="000000" w:sz="4" w:space="0"/>
              <w:left w:val="single" w:color="000000" w:sz="4" w:space="0"/>
              <w:bottom w:val="single" w:color="000000" w:sz="4" w:space="0"/>
            </w:tcBorders>
            <w:tcW w:w="3982" w:type="dxa"/>
            <w:vAlign w:val="center"/>
            <w:textDirection w:val="lrTb"/>
            <w:noWrap w:val="false"/>
          </w:tcPr>
          <w:p>
            <w:pPr>
              <w:pStyle w:val="940"/>
            </w:pPr>
            <w:r>
              <w:t xml:space="preserve">Количество слушателей – 97 человек, в том числе учителя литературы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59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w:t>
            </w:r>
            <w:r>
              <w:t xml:space="preserve">включают вопросы обновления технологий и содержания обучения русскому языку и литературе/ истории/ обществознанию/ географии/ математике/ литературеи астрономии/ химии и др. в соответствии с концепциями преподавания учебных предметов (предметных областей).</w:t>
            </w:r>
            <w:r/>
          </w:p>
        </w:tc>
      </w:tr>
    </w:tbl>
    <w:p>
      <w:pPr>
        <w:pStyle w:val="1400"/>
        <w:contextualSpacing/>
        <w:ind w:left="0" w:right="0" w:firstLine="0"/>
        <w:keepLines/>
        <w:keepNext/>
        <w:spacing w:before="200" w:after="0" w:line="240" w:lineRule="auto"/>
        <w:rPr>
          <w:rFonts w:ascii="Times New Roman" w:hAnsi="Times New Roman" w:cs="Times New Roman" w:eastAsia="SimSun;宋体"/>
          <w:b/>
          <w:bCs/>
          <w:vanish/>
          <w:sz w:val="28"/>
          <w:szCs w:val="24"/>
          <w:lang w:eastAsia="ru-RU"/>
        </w:rPr>
      </w:pPr>
      <w:r>
        <w:rPr>
          <w:rFonts w:ascii="Times New Roman" w:hAnsi="Times New Roman" w:cs="Times New Roman" w:eastAsia="SimSun;宋体"/>
          <w:b/>
          <w:bCs/>
          <w:vanish/>
          <w:sz w:val="28"/>
          <w:szCs w:val="24"/>
          <w:lang w:eastAsia="ru-RU"/>
        </w:rPr>
      </w:r>
      <w:r/>
    </w:p>
    <w:p>
      <w:pPr>
        <w:pStyle w:val="940"/>
        <w:numPr>
          <w:ilvl w:val="1"/>
          <w:numId w:val="37"/>
        </w:numPr>
        <w:keepLines/>
        <w:keepNext/>
        <w:spacing w:before="200" w:after="0"/>
        <w:rPr>
          <w:rFonts w:eastAsia="SimSun;宋体"/>
          <w:b/>
          <w:bCs/>
          <w:sz w:val="28"/>
          <w:lang w:val="en-US"/>
        </w:rPr>
      </w:pPr>
      <w:r>
        <w:rPr>
          <w:rFonts w:eastAsia="SimSun;宋体"/>
          <w:b/>
          <w:bCs/>
          <w:sz w:val="28"/>
          <w:lang w:val="en-US"/>
        </w:rPr>
        <w:t xml:space="preserve">Предложения в дорожную карту на 2021-2022 учебный год</w:t>
      </w:r>
      <w:r/>
    </w:p>
    <w:p>
      <w:pPr>
        <w:pStyle w:val="940"/>
        <w:numPr>
          <w:ilvl w:val="2"/>
          <w:numId w:val="37"/>
        </w:numPr>
        <w:ind w:left="567" w:firstLine="0"/>
        <w:jc w:val="both"/>
        <w:keepLines/>
        <w:keepNext/>
        <w:spacing w:before="200" w:after="0"/>
      </w:pP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Продолжить повышение квалификации учителей литературы по дополнительной профессиональной программе «Обновление содержания и технологий обучения предмету с учетом предметной концепции и новых ФГОС»</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учителей-предметников – не менее 300, в том числе из школ с аномально низкими результатами.</w:t>
            </w:r>
            <w:r/>
          </w:p>
          <w:p>
            <w:pPr>
              <w:pStyle w:val="940"/>
              <w:contextualSpacing/>
              <w:spacing w:before="0" w:after="0"/>
              <w:rPr>
                <w:lang w:eastAsia="en-US"/>
              </w:rPr>
            </w:pPr>
            <w:r>
              <w:rPr>
                <w:lang w:eastAsia="en-US"/>
              </w:rPr>
              <w:t xml:space="preserve">Критерии отбора:</w:t>
            </w:r>
            <w:r/>
          </w:p>
          <w:p>
            <w:pPr>
              <w:pStyle w:val="940"/>
              <w:contextualSpacing/>
              <w:spacing w:before="0" w:after="0"/>
              <w:rPr>
                <w:lang w:eastAsia="en-US"/>
              </w:rPr>
            </w:pPr>
            <w:r>
              <w:rPr>
                <w:lang w:eastAsia="en-US"/>
              </w:rPr>
              <w:t xml:space="preserve">- результаты ГИА обучающихся ниже среднего по региону;</w:t>
            </w:r>
            <w:r/>
          </w:p>
          <w:p>
            <w:pPr>
              <w:pStyle w:val="940"/>
              <w:contextualSpacing/>
              <w:spacing w:before="0" w:after="0"/>
              <w:rPr>
                <w:lang w:eastAsia="en-US"/>
              </w:rPr>
            </w:pPr>
            <w:r>
              <w:rPr>
                <w:lang w:eastAsia="en-US"/>
              </w:rPr>
              <w:t xml:space="preserve">- профессиональные дефициты по теме ДПП. </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2. </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Направить учителей литературы на курсы повышения квалификации, проводимые ФГАОУ ДПО «Академия Минпросвещения России» в рамках НП «Современная школа»</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spacing w:before="0" w:after="0"/>
              <w:rPr>
                <w:lang w:eastAsia="en-US"/>
              </w:rPr>
            </w:pPr>
            <w:r>
              <w:rPr>
                <w:lang w:eastAsia="en-US"/>
              </w:rPr>
              <w:t xml:space="preserve">Количество – в соответствии с квотой на обучение учителей предметников Астраханской области, в том числе из школ с аномально низкими результатами.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3.1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3.4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Оказание помощи в разработке программ развития с учетом проблем, выявленных в конкретной ОО</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numPr>
          <w:ilvl w:val="2"/>
          <w:numId w:val="37"/>
        </w:numPr>
        <w:ind w:left="567" w:firstLine="0"/>
        <w:jc w:val="both"/>
        <w:keepLines/>
        <w:keepNext/>
        <w:spacing w:before="200" w:after="0"/>
      </w:pP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3"/>
        <w:gridCol w:w="799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открытых заседаний предметных секций регионального уче</w:t>
            </w:r>
            <w:r>
              <w:t xml:space="preserve">бно-методического объединения с участием председателя предметной комиссий ЕГЭ по литературе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p>
            <w:pPr>
              <w:pStyle w:val="940"/>
              <w:jc w:val="both"/>
              <w:rPr>
                <w:lang w:eastAsia="en-US"/>
              </w:rPr>
            </w:pPr>
            <w:r>
              <w:rPr>
                <w:lang w:eastAsia="en-US"/>
              </w:rPr>
              <w:t xml:space="preserve">(рабочее название)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Обновление содержания обучения литературе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bl>
    <w:p>
      <w:pPr>
        <w:pStyle w:val="940"/>
        <w:keepNext/>
        <w:spacing w:before="0" w:after="200"/>
        <w:rPr>
          <w:bCs/>
          <w:sz w:val="18"/>
          <w:szCs w:val="18"/>
        </w:rPr>
      </w:pPr>
      <w:r>
        <w:rPr>
          <w:bCs/>
          <w:sz w:val="18"/>
          <w:szCs w:val="18"/>
        </w:rPr>
      </w:r>
      <w:r/>
    </w:p>
    <w:p>
      <w:pPr>
        <w:pStyle w:val="940"/>
        <w:numPr>
          <w:ilvl w:val="2"/>
          <w:numId w:val="37"/>
        </w:numPr>
        <w:ind w:left="567" w:firstLine="0"/>
        <w:keepLines/>
        <w:keepNext/>
        <w:spacing w:before="200" w:after="0"/>
        <w:rPr>
          <w:rFonts w:eastAsia="SimSun;宋体"/>
          <w:bCs/>
          <w:sz w:val="28"/>
          <w:lang w:val="en-US"/>
        </w:rPr>
      </w:pP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pPr>
      <w:r>
        <w:rPr>
          <w:lang w:val="en-US"/>
        </w:rPr>
        <w:t xml:space="preserve">Не планируются</w:t>
      </w:r>
      <w:r>
        <w:t xml:space="preserve">.</w:t>
      </w:r>
      <w:r/>
    </w:p>
    <w:p>
      <w:pPr>
        <w:pStyle w:val="940"/>
        <w:numPr>
          <w:ilvl w:val="2"/>
          <w:numId w:val="37"/>
        </w:numPr>
        <w:ind w:left="567" w:firstLine="0"/>
        <w:keepLines/>
        <w:keepNext/>
        <w:spacing w:before="200" w:after="0"/>
        <w:rPr>
          <w:rFonts w:eastAsia="SimSun;宋体"/>
          <w:bCs/>
          <w:sz w:val="28"/>
          <w:lang w:val="en-US"/>
        </w:rPr>
      </w:pP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rPr>
      </w:pPr>
      <w:r>
        <w:rPr>
          <w:bCs/>
          <w:i/>
          <w:sz w:val="18"/>
          <w:szCs w:val="18"/>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13"/>
        <w:gridCol w:w="803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октябрь-декабрь 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литературе,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Выступления учителей литературы,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литературы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1 раз в квартал</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Трудные вопросы ЕГЭ по литературе «А я делаю так»: из опыта работы</w:t>
            </w:r>
            <w:r/>
          </w:p>
        </w:tc>
      </w:tr>
    </w:tbl>
    <w:p>
      <w:pPr>
        <w:pStyle w:val="940"/>
        <w:keepNext/>
        <w:spacing w:before="0" w:after="200"/>
        <w:rPr>
          <w:bCs/>
          <w:sz w:val="18"/>
          <w:szCs w:val="18"/>
        </w:rPr>
      </w:pPr>
      <w:r>
        <w:rPr>
          <w:bCs/>
          <w:sz w:val="18"/>
          <w:szCs w:val="18"/>
        </w:rPr>
      </w:r>
      <w:r/>
    </w:p>
    <w:p>
      <w:pPr>
        <w:pStyle w:val="940"/>
        <w:numPr>
          <w:ilvl w:val="2"/>
          <w:numId w:val="37"/>
        </w:numPr>
        <w:ind w:left="567" w:firstLine="0"/>
        <w:keepLines/>
        <w:keepNext/>
        <w:spacing w:before="200" w:after="0"/>
        <w:rPr>
          <w:rFonts w:eastAsia="SimSun;宋体"/>
          <w:bCs/>
          <w:sz w:val="28"/>
          <w:lang w:val="en-US"/>
        </w:rPr>
      </w:pPr>
      <w:r>
        <w:rPr>
          <w:rFonts w:eastAsia="SimSun;宋体"/>
          <w:bCs/>
          <w:sz w:val="28"/>
          <w:lang w:val="en-US"/>
        </w:rPr>
        <w:t xml:space="preserve">Работа по другим направлениям</w:t>
      </w:r>
      <w:r/>
    </w:p>
    <w:p>
      <w:pPr>
        <w:pStyle w:val="940"/>
        <w:jc w:val="both"/>
        <w:keepLines/>
        <w:keepNext/>
        <w:rPr>
          <w:rFonts w:eastAsia="SimSun;宋体"/>
          <w:bCs/>
        </w:rPr>
      </w:pPr>
      <w:r>
        <w:rPr>
          <w:rFonts w:eastAsia="SimSun;宋体"/>
          <w:bCs/>
        </w:rPr>
      </w:r>
      <w:r/>
    </w:p>
    <w:p>
      <w:pPr>
        <w:pStyle w:val="940"/>
        <w:ind w:firstLine="708"/>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pPr>
      <w:r>
        <w:rPr>
          <w:sz w:val="28"/>
          <w:szCs w:val="28"/>
        </w:rPr>
        <w:t xml:space="preserve">по предмету «Литература»</w:t>
      </w:r>
      <w:r/>
    </w:p>
    <w:p>
      <w:pPr>
        <w:pStyle w:val="940"/>
        <w:ind w:right="-1" w:firstLine="708"/>
        <w:jc w:val="both"/>
        <w:spacing w:line="360" w:lineRule="auto"/>
        <w:rPr>
          <w:sz w:val="28"/>
          <w:szCs w:val="28"/>
        </w:rPr>
      </w:pPr>
      <w:r>
        <w:rPr>
          <w:sz w:val="28"/>
          <w:szCs w:val="28"/>
        </w:rPr>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63"/>
        <w:gridCol w:w="2976"/>
        <w:gridCol w:w="3224"/>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2976"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2976" w:type="dxa"/>
            <w:textDirection w:val="lrTb"/>
            <w:noWrap w:val="false"/>
          </w:tcPr>
          <w:p>
            <w:pPr>
              <w:pStyle w:val="940"/>
            </w:pPr>
            <w:r>
              <w:rPr>
                <w:iCs/>
              </w:rPr>
              <w:t xml:space="preserve">Артамонова Ирина Николаевна, МБОУ                     г. Астрахани «Гимназия № 4», учитель русского языка и литературы</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t xml:space="preserve">Учебный предмет </w:t>
            </w:r>
            <w:r/>
          </w:p>
          <w:p>
            <w:pPr>
              <w:pStyle w:val="940"/>
              <w:jc w:val="both"/>
              <w:rPr>
                <w:iCs/>
              </w:rPr>
            </w:pPr>
            <w:r>
              <w:rPr>
                <w:iCs/>
              </w:rPr>
              <w:t xml:space="preserve">«Литература»</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2976"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pPr>
            <w:r>
              <w:rPr>
                <w:iCs/>
              </w:rPr>
              <w:t xml:space="preserve">Председатель УМО                   </w:t>
            </w:r>
            <w:r/>
          </w:p>
          <w:p>
            <w:pPr>
              <w:pStyle w:val="940"/>
              <w:jc w:val="both"/>
              <w:rPr>
                <w:iCs/>
              </w:rPr>
            </w:pPr>
            <w:r>
              <w:rPr>
                <w:iCs/>
              </w:rPr>
              <w:t xml:space="preserve">по литературе  </w:t>
            </w:r>
            <w:r/>
          </w:p>
        </w:tc>
        <w:tc>
          <w:tcPr>
            <w:tcBorders>
              <w:top w:val="single" w:color="000000" w:sz="4" w:space="0"/>
              <w:left w:val="single" w:color="000000" w:sz="4" w:space="0"/>
              <w:bottom w:val="single" w:color="000000" w:sz="4" w:space="0"/>
            </w:tcBorders>
            <w:tcW w:w="2976" w:type="dxa"/>
            <w:textDirection w:val="lrTb"/>
            <w:noWrap w:val="false"/>
          </w:tcPr>
          <w:p>
            <w:pPr>
              <w:pStyle w:val="940"/>
            </w:pPr>
            <w:r>
              <w:rPr>
                <w:iCs/>
              </w:rPr>
              <w:t xml:space="preserve">Лазарева Людмила Мухединовна, МБОУ                   г. Астрахани «Гимназия № 3», учитель русского языка и литературы</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Ли Ирина Георгиевна,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начальник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5.</w:t>
            </w:r>
            <w:r/>
          </w:p>
        </w:tc>
        <w:tc>
          <w:tcPr>
            <w:tcBorders>
              <w:top w:val="single" w:color="000000" w:sz="4" w:space="0"/>
              <w:left w:val="single" w:color="000000" w:sz="4" w:space="0"/>
              <w:bottom w:val="single" w:color="000000" w:sz="4" w:space="0"/>
            </w:tcBorders>
            <w:tcW w:w="3063"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76"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24" w:type="dxa"/>
            <w:textDirection w:val="lrTb"/>
            <w:noWrap w:val="false"/>
          </w:tcPr>
          <w:p>
            <w:pPr>
              <w:pStyle w:val="940"/>
              <w:jc w:val="both"/>
              <w:rPr>
                <w:iCs/>
              </w:rPr>
            </w:pPr>
            <w:r>
              <w:rPr>
                <w:iCs/>
              </w:rPr>
            </w:r>
            <w:r/>
          </w:p>
        </w:tc>
      </w:tr>
    </w:tbl>
    <w:p>
      <w:pPr>
        <w:pStyle w:val="940"/>
        <w:jc w:val="both"/>
        <w:keepLines/>
        <w:keepNext/>
        <w:rPr>
          <w:rFonts w:eastAsia="SimSun;宋体"/>
          <w:bCs/>
          <w:iCs/>
          <w:sz w:val="28"/>
          <w:szCs w:val="22"/>
          <w:lang w:val="en-US"/>
        </w:rPr>
      </w:pPr>
      <w:r>
        <w:rPr>
          <w:rFonts w:eastAsia="SimSun;宋体"/>
          <w:bCs/>
          <w:iCs/>
          <w:sz w:val="28"/>
          <w:szCs w:val="22"/>
          <w:lang w:val="en-US"/>
        </w:rPr>
      </w:r>
      <w:r/>
    </w:p>
    <w:p>
      <w:pPr>
        <w:pStyle w:val="940"/>
        <w:rPr>
          <w:rFonts w:eastAsia="SimSun;宋体"/>
          <w:bCs/>
          <w:iCs/>
          <w:sz w:val="28"/>
          <w:szCs w:val="22"/>
          <w:lang w:val="en-US"/>
        </w:rPr>
      </w:pPr>
      <w:r>
        <w:rPr>
          <w:rFonts w:eastAsia="SimSun;宋体"/>
          <w:bCs/>
          <w:iCs/>
          <w:sz w:val="28"/>
          <w:szCs w:val="22"/>
          <w:lang w:val="en-US"/>
        </w:rPr>
      </w:r>
      <w:r/>
    </w:p>
    <w:p>
      <w:pPr>
        <w:pStyle w:val="940"/>
        <w:keepLines/>
        <w:keepNext/>
        <w:spacing w:before="480" w:after="0"/>
        <w:rPr>
          <w:rFonts w:eastAsia="SimSun;宋体"/>
          <w:b/>
          <w:bCs/>
          <w:iCs/>
          <w:sz w:val="28"/>
          <w:szCs w:val="28"/>
          <w:lang w:val="en-US"/>
        </w:rPr>
      </w:pPr>
      <w:r>
        <w:rPr>
          <w:rFonts w:eastAsia="SimSun;宋体"/>
          <w:b/>
          <w:bCs/>
          <w:iCs/>
          <w:sz w:val="28"/>
          <w:szCs w:val="28"/>
          <w:lang w:val="en-US"/>
        </w:rPr>
      </w:r>
      <w:r/>
    </w:p>
    <w:p>
      <w:pPr>
        <w:pStyle w:val="940"/>
        <w:rPr>
          <w:rFonts w:eastAsia="SimSun;宋体"/>
          <w:b/>
          <w:bCs/>
          <w:sz w:val="28"/>
          <w:szCs w:val="28"/>
          <w:lang w:val="en-US"/>
        </w:rPr>
      </w:pPr>
      <w:r>
        <w:rPr>
          <w:rFonts w:eastAsia="SimSun;宋体"/>
          <w:b/>
          <w:bCs/>
          <w:sz w:val="28"/>
          <w:szCs w:val="28"/>
          <w:lang w:val="en-US"/>
        </w:rPr>
      </w:r>
      <w:r/>
    </w:p>
    <w:p>
      <w:pPr>
        <w:pStyle w:val="940"/>
        <w:rPr>
          <w:rFonts w:eastAsia="SimSun;宋体"/>
          <w:b/>
          <w:bCs/>
          <w:sz w:val="28"/>
          <w:szCs w:val="28"/>
          <w:lang w:val="en-US"/>
        </w:rPr>
      </w:pPr>
      <w:r>
        <w:rPr>
          <w:rFonts w:eastAsia="SimSun;宋体"/>
          <w:b/>
          <w:bCs/>
          <w:sz w:val="28"/>
          <w:szCs w:val="28"/>
          <w:lang w:val="en-US"/>
        </w:rPr>
      </w:r>
      <w:r>
        <w:br w:type="page"/>
      </w:r>
      <w:r/>
    </w:p>
    <w:p>
      <w:pPr>
        <w:pStyle w:val="940"/>
        <w:jc w:val="center"/>
      </w:pPr>
      <w:r>
        <w:rPr>
          <w:rFonts w:eastAsia="SimSun;宋体"/>
          <w:b/>
          <w:bCs/>
          <w:sz w:val="28"/>
          <w:szCs w:val="28"/>
          <w:lang w:val="en-US"/>
        </w:rPr>
        <w:t xml:space="preserve">Методический анализ результатов ЕГЭ</w:t>
        <w:br/>
      </w:r>
      <w:r>
        <w:rPr>
          <w:rFonts w:eastAsia="SimSun;宋体"/>
          <w:b/>
          <w:bCs/>
          <w:sz w:val="20"/>
          <w:szCs w:val="20"/>
          <w:lang w:val="en-US"/>
        </w:rPr>
        <w:br/>
      </w:r>
      <w:r>
        <w:rPr>
          <w:rFonts w:eastAsia="SimSun;宋体"/>
          <w:b/>
          <w:bCs/>
          <w:sz w:val="32"/>
          <w:szCs w:val="28"/>
          <w:lang w:val="en-US"/>
        </w:rPr>
        <w:t xml:space="preserve">по </w:t>
      </w:r>
      <w:r>
        <w:rPr>
          <w:rFonts w:eastAsia="SimSun;宋体"/>
          <w:b/>
          <w:bCs/>
          <w:sz w:val="32"/>
          <w:szCs w:val="28"/>
          <w:u w:val="single"/>
        </w:rPr>
        <w:t xml:space="preserve">Информатике и ИКТ</w:t>
      </w:r>
      <w:r>
        <w:rPr>
          <w:rFonts w:eastAsia="SimSun;宋体"/>
          <w:b/>
          <w:bCs/>
          <w:sz w:val="32"/>
          <w:szCs w:val="28"/>
          <w:lang w:val="en-US"/>
        </w:rPr>
        <w:br/>
      </w:r>
      <w:r>
        <w:rPr>
          <w:rFonts w:eastAsia="SimSun;宋体"/>
          <w:b/>
          <w:bCs/>
          <w:szCs w:val="22"/>
        </w:rPr>
        <w:t xml:space="preserve">       </w:t>
      </w:r>
      <w:r>
        <w:rPr>
          <w:rFonts w:eastAsia="SimSun;宋体"/>
          <w:b/>
          <w:bCs/>
          <w:szCs w:val="22"/>
          <w:lang w:val="en-US"/>
        </w:rPr>
        <w:t xml:space="preserve">(учебный предмет)</w:t>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1. ХАРАКТЕРИСТИКА УЧАСТНИКОВ ЕГЭ</w:t>
        <w:br/>
        <w:t xml:space="preserve"> ПО УЧЕБНОМУ ПРЕДМЕТУ</w:t>
      </w:r>
      <w:r/>
    </w:p>
    <w:p>
      <w:pPr>
        <w:pStyle w:val="940"/>
        <w:numPr>
          <w:ilvl w:val="1"/>
          <w:numId w:val="47"/>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учебному предмету (за 3 года)</w:t>
      </w:r>
      <w:r/>
    </w:p>
    <w:p>
      <w:pPr>
        <w:pStyle w:val="940"/>
        <w:jc w:val="right"/>
        <w:keepNext/>
        <w:spacing w:before="0" w:after="200"/>
        <w:rPr>
          <w:bCs/>
          <w:i/>
          <w:sz w:val="18"/>
          <w:szCs w:val="18"/>
        </w:rPr>
      </w:pPr>
      <w:r>
        <w:rPr>
          <w:bCs/>
          <w:i/>
          <w:sz w:val="18"/>
          <w:szCs w:val="18"/>
        </w:rPr>
        <w:t xml:space="preserve">Таблица 2-1</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204"/>
        <w:gridCol w:w="1594"/>
        <w:gridCol w:w="1598"/>
        <w:gridCol w:w="1596"/>
        <w:gridCol w:w="1596"/>
        <w:gridCol w:w="2071"/>
      </w:tblGrid>
      <w:tr>
        <w:trPr/>
        <w:tc>
          <w:tcPr>
            <w:gridSpan w:val="2"/>
            <w:tcBorders>
              <w:top w:val="single" w:color="000000" w:sz="4" w:space="0"/>
              <w:left w:val="single" w:color="000000" w:sz="4" w:space="0"/>
              <w:bottom w:val="single" w:color="000000" w:sz="4" w:space="0"/>
            </w:tcBorders>
            <w:tcW w:w="2798"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19</w:t>
            </w:r>
            <w:r/>
          </w:p>
        </w:tc>
        <w:tc>
          <w:tcPr>
            <w:gridSpan w:val="2"/>
            <w:tcBorders>
              <w:top w:val="single" w:color="000000" w:sz="4" w:space="0"/>
              <w:left w:val="single" w:color="000000" w:sz="4" w:space="0"/>
              <w:bottom w:val="single" w:color="000000" w:sz="4" w:space="0"/>
            </w:tcBorders>
            <w:tcW w:w="3194" w:type="dxa"/>
            <w:textDirection w:val="lrTb"/>
            <w:noWrap w:val="false"/>
          </w:tcPr>
          <w:p>
            <w:pPr>
              <w:pStyle w:val="940"/>
              <w:jc w:val="center"/>
              <w:tabs>
                <w:tab w:val="clear" w:pos="708" w:leader="none"/>
                <w:tab w:val="left" w:pos="10320" w:leader="none"/>
              </w:tabs>
            </w:pPr>
            <w:r>
              <w:rPr>
                <w:b/>
                <w:lang w:val="en-US" w:eastAsia="en-US"/>
              </w:rPr>
              <w:t xml:space="preserve">20</w:t>
            </w:r>
            <w:r>
              <w:rPr>
                <w:b/>
                <w:lang w:val="en-US" w:eastAsia="en-US"/>
              </w:rPr>
              <w:t xml:space="preserve">20</w:t>
            </w:r>
            <w:r/>
          </w:p>
        </w:tc>
        <w:tc>
          <w:tcPr>
            <w:gridSpan w:val="2"/>
            <w:tcBorders>
              <w:top w:val="single" w:color="000000" w:sz="4" w:space="0"/>
              <w:left w:val="single" w:color="000000" w:sz="4" w:space="0"/>
              <w:bottom w:val="single" w:color="000000" w:sz="4" w:space="0"/>
              <w:right w:val="single" w:color="000000" w:sz="4" w:space="0"/>
            </w:tcBorders>
            <w:tcW w:w="3667" w:type="dxa"/>
            <w:textDirection w:val="lrTb"/>
            <w:noWrap w:val="false"/>
          </w:tcPr>
          <w:p>
            <w:pPr>
              <w:pStyle w:val="940"/>
              <w:jc w:val="center"/>
              <w:tabs>
                <w:tab w:val="clear" w:pos="708" w:leader="none"/>
                <w:tab w:val="left" w:pos="10320" w:leader="none"/>
              </w:tabs>
            </w:pPr>
            <w:r>
              <w:rPr>
                <w:b/>
                <w:lang w:val="en-US" w:eastAsia="en-US"/>
              </w:rPr>
              <w:t xml:space="preserve">202</w:t>
            </w:r>
            <w:r>
              <w:rPr>
                <w:b/>
                <w:lang w:val="en-US" w:eastAsia="en-US"/>
              </w:rPr>
              <w:t xml:space="preserve">1</w:t>
            </w:r>
            <w:r/>
          </w:p>
        </w:tc>
      </w:tr>
      <w:tr>
        <w:trPr/>
        <w:tc>
          <w:tcPr>
            <w:tcBorders>
              <w:top w:val="single" w:color="000000" w:sz="4" w:space="0"/>
              <w:left w:val="single" w:color="000000" w:sz="4" w:space="0"/>
              <w:bottom w:val="single" w:color="000000" w:sz="4" w:space="0"/>
            </w:tcBorders>
            <w:tcW w:w="120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94"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15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15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071"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204" w:type="dxa"/>
            <w:textDirection w:val="lrTb"/>
            <w:noWrap w:val="false"/>
          </w:tcPr>
          <w:p>
            <w:pPr>
              <w:pStyle w:val="940"/>
              <w:ind w:right="-1" w:firstLine="0"/>
              <w:jc w:val="center"/>
              <w:spacing w:before="0" w:after="160" w:line="254" w:lineRule="auto"/>
              <w:rPr>
                <w:lang w:eastAsia="en-US"/>
              </w:rPr>
            </w:pPr>
            <w:r>
              <w:rPr>
                <w:lang w:eastAsia="en-US"/>
              </w:rPr>
              <w:t xml:space="preserve">439</w:t>
            </w:r>
            <w:r/>
          </w:p>
        </w:tc>
        <w:tc>
          <w:tcPr>
            <w:tcBorders>
              <w:top w:val="single" w:color="000000" w:sz="4" w:space="0"/>
              <w:left w:val="single" w:color="000000" w:sz="4" w:space="0"/>
              <w:bottom w:val="single" w:color="000000" w:sz="4" w:space="0"/>
            </w:tcBorders>
            <w:tcW w:w="1594" w:type="dxa"/>
            <w:textDirection w:val="lrTb"/>
            <w:noWrap w:val="false"/>
          </w:tcPr>
          <w:p>
            <w:pPr>
              <w:pStyle w:val="940"/>
              <w:ind w:right="-1" w:firstLine="0"/>
              <w:jc w:val="center"/>
              <w:spacing w:before="0" w:after="160" w:line="254" w:lineRule="auto"/>
              <w:rPr>
                <w:lang w:eastAsia="en-US"/>
              </w:rPr>
            </w:pPr>
            <w:r>
              <w:rPr>
                <w:lang w:eastAsia="en-US"/>
              </w:rPr>
              <w:t xml:space="preserve">10,2</w:t>
            </w:r>
            <w:r/>
          </w:p>
        </w:tc>
        <w:tc>
          <w:tcPr>
            <w:tcBorders>
              <w:top w:val="single" w:color="000000" w:sz="4" w:space="0"/>
              <w:left w:val="single" w:color="000000" w:sz="4" w:space="0"/>
              <w:bottom w:val="single" w:color="000000" w:sz="4" w:space="0"/>
            </w:tcBorders>
            <w:tcW w:w="1598" w:type="dxa"/>
            <w:vAlign w:val="bottom"/>
            <w:textDirection w:val="lrTb"/>
            <w:noWrap w:val="false"/>
          </w:tcPr>
          <w:p>
            <w:pPr>
              <w:pStyle w:val="940"/>
              <w:jc w:val="center"/>
            </w:pPr>
            <w:r>
              <w:t xml:space="preserve">443</w:t>
            </w:r>
            <w:r/>
          </w:p>
        </w:tc>
        <w:tc>
          <w:tcPr>
            <w:tcBorders>
              <w:top w:val="single" w:color="000000" w:sz="4" w:space="0"/>
              <w:left w:val="single" w:color="000000" w:sz="4" w:space="0"/>
              <w:bottom w:val="single" w:color="000000" w:sz="4" w:space="0"/>
            </w:tcBorders>
            <w:tcW w:w="1596" w:type="dxa"/>
            <w:vAlign w:val="bottom"/>
            <w:textDirection w:val="lrTb"/>
            <w:noWrap w:val="false"/>
          </w:tcPr>
          <w:p>
            <w:pPr>
              <w:pStyle w:val="940"/>
              <w:jc w:val="center"/>
            </w:pPr>
            <w:r>
              <w:t xml:space="preserve">10,9</w:t>
            </w:r>
            <w:r/>
          </w:p>
        </w:tc>
        <w:tc>
          <w:tcPr>
            <w:tcBorders>
              <w:top w:val="single" w:color="000000" w:sz="4" w:space="0"/>
              <w:left w:val="single" w:color="000000" w:sz="4" w:space="0"/>
              <w:bottom w:val="single" w:color="000000" w:sz="4" w:space="0"/>
            </w:tcBorders>
            <w:tcW w:w="1596" w:type="dxa"/>
            <w:vAlign w:val="bottom"/>
            <w:textDirection w:val="lrTb"/>
            <w:noWrap w:val="false"/>
          </w:tcPr>
          <w:p>
            <w:pPr>
              <w:pStyle w:val="940"/>
              <w:jc w:val="center"/>
            </w:pPr>
            <w:r>
              <w:t xml:space="preserve">515</w:t>
            </w:r>
            <w:r/>
          </w:p>
        </w:tc>
        <w:tc>
          <w:tcPr>
            <w:tcBorders>
              <w:top w:val="single" w:color="000000" w:sz="4" w:space="0"/>
              <w:left w:val="single" w:color="000000" w:sz="4" w:space="0"/>
              <w:bottom w:val="single" w:color="000000" w:sz="4" w:space="0"/>
              <w:right w:val="single" w:color="000000" w:sz="4" w:space="0"/>
            </w:tcBorders>
            <w:tcW w:w="2071" w:type="dxa"/>
            <w:vAlign w:val="bottom"/>
            <w:textDirection w:val="lrTb"/>
            <w:noWrap w:val="false"/>
          </w:tcPr>
          <w:p>
            <w:pPr>
              <w:pStyle w:val="940"/>
              <w:jc w:val="center"/>
            </w:pPr>
            <w:r>
              <w:t xml:space="preserve">12,6</w:t>
            </w:r>
            <w:r/>
          </w:p>
        </w:tc>
      </w:tr>
    </w:tbl>
    <w:p>
      <w:pPr>
        <w:pStyle w:val="940"/>
        <w:contextualSpacing/>
        <w:spacing w:before="0" w:after="0"/>
        <w:rPr>
          <w:lang w:eastAsia="en-US"/>
        </w:rPr>
      </w:pPr>
      <w:r>
        <w:rPr>
          <w:lang w:eastAsia="en-US"/>
        </w:rPr>
      </w:r>
      <w:r/>
    </w:p>
    <w:p>
      <w:pPr>
        <w:pStyle w:val="940"/>
        <w:numPr>
          <w:ilvl w:val="1"/>
          <w:numId w:val="47"/>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Процентное соотношение юношей и девушек, участвующих в ЕГЭ</w:t>
      </w:r>
      <w:r/>
    </w:p>
    <w:p>
      <w:pPr>
        <w:pStyle w:val="940"/>
        <w:jc w:val="right"/>
        <w:keepNext/>
        <w:spacing w:before="0" w:after="200"/>
        <w:rPr>
          <w:bCs/>
          <w:i/>
          <w:sz w:val="18"/>
          <w:szCs w:val="18"/>
        </w:rPr>
      </w:pPr>
      <w:r>
        <w:rPr>
          <w:bCs/>
          <w:i/>
          <w:sz w:val="18"/>
          <w:szCs w:val="18"/>
        </w:rPr>
        <w:t xml:space="preserve">Таблица 2-2</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138"/>
        <w:gridCol w:w="698"/>
        <w:gridCol w:w="2096"/>
        <w:gridCol w:w="700"/>
        <w:gridCol w:w="2096"/>
        <w:gridCol w:w="698"/>
        <w:gridCol w:w="2233"/>
      </w:tblGrid>
      <w:tr>
        <w:trPr/>
        <w:tc>
          <w:tcPr>
            <w:tcBorders>
              <w:top w:val="single" w:color="000000" w:sz="4" w:space="0"/>
              <w:left w:val="single" w:color="000000" w:sz="4" w:space="0"/>
              <w:bottom w:val="single" w:color="000000" w:sz="4" w:space="0"/>
            </w:tcBorders>
            <w:tcW w:w="1138" w:type="dxa"/>
            <w:vAlign w:val="center"/>
            <w:vMerge w:val="restart"/>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Пол</w:t>
            </w:r>
            <w:r/>
          </w:p>
        </w:tc>
        <w:tc>
          <w:tcPr>
            <w:gridSpan w:val="2"/>
            <w:tcBorders>
              <w:top w:val="single" w:color="000000" w:sz="4" w:space="0"/>
              <w:left w:val="single" w:color="000000" w:sz="4" w:space="0"/>
              <w:bottom w:val="single" w:color="000000" w:sz="4" w:space="0"/>
            </w:tcBorders>
            <w:tcW w:w="2794"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2019</w:t>
            </w:r>
            <w:r/>
          </w:p>
        </w:tc>
        <w:tc>
          <w:tcPr>
            <w:gridSpan w:val="2"/>
            <w:tcBorders>
              <w:top w:val="single" w:color="000000" w:sz="4" w:space="0"/>
              <w:left w:val="single" w:color="000000" w:sz="4" w:space="0"/>
              <w:bottom w:val="single" w:color="000000" w:sz="4" w:space="0"/>
            </w:tcBorders>
            <w:tcW w:w="2796"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2020</w:t>
            </w:r>
            <w:r/>
          </w:p>
        </w:tc>
        <w:tc>
          <w:tcPr>
            <w:gridSpan w:val="2"/>
            <w:tcBorders>
              <w:top w:val="single" w:color="000000" w:sz="4" w:space="0"/>
              <w:left w:val="single" w:color="000000" w:sz="4" w:space="0"/>
              <w:bottom w:val="single" w:color="000000" w:sz="4" w:space="0"/>
              <w:right w:val="single" w:color="000000" w:sz="4" w:space="0"/>
            </w:tcBorders>
            <w:tcW w:w="2931" w:type="dxa"/>
            <w:textDirection w:val="lrTb"/>
            <w:noWrap w:val="false"/>
          </w:tcPr>
          <w:p>
            <w:pPr>
              <w:pStyle w:val="940"/>
              <w:jc w:val="center"/>
              <w:tabs>
                <w:tab w:val="clear" w:pos="708" w:leader="none"/>
                <w:tab w:val="left" w:pos="10320" w:leader="none"/>
              </w:tabs>
              <w:rPr>
                <w:b/>
                <w:lang w:val="en-US" w:eastAsia="en-US"/>
              </w:rPr>
            </w:pPr>
            <w:r>
              <w:rPr>
                <w:b/>
                <w:lang w:val="en-US" w:eastAsia="en-US"/>
              </w:rPr>
              <w:t xml:space="preserve">2021</w:t>
            </w:r>
            <w:r/>
          </w:p>
        </w:tc>
      </w:tr>
      <w:tr>
        <w:trPr/>
        <w:tc>
          <w:tcPr>
            <w:tcBorders>
              <w:top w:val="single" w:color="000000" w:sz="4" w:space="0"/>
              <w:left w:val="single" w:color="000000" w:sz="4" w:space="0"/>
              <w:bottom w:val="single" w:color="000000" w:sz="4" w:space="0"/>
            </w:tcBorders>
            <w:tcW w:w="1138" w:type="dxa"/>
            <w:vAlign w:val="center"/>
            <w:vMerge w:val="continue"/>
            <w:textDirection w:val="lrTb"/>
            <w:noWrap w:val="false"/>
          </w:tcPr>
          <w:p>
            <w:pPr>
              <w:pStyle w:val="940"/>
              <w:tabs>
                <w:tab w:val="clear" w:pos="708" w:leader="none"/>
                <w:tab w:val="left" w:pos="10320" w:leader="none"/>
              </w:tabs>
              <w:rPr>
                <w:b/>
                <w:lang w:val="en-US" w:eastAsia="en-US"/>
              </w:rPr>
            </w:pPr>
            <w:r>
              <w:rPr>
                <w:b/>
                <w:lang w:val="en-US" w:eastAsia="en-US"/>
              </w:rPr>
            </w:r>
            <w:r/>
          </w:p>
        </w:tc>
        <w:tc>
          <w:tcPr>
            <w:tcBorders>
              <w:top w:val="single" w:color="000000" w:sz="4" w:space="0"/>
              <w:left w:val="single" w:color="000000" w:sz="4" w:space="0"/>
              <w:bottom w:val="single" w:color="000000" w:sz="4" w:space="0"/>
            </w:tcBorders>
            <w:tcW w:w="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700"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tcBorders>
            <w:tcW w:w="2096"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c>
          <w:tcPr>
            <w:tcBorders>
              <w:top w:val="single" w:color="000000" w:sz="4" w:space="0"/>
              <w:left w:val="single" w:color="000000" w:sz="4" w:space="0"/>
              <w:bottom w:val="single" w:color="000000" w:sz="4" w:space="0"/>
            </w:tcBorders>
            <w:tcW w:w="698"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чел.</w:t>
            </w:r>
            <w:r/>
          </w:p>
        </w:tc>
        <w:tc>
          <w:tcPr>
            <w:tcBorders>
              <w:top w:val="single" w:color="000000" w:sz="4" w:space="0"/>
              <w:left w:val="single" w:color="000000" w:sz="4" w:space="0"/>
              <w:bottom w:val="single" w:color="000000" w:sz="4" w:space="0"/>
              <w:right w:val="single" w:color="000000" w:sz="4" w:space="0"/>
            </w:tcBorders>
            <w:tcW w:w="2233" w:type="dxa"/>
            <w:vAlign w:val="center"/>
            <w:textDirection w:val="lrTb"/>
            <w:noWrap w:val="false"/>
          </w:tcPr>
          <w:p>
            <w:pPr>
              <w:pStyle w:val="940"/>
              <w:jc w:val="center"/>
              <w:tabs>
                <w:tab w:val="clear" w:pos="708" w:leader="none"/>
                <w:tab w:val="left" w:pos="10320" w:leader="none"/>
              </w:tabs>
              <w:rPr>
                <w:lang w:val="en-US" w:eastAsia="en-US"/>
              </w:rPr>
            </w:pPr>
            <w:r>
              <w:rPr>
                <w:lang w:val="en-US" w:eastAsia="en-US"/>
              </w:rPr>
              <w:t xml:space="preserve">% от общего числа участников</w:t>
            </w:r>
            <w:r/>
          </w:p>
        </w:tc>
      </w:tr>
      <w:tr>
        <w:trPr/>
        <w:tc>
          <w:tcPr>
            <w:tcBorders>
              <w:top w:val="single" w:color="000000" w:sz="4" w:space="0"/>
              <w:left w:val="single" w:color="000000" w:sz="4" w:space="0"/>
              <w:bottom w:val="single" w:color="000000" w:sz="4" w:space="0"/>
            </w:tcBorders>
            <w:tcW w:w="1138" w:type="dxa"/>
            <w:vAlign w:val="center"/>
            <w:textDirection w:val="lrTb"/>
            <w:noWrap w:val="false"/>
          </w:tcPr>
          <w:p>
            <w:pPr>
              <w:pStyle w:val="940"/>
              <w:tabs>
                <w:tab w:val="clear" w:pos="708" w:leader="none"/>
                <w:tab w:val="left" w:pos="10320" w:leader="none"/>
              </w:tabs>
            </w:pPr>
            <w:r>
              <w:t xml:space="preserve">Женский</w:t>
            </w:r>
            <w:r/>
          </w:p>
        </w:tc>
        <w:tc>
          <w:tcPr>
            <w:tcBorders>
              <w:top w:val="single" w:color="000000" w:sz="4" w:space="0"/>
              <w:left w:val="single" w:color="000000" w:sz="4" w:space="0"/>
              <w:bottom w:val="single" w:color="000000" w:sz="4" w:space="0"/>
            </w:tcBorders>
            <w:tcW w:w="698" w:type="dxa"/>
            <w:textDirection w:val="lrTb"/>
            <w:noWrap w:val="false"/>
          </w:tcPr>
          <w:p>
            <w:pPr>
              <w:pStyle w:val="940"/>
              <w:jc w:val="center"/>
              <w:spacing w:before="0" w:after="160" w:line="254" w:lineRule="auto"/>
              <w:rPr>
                <w:lang w:eastAsia="en-US"/>
              </w:rPr>
            </w:pPr>
            <w:r>
              <w:rPr>
                <w:lang w:eastAsia="en-US"/>
              </w:rPr>
              <w:t xml:space="preserve">119</w:t>
            </w:r>
            <w:r/>
          </w:p>
        </w:tc>
        <w:tc>
          <w:tcPr>
            <w:tcBorders>
              <w:top w:val="single" w:color="000000" w:sz="4" w:space="0"/>
              <w:left w:val="single" w:color="000000" w:sz="4" w:space="0"/>
              <w:bottom w:val="single" w:color="000000" w:sz="4" w:space="0"/>
            </w:tcBorders>
            <w:tcW w:w="2096" w:type="dxa"/>
            <w:textDirection w:val="lrTb"/>
            <w:noWrap w:val="false"/>
          </w:tcPr>
          <w:p>
            <w:pPr>
              <w:pStyle w:val="940"/>
              <w:jc w:val="center"/>
              <w:spacing w:before="0" w:after="160" w:line="254" w:lineRule="auto"/>
              <w:rPr>
                <w:lang w:eastAsia="en-US"/>
              </w:rPr>
            </w:pPr>
            <w:r>
              <w:rPr>
                <w:lang w:eastAsia="en-US"/>
              </w:rPr>
              <w:t xml:space="preserve">27,1</w:t>
            </w:r>
            <w:r/>
          </w:p>
        </w:tc>
        <w:tc>
          <w:tcPr>
            <w:tcBorders>
              <w:top w:val="single" w:color="000000" w:sz="4" w:space="0"/>
              <w:left w:val="single" w:color="000000" w:sz="4" w:space="0"/>
              <w:bottom w:val="single" w:color="000000" w:sz="4" w:space="0"/>
            </w:tcBorders>
            <w:tcW w:w="700" w:type="dxa"/>
            <w:vAlign w:val="bottom"/>
            <w:textDirection w:val="lrTb"/>
            <w:noWrap w:val="false"/>
          </w:tcPr>
          <w:p>
            <w:pPr>
              <w:pStyle w:val="940"/>
              <w:jc w:val="center"/>
              <w:spacing w:before="0" w:after="160" w:line="254" w:lineRule="auto"/>
              <w:rPr>
                <w:lang w:eastAsia="en-US"/>
              </w:rPr>
            </w:pPr>
            <w:r>
              <w:rPr>
                <w:lang w:eastAsia="en-US"/>
              </w:rPr>
              <w:t xml:space="preserve">122</w:t>
            </w:r>
            <w:r/>
          </w:p>
        </w:tc>
        <w:tc>
          <w:tcPr>
            <w:tcBorders>
              <w:top w:val="single" w:color="000000" w:sz="4" w:space="0"/>
              <w:left w:val="single" w:color="000000" w:sz="4" w:space="0"/>
              <w:bottom w:val="single" w:color="000000" w:sz="4" w:space="0"/>
            </w:tcBorders>
            <w:tcW w:w="2096" w:type="dxa"/>
            <w:vAlign w:val="bottom"/>
            <w:textDirection w:val="lrTb"/>
            <w:noWrap w:val="false"/>
          </w:tcPr>
          <w:p>
            <w:pPr>
              <w:pStyle w:val="940"/>
              <w:jc w:val="center"/>
              <w:spacing w:before="0" w:after="160" w:line="254" w:lineRule="auto"/>
              <w:rPr>
                <w:lang w:eastAsia="en-US"/>
              </w:rPr>
            </w:pPr>
            <w:r>
              <w:rPr>
                <w:lang w:eastAsia="en-US"/>
              </w:rPr>
              <w:t xml:space="preserve">27,5</w:t>
            </w:r>
            <w:r/>
          </w:p>
        </w:tc>
        <w:tc>
          <w:tcPr>
            <w:tcBorders>
              <w:top w:val="single" w:color="000000" w:sz="4" w:space="0"/>
              <w:left w:val="single" w:color="000000" w:sz="4" w:space="0"/>
              <w:bottom w:val="single" w:color="000000" w:sz="4" w:space="0"/>
            </w:tcBorders>
            <w:tcW w:w="698" w:type="dxa"/>
            <w:vAlign w:val="bottom"/>
            <w:textDirection w:val="lrTb"/>
            <w:noWrap w:val="false"/>
          </w:tcPr>
          <w:p>
            <w:pPr>
              <w:pStyle w:val="940"/>
              <w:jc w:val="right"/>
            </w:pPr>
            <w:r>
              <w:t xml:space="preserve">133</w:t>
            </w:r>
            <w:r/>
          </w:p>
        </w:tc>
        <w:tc>
          <w:tcPr>
            <w:tcBorders>
              <w:top w:val="single" w:color="000000" w:sz="4" w:space="0"/>
              <w:left w:val="single" w:color="000000" w:sz="4" w:space="0"/>
              <w:bottom w:val="single" w:color="000000" w:sz="4" w:space="0"/>
              <w:right w:val="single" w:color="000000" w:sz="4" w:space="0"/>
            </w:tcBorders>
            <w:tcW w:w="2233" w:type="dxa"/>
            <w:vAlign w:val="bottom"/>
            <w:textDirection w:val="lrTb"/>
            <w:noWrap w:val="false"/>
          </w:tcPr>
          <w:p>
            <w:pPr>
              <w:pStyle w:val="940"/>
              <w:jc w:val="center"/>
            </w:pPr>
            <w:r>
              <w:t xml:space="preserve">25,8</w:t>
            </w:r>
            <w:r/>
          </w:p>
        </w:tc>
      </w:tr>
      <w:tr>
        <w:trPr/>
        <w:tc>
          <w:tcPr>
            <w:tcBorders>
              <w:top w:val="single" w:color="000000" w:sz="4" w:space="0"/>
              <w:left w:val="single" w:color="000000" w:sz="4" w:space="0"/>
              <w:bottom w:val="single" w:color="000000" w:sz="4" w:space="0"/>
            </w:tcBorders>
            <w:tcW w:w="1138" w:type="dxa"/>
            <w:vAlign w:val="center"/>
            <w:textDirection w:val="lrTb"/>
            <w:noWrap w:val="false"/>
          </w:tcPr>
          <w:p>
            <w:pPr>
              <w:pStyle w:val="940"/>
              <w:tabs>
                <w:tab w:val="clear" w:pos="708" w:leader="none"/>
                <w:tab w:val="left" w:pos="10320" w:leader="none"/>
              </w:tabs>
            </w:pPr>
            <w:r>
              <w:t xml:space="preserve">Мужской</w:t>
            </w:r>
            <w:r/>
          </w:p>
        </w:tc>
        <w:tc>
          <w:tcPr>
            <w:tcBorders>
              <w:top w:val="single" w:color="000000" w:sz="4" w:space="0"/>
              <w:left w:val="single" w:color="000000" w:sz="4" w:space="0"/>
              <w:bottom w:val="single" w:color="000000" w:sz="4" w:space="0"/>
            </w:tcBorders>
            <w:tcW w:w="698" w:type="dxa"/>
            <w:textDirection w:val="lrTb"/>
            <w:noWrap w:val="false"/>
          </w:tcPr>
          <w:p>
            <w:pPr>
              <w:pStyle w:val="940"/>
              <w:jc w:val="center"/>
              <w:spacing w:before="0" w:after="160" w:line="254" w:lineRule="auto"/>
              <w:rPr>
                <w:lang w:eastAsia="en-US"/>
              </w:rPr>
            </w:pPr>
            <w:r>
              <w:rPr>
                <w:lang w:eastAsia="en-US"/>
              </w:rPr>
              <w:t xml:space="preserve">320</w:t>
            </w:r>
            <w:r/>
          </w:p>
        </w:tc>
        <w:tc>
          <w:tcPr>
            <w:tcBorders>
              <w:top w:val="single" w:color="000000" w:sz="4" w:space="0"/>
              <w:left w:val="single" w:color="000000" w:sz="4" w:space="0"/>
              <w:bottom w:val="single" w:color="000000" w:sz="4" w:space="0"/>
            </w:tcBorders>
            <w:tcW w:w="2096" w:type="dxa"/>
            <w:textDirection w:val="lrTb"/>
            <w:noWrap w:val="false"/>
          </w:tcPr>
          <w:p>
            <w:pPr>
              <w:pStyle w:val="940"/>
              <w:jc w:val="center"/>
              <w:spacing w:before="0" w:after="160" w:line="254" w:lineRule="auto"/>
              <w:rPr>
                <w:lang w:eastAsia="en-US"/>
              </w:rPr>
            </w:pPr>
            <w:r>
              <w:rPr>
                <w:lang w:eastAsia="en-US"/>
              </w:rPr>
              <w:t xml:space="preserve">72,9</w:t>
            </w:r>
            <w:r/>
          </w:p>
        </w:tc>
        <w:tc>
          <w:tcPr>
            <w:tcBorders>
              <w:top w:val="single" w:color="000000" w:sz="4" w:space="0"/>
              <w:left w:val="single" w:color="000000" w:sz="4" w:space="0"/>
              <w:bottom w:val="single" w:color="000000" w:sz="4" w:space="0"/>
            </w:tcBorders>
            <w:tcW w:w="700" w:type="dxa"/>
            <w:vAlign w:val="bottom"/>
            <w:textDirection w:val="lrTb"/>
            <w:noWrap w:val="false"/>
          </w:tcPr>
          <w:p>
            <w:pPr>
              <w:pStyle w:val="940"/>
              <w:jc w:val="center"/>
              <w:spacing w:before="0" w:after="160" w:line="254" w:lineRule="auto"/>
              <w:rPr>
                <w:lang w:eastAsia="en-US"/>
              </w:rPr>
            </w:pPr>
            <w:r>
              <w:rPr>
                <w:lang w:eastAsia="en-US"/>
              </w:rPr>
              <w:t xml:space="preserve">321</w:t>
            </w:r>
            <w:r/>
          </w:p>
        </w:tc>
        <w:tc>
          <w:tcPr>
            <w:tcBorders>
              <w:top w:val="single" w:color="000000" w:sz="4" w:space="0"/>
              <w:left w:val="single" w:color="000000" w:sz="4" w:space="0"/>
              <w:bottom w:val="single" w:color="000000" w:sz="4" w:space="0"/>
            </w:tcBorders>
            <w:tcW w:w="2096" w:type="dxa"/>
            <w:vAlign w:val="bottom"/>
            <w:textDirection w:val="lrTb"/>
            <w:noWrap w:val="false"/>
          </w:tcPr>
          <w:p>
            <w:pPr>
              <w:pStyle w:val="940"/>
              <w:jc w:val="center"/>
              <w:spacing w:before="0" w:after="160" w:line="254" w:lineRule="auto"/>
              <w:rPr>
                <w:lang w:eastAsia="en-US"/>
              </w:rPr>
            </w:pPr>
            <w:r>
              <w:rPr>
                <w:lang w:eastAsia="en-US"/>
              </w:rPr>
              <w:t xml:space="preserve">72,5</w:t>
            </w:r>
            <w:r/>
          </w:p>
        </w:tc>
        <w:tc>
          <w:tcPr>
            <w:tcBorders>
              <w:top w:val="single" w:color="000000" w:sz="4" w:space="0"/>
              <w:left w:val="single" w:color="000000" w:sz="4" w:space="0"/>
              <w:bottom w:val="single" w:color="000000" w:sz="4" w:space="0"/>
            </w:tcBorders>
            <w:tcW w:w="698" w:type="dxa"/>
            <w:vAlign w:val="bottom"/>
            <w:textDirection w:val="lrTb"/>
            <w:noWrap w:val="false"/>
          </w:tcPr>
          <w:p>
            <w:pPr>
              <w:pStyle w:val="940"/>
              <w:jc w:val="right"/>
            </w:pPr>
            <w:r>
              <w:t xml:space="preserve">382</w:t>
            </w:r>
            <w:r/>
          </w:p>
        </w:tc>
        <w:tc>
          <w:tcPr>
            <w:tcBorders>
              <w:top w:val="single" w:color="000000" w:sz="4" w:space="0"/>
              <w:left w:val="single" w:color="000000" w:sz="4" w:space="0"/>
              <w:bottom w:val="single" w:color="000000" w:sz="4" w:space="0"/>
              <w:right w:val="single" w:color="000000" w:sz="4" w:space="0"/>
            </w:tcBorders>
            <w:tcW w:w="2233" w:type="dxa"/>
            <w:vAlign w:val="bottom"/>
            <w:textDirection w:val="lrTb"/>
            <w:noWrap w:val="false"/>
          </w:tcPr>
          <w:p>
            <w:pPr>
              <w:pStyle w:val="940"/>
              <w:jc w:val="center"/>
            </w:pPr>
            <w:r>
              <w:t xml:space="preserve">74,2</w:t>
            </w:r>
            <w:r/>
          </w:p>
        </w:tc>
      </w:tr>
    </w:tbl>
    <w:p>
      <w:pPr>
        <w:pStyle w:val="940"/>
      </w:pPr>
      <w:r/>
      <w:r/>
    </w:p>
    <w:p>
      <w:pPr>
        <w:pStyle w:val="940"/>
        <w:numPr>
          <w:ilvl w:val="1"/>
          <w:numId w:val="47"/>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в регионе по категориям </w:t>
      </w:r>
      <w:r/>
    </w:p>
    <w:p>
      <w:pPr>
        <w:pStyle w:val="940"/>
        <w:jc w:val="right"/>
        <w:keepNext/>
        <w:spacing w:before="0" w:after="200"/>
        <w:rPr>
          <w:bCs/>
          <w:i/>
          <w:sz w:val="18"/>
          <w:szCs w:val="18"/>
        </w:rPr>
      </w:pPr>
      <w:r>
        <w:rPr>
          <w:bCs/>
          <w:i/>
          <w:sz w:val="18"/>
          <w:szCs w:val="18"/>
        </w:rPr>
        <w:t xml:space="preserve">Таблица 2-3</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244"/>
        <w:gridCol w:w="2415"/>
      </w:tblGrid>
      <w:tr>
        <w:trPr>
          <w:trHeight w:val="270"/>
        </w:trPr>
        <w:tc>
          <w:tcPr>
            <w:tcBorders>
              <w:top w:val="single" w:color="000000" w:sz="4" w:space="0"/>
              <w:left w:val="single" w:color="000000" w:sz="4" w:space="0"/>
              <w:bottom w:val="single" w:color="000000" w:sz="4" w:space="0"/>
            </w:tcBorders>
            <w:tcW w:w="7244" w:type="dxa"/>
            <w:textDirection w:val="lrTb"/>
            <w:noWrap w:val="false"/>
          </w:tcPr>
          <w:p>
            <w:pPr>
              <w:pStyle w:val="940"/>
              <w:contextualSpacing/>
              <w:jc w:val="both"/>
              <w:spacing w:before="0" w:after="0"/>
              <w:rPr>
                <w:b/>
              </w:rPr>
            </w:pPr>
            <w:r>
              <w:rPr>
                <w:b/>
              </w:rPr>
              <w:t xml:space="preserve">Всего участников ЕГЭ по предмету</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515</w:t>
            </w:r>
            <w:r/>
          </w:p>
        </w:tc>
      </w:tr>
      <w:tr>
        <w:trPr>
          <w:trHeight w:val="533"/>
        </w:trPr>
        <w:tc>
          <w:tcPr>
            <w:tcBorders>
              <w:top w:val="single" w:color="000000" w:sz="4" w:space="0"/>
              <w:left w:val="single" w:color="000000" w:sz="4" w:space="0"/>
              <w:bottom w:val="single" w:color="000000" w:sz="4" w:space="0"/>
            </w:tcBorders>
            <w:tcW w:w="7244" w:type="dxa"/>
            <w:textDirection w:val="lrTb"/>
            <w:noWrap w:val="false"/>
          </w:tcPr>
          <w:p>
            <w:pPr>
              <w:pStyle w:val="940"/>
              <w:contextualSpacing/>
              <w:jc w:val="both"/>
              <w:spacing w:before="0" w:after="0"/>
            </w:pPr>
            <w:r>
              <w:t xml:space="preserve">Из них:</w:t>
            </w:r>
            <w:r/>
          </w:p>
          <w:p>
            <w:pPr>
              <w:pStyle w:val="1400"/>
              <w:numPr>
                <w:ilvl w:val="0"/>
                <w:numId w:val="63"/>
              </w:numPr>
              <w:contextualSpacing/>
              <w:ind w:left="0" w:right="0" w:firstLine="0"/>
              <w:jc w:val="both"/>
              <w:spacing w:before="0" w:after="0" w:line="240" w:lineRule="auto"/>
            </w:pPr>
            <w:r>
              <w:rPr>
                <w:rFonts w:ascii="Times New Roman" w:hAnsi="Times New Roman" w:cs="Times New Roman"/>
                <w:sz w:val="24"/>
                <w:szCs w:val="24"/>
              </w:rPr>
              <w:t xml:space="preserve">выпускников текущего года, обучающихся по программам СОО</w:t>
            </w:r>
            <w:r>
              <w:rPr>
                <w:rStyle w:val="1390"/>
                <w:rFonts w:ascii="Times New Roman" w:hAnsi="Times New Roman" w:cs="Times New Roman"/>
                <w:sz w:val="24"/>
                <w:szCs w:val="24"/>
              </w:rPr>
              <w:footnoteReference w:customMarkFollows="1" w:id="13"/>
              <w:t xml:space="preserve">*</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475</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текущего года, обучающихся по программам СПО</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выпускников прошлых лет</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24</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участников с ограниченными возможностями здоровья</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4</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12</w:t>
            </w:r>
            <w:r/>
          </w:p>
        </w:tc>
      </w:tr>
      <w:tr>
        <w:trPr>
          <w:trHeight w:val="270"/>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1</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2</w:t>
            </w:r>
            <w:r/>
          </w:p>
        </w:tc>
      </w:tr>
      <w:tr>
        <w:trPr>
          <w:trHeight w:val="284"/>
        </w:trPr>
        <w:tc>
          <w:tcPr>
            <w:tcBorders>
              <w:top w:val="single" w:color="000000" w:sz="4" w:space="0"/>
              <w:left w:val="single" w:color="000000" w:sz="4" w:space="0"/>
              <w:bottom w:val="single" w:color="000000" w:sz="4" w:space="0"/>
            </w:tcBorders>
            <w:tcW w:w="7244"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c>
          <w:tcPr>
            <w:tcBorders>
              <w:top w:val="single" w:color="000000" w:sz="4" w:space="0"/>
              <w:left w:val="single" w:color="000000" w:sz="4" w:space="0"/>
              <w:bottom w:val="single" w:color="000000" w:sz="4" w:space="0"/>
              <w:right w:val="single" w:color="000000" w:sz="4" w:space="0"/>
            </w:tcBorders>
            <w:tcW w:w="2415" w:type="dxa"/>
            <w:textDirection w:val="lrTb"/>
            <w:noWrap w:val="false"/>
          </w:tcPr>
          <w:p>
            <w:pPr>
              <w:pStyle w:val="940"/>
              <w:contextualSpacing/>
              <w:jc w:val="both"/>
              <w:spacing w:before="0" w:after="0"/>
            </w:pPr>
            <w:r>
              <w:t xml:space="preserve">1</w:t>
            </w:r>
            <w:r/>
          </w:p>
        </w:tc>
      </w:tr>
    </w:tbl>
    <w:p>
      <w:pPr>
        <w:pStyle w:val="940"/>
        <w:contextualSpacing/>
        <w:spacing w:before="0" w:after="0"/>
        <w:rPr>
          <w:lang w:eastAsia="en-US"/>
        </w:rPr>
      </w:pPr>
      <w:r>
        <w:rPr>
          <w:lang w:eastAsia="en-US"/>
        </w:rPr>
      </w:r>
      <w:r/>
    </w:p>
    <w:p>
      <w:pPr>
        <w:pStyle w:val="940"/>
        <w:numPr>
          <w:ilvl w:val="1"/>
          <w:numId w:val="47"/>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типам ОО </w:t>
      </w:r>
      <w:r/>
    </w:p>
    <w:p>
      <w:pPr>
        <w:pStyle w:val="940"/>
        <w:jc w:val="right"/>
        <w:keepNext/>
        <w:spacing w:before="0" w:after="200"/>
        <w:rPr>
          <w:bCs/>
          <w:i/>
          <w:sz w:val="18"/>
          <w:szCs w:val="18"/>
        </w:rPr>
      </w:pPr>
      <w:r>
        <w:rPr>
          <w:bCs/>
          <w:i/>
          <w:sz w:val="18"/>
          <w:szCs w:val="18"/>
        </w:rPr>
        <w:t xml:space="preserve">Таблица 2-4</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7230"/>
        <w:gridCol w:w="2429"/>
      </w:tblGrid>
      <w:tr>
        <w:trPr>
          <w:trHeight w:val="267"/>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rPr>
                <w:b/>
              </w:rPr>
            </w:pPr>
            <w:r>
              <w:rPr>
                <w:b/>
              </w:rPr>
              <w:t xml:space="preserve">Всего ВТГ</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475</w:t>
            </w:r>
            <w:r/>
          </w:p>
        </w:tc>
      </w:tr>
      <w:tr>
        <w:trPr>
          <w:trHeight w:val="534"/>
        </w:trPr>
        <w:tc>
          <w:tcPr>
            <w:tcBorders>
              <w:top w:val="single" w:color="000000" w:sz="4" w:space="0"/>
              <w:left w:val="single" w:color="000000" w:sz="4" w:space="0"/>
              <w:bottom w:val="single" w:color="000000" w:sz="4" w:space="0"/>
            </w:tcBorders>
            <w:tcW w:w="7230" w:type="dxa"/>
            <w:textDirection w:val="lrTb"/>
            <w:noWrap w:val="false"/>
          </w:tcPr>
          <w:p>
            <w:pPr>
              <w:pStyle w:val="940"/>
              <w:contextualSpacing/>
              <w:jc w:val="both"/>
              <w:spacing w:before="0" w:after="0"/>
            </w:pPr>
            <w:r>
              <w:t xml:space="preserve">Из них:</w:t>
            </w:r>
            <w:r/>
          </w:p>
          <w:p>
            <w:pPr>
              <w:pStyle w:val="940"/>
              <w:numPr>
                <w:ilvl w:val="0"/>
                <w:numId w:val="63"/>
              </w:numPr>
              <w:contextualSpacing/>
              <w:ind w:left="0" w:firstLine="0"/>
              <w:jc w:val="both"/>
              <w:spacing w:before="0" w:after="0"/>
              <w:rPr>
                <w:lang w:eastAsia="en-US"/>
              </w:rPr>
            </w:pPr>
            <w:r>
              <w:rPr>
                <w:lang w:eastAsia="en-US"/>
              </w:rPr>
              <w:t xml:space="preserve">выпускники лицеев и гимназий</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143</w:t>
            </w:r>
            <w:r/>
          </w:p>
        </w:tc>
      </w:tr>
      <w:tr>
        <w:trPr>
          <w:trHeight w:val="282"/>
        </w:trPr>
        <w:tc>
          <w:tcPr>
            <w:tcBorders>
              <w:top w:val="single" w:color="000000" w:sz="4" w:space="0"/>
              <w:left w:val="single" w:color="000000" w:sz="4" w:space="0"/>
              <w:bottom w:val="single" w:color="000000" w:sz="4" w:space="0"/>
            </w:tcBorders>
            <w:tcW w:w="7230" w:type="dxa"/>
            <w:textDirection w:val="lrTb"/>
            <w:noWrap w:val="false"/>
          </w:tcPr>
          <w:p>
            <w:pPr>
              <w:pStyle w:val="940"/>
              <w:numPr>
                <w:ilvl w:val="0"/>
                <w:numId w:val="63"/>
              </w:numPr>
              <w:contextualSpacing/>
              <w:ind w:left="0" w:firstLine="0"/>
              <w:jc w:val="both"/>
              <w:spacing w:before="0" w:after="0"/>
              <w:rPr>
                <w:lang w:eastAsia="en-US"/>
              </w:rPr>
            </w:pPr>
            <w:r>
              <w:rPr>
                <w:lang w:eastAsia="en-US"/>
              </w:rPr>
              <w:t xml:space="preserve">выпускники 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319</w:t>
            </w:r>
            <w:r/>
          </w:p>
        </w:tc>
      </w:tr>
      <w:tr>
        <w:trPr>
          <w:trHeight w:val="282"/>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О(с)ОШ</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2</w:t>
            </w:r>
            <w:r/>
          </w:p>
        </w:tc>
      </w:tr>
      <w:tr>
        <w:trPr>
          <w:trHeight w:val="549"/>
        </w:trPr>
        <w:tc>
          <w:tcPr>
            <w:tcBorders>
              <w:top w:val="single" w:color="000000" w:sz="4" w:space="0"/>
              <w:left w:val="single" w:color="000000" w:sz="4" w:space="0"/>
              <w:bottom w:val="single" w:color="000000" w:sz="4" w:space="0"/>
            </w:tcBorders>
            <w:tcW w:w="7230" w:type="dxa"/>
            <w:textDirection w:val="lrTb"/>
            <w:noWrap w:val="false"/>
          </w:tcPr>
          <w:p>
            <w:pPr>
              <w:pStyle w:val="1400"/>
              <w:numPr>
                <w:ilvl w:val="0"/>
                <w:numId w:val="63"/>
              </w:numPr>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right w:val="single" w:color="000000" w:sz="4" w:space="0"/>
            </w:tcBorders>
            <w:tcW w:w="2429" w:type="dxa"/>
            <w:textDirection w:val="lrTb"/>
            <w:noWrap w:val="false"/>
          </w:tcPr>
          <w:p>
            <w:pPr>
              <w:pStyle w:val="940"/>
              <w:contextualSpacing/>
              <w:jc w:val="both"/>
              <w:spacing w:before="0" w:after="0"/>
            </w:pPr>
            <w:r>
              <w:t xml:space="preserve">11</w:t>
            </w:r>
            <w:r/>
          </w:p>
        </w:tc>
      </w:tr>
    </w:tbl>
    <w:p>
      <w:pPr>
        <w:pStyle w:val="940"/>
      </w:pPr>
      <w:r/>
      <w:r/>
    </w:p>
    <w:p>
      <w:pPr>
        <w:pStyle w:val="940"/>
        <w:numPr>
          <w:ilvl w:val="1"/>
          <w:numId w:val="47"/>
        </w:numPr>
        <w:ind w:left="0" w:firstLine="0"/>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Количество участников ЕГЭ по предмету по АТЕ региона</w:t>
      </w:r>
      <w:r/>
    </w:p>
    <w:p>
      <w:pPr>
        <w:pStyle w:val="940"/>
        <w:jc w:val="right"/>
        <w:keepNext/>
        <w:spacing w:before="0" w:after="200"/>
        <w:rPr>
          <w:bCs/>
          <w:i/>
          <w:sz w:val="18"/>
          <w:szCs w:val="18"/>
        </w:rPr>
      </w:pPr>
      <w:r>
        <w:rPr>
          <w:bCs/>
          <w:i/>
          <w:sz w:val="18"/>
          <w:szCs w:val="18"/>
        </w:rPr>
        <w:t xml:space="preserve">Таблица 2-5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2980"/>
        <w:gridCol w:w="3543"/>
        <w:gridCol w:w="3136"/>
      </w:tblGrid>
      <w:tr>
        <w:trPr>
          <w:trHeight w:val="630"/>
        </w:trPr>
        <w:tc>
          <w:tcPr>
            <w:shd w:val="clear" w:color="auto" w:fill="ffffff"/>
            <w:tcBorders>
              <w:top w:val="single" w:color="000000" w:sz="4" w:space="0"/>
              <w:left w:val="single" w:color="000000" w:sz="4" w:space="0"/>
              <w:bottom w:val="single" w:color="000000" w:sz="4" w:space="0"/>
            </w:tcBorders>
            <w:tcW w:w="2980" w:type="dxa"/>
            <w:vAlign w:val="center"/>
            <w:textDirection w:val="lrTb"/>
            <w:noWrap w:val="false"/>
          </w:tcPr>
          <w:p>
            <w:pPr>
              <w:pStyle w:val="940"/>
              <w:jc w:val="center"/>
              <w:rPr>
                <w:rFonts w:eastAsia="Times New Roman"/>
                <w:color w:val="000000"/>
              </w:rPr>
            </w:pPr>
            <w:r>
              <w:rPr>
                <w:rFonts w:eastAsia="Times New Roman"/>
                <w:color w:val="000000"/>
              </w:rPr>
              <w:t xml:space="preserve">АТЕ</w:t>
            </w:r>
            <w:r/>
          </w:p>
        </w:tc>
        <w:tc>
          <w:tcPr>
            <w:tcBorders>
              <w:top w:val="single" w:color="000000" w:sz="4" w:space="0"/>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Количество участников ЕГЭ по информатике</w:t>
            </w:r>
            <w:r/>
          </w:p>
        </w:tc>
        <w:tc>
          <w:tcPr>
            <w:shd w:val="clear" w:color="auto" w:fill="ffffff"/>
            <w:tcBorders>
              <w:top w:val="single" w:color="000000" w:sz="4" w:space="0"/>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 от общего числа участников в регионе</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г. Астрахань</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325</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63,1</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Ахтубинский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41</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8,0</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ЗАТО Знаменск</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21</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4,1</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Володарский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5</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1,0</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Енотаевский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4</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0,8</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Икрянинский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9</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Камызякский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3,1</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Красноярский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Лиманский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9</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1,7</w:t>
            </w:r>
            <w:r/>
          </w:p>
        </w:tc>
      </w:tr>
      <w:tr>
        <w:trPr>
          <w:trHeight w:val="258"/>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Наримановский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7</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1,4</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Приволжский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13</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2,5</w:t>
            </w:r>
            <w:r/>
          </w:p>
        </w:tc>
      </w:tr>
      <w:tr>
        <w:trPr>
          <w:trHeight w:val="352"/>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Харабалинский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6</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Черноярский район</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8</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1,6</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ВПЛ</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24</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4,7</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СПО</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12</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2,3</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ИОО</w:t>
            </w:r>
            <w:r/>
          </w:p>
        </w:tc>
        <w:tc>
          <w:tcPr>
            <w:tcBorders>
              <w:left w:val="single" w:color="000000" w:sz="4" w:space="0"/>
              <w:bottom w:val="single" w:color="000000" w:sz="4" w:space="0"/>
            </w:tcBorders>
            <w:tcW w:w="3543" w:type="dxa"/>
            <w:vAlign w:val="center"/>
            <w:textDirection w:val="lrTb"/>
            <w:noWrap w:val="false"/>
          </w:tcPr>
          <w:p>
            <w:pPr>
              <w:pStyle w:val="940"/>
              <w:jc w:val="center"/>
              <w:rPr>
                <w:rFonts w:eastAsia="Times New Roman"/>
                <w:color w:val="000000"/>
              </w:rPr>
            </w:pPr>
            <w:r>
              <w:rPr>
                <w:rFonts w:eastAsia="Times New Roman"/>
                <w:color w:val="000000"/>
              </w:rPr>
              <w:t xml:space="preserve">1</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0,2</w:t>
            </w:r>
            <w:r/>
          </w:p>
        </w:tc>
      </w:tr>
      <w:tr>
        <w:trPr>
          <w:trHeight w:val="315"/>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Экстерны</w:t>
            </w:r>
            <w:r/>
          </w:p>
        </w:tc>
        <w:tc>
          <w:tcPr>
            <w:tcBorders>
              <w:left w:val="single" w:color="000000" w:sz="4" w:space="0"/>
              <w:bottom w:val="single" w:color="000000" w:sz="4" w:space="0"/>
            </w:tcBorders>
            <w:tcW w:w="3543"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2</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0,4</w:t>
            </w:r>
            <w:r/>
          </w:p>
        </w:tc>
      </w:tr>
      <w:tr>
        <w:trPr>
          <w:trHeight w:val="630"/>
        </w:trPr>
        <w:tc>
          <w:tcPr>
            <w:shd w:val="clear" w:color="auto" w:fill="ffffff"/>
            <w:tcBorders>
              <w:left w:val="single" w:color="000000" w:sz="4" w:space="0"/>
              <w:bottom w:val="single" w:color="000000" w:sz="4" w:space="0"/>
            </w:tcBorders>
            <w:tcW w:w="2980" w:type="dxa"/>
            <w:vAlign w:val="center"/>
            <w:textDirection w:val="lrTb"/>
            <w:noWrap w:val="false"/>
          </w:tcPr>
          <w:p>
            <w:pPr>
              <w:pStyle w:val="940"/>
              <w:rPr>
                <w:rFonts w:eastAsia="Times New Roman"/>
                <w:color w:val="000000"/>
              </w:rPr>
            </w:pPr>
            <w:r>
              <w:rPr>
                <w:rFonts w:eastAsia="Times New Roman"/>
                <w:color w:val="000000"/>
              </w:rPr>
              <w:t xml:space="preserve">Выпускники ОО других регионов</w:t>
            </w:r>
            <w:r/>
          </w:p>
        </w:tc>
        <w:tc>
          <w:tcPr>
            <w:tcBorders>
              <w:left w:val="single" w:color="000000" w:sz="4" w:space="0"/>
              <w:bottom w:val="single" w:color="000000" w:sz="4" w:space="0"/>
            </w:tcBorders>
            <w:tcW w:w="3543" w:type="dxa"/>
            <w:vAlign w:val="bottom"/>
            <w:textDirection w:val="lrTb"/>
            <w:noWrap w:val="false"/>
          </w:tcPr>
          <w:p>
            <w:pPr>
              <w:pStyle w:val="940"/>
              <w:jc w:val="center"/>
              <w:rPr>
                <w:rFonts w:eastAsia="Times New Roman"/>
                <w:color w:val="000000"/>
                <w:sz w:val="22"/>
                <w:szCs w:val="22"/>
              </w:rPr>
            </w:pPr>
            <w:r>
              <w:rPr>
                <w:rFonts w:eastAsia="Times New Roman"/>
                <w:color w:val="000000"/>
                <w:sz w:val="22"/>
                <w:szCs w:val="22"/>
              </w:rPr>
              <w:t xml:space="preserve">0</w:t>
            </w:r>
            <w:r/>
          </w:p>
        </w:tc>
        <w:tc>
          <w:tcPr>
            <w:shd w:val="clear" w:color="auto" w:fill="ffffff"/>
            <w:tcBorders>
              <w:left w:val="single" w:color="000000" w:sz="4" w:space="0"/>
              <w:bottom w:val="single" w:color="000000" w:sz="4" w:space="0"/>
              <w:right w:val="single" w:color="000000" w:sz="4" w:space="0"/>
            </w:tcBorders>
            <w:tcW w:w="3136" w:type="dxa"/>
            <w:vAlign w:val="center"/>
            <w:textDirection w:val="lrTb"/>
            <w:noWrap w:val="false"/>
          </w:tcPr>
          <w:p>
            <w:pPr>
              <w:pStyle w:val="940"/>
              <w:jc w:val="center"/>
              <w:rPr>
                <w:rFonts w:eastAsia="Times New Roman"/>
                <w:color w:val="000000"/>
              </w:rPr>
            </w:pPr>
            <w:r>
              <w:rPr>
                <w:rFonts w:eastAsia="Times New Roman"/>
                <w:color w:val="000000"/>
              </w:rPr>
              <w:t xml:space="preserve">0,0</w:t>
            </w:r>
            <w:r/>
          </w:p>
        </w:tc>
      </w:tr>
    </w:tbl>
    <w:p>
      <w:pPr>
        <w:pStyle w:val="940"/>
        <w:jc w:val="both"/>
        <w:rPr>
          <w:rFonts w:eastAsia="Times New Roman"/>
          <w:b/>
        </w:rPr>
      </w:pPr>
      <w:r>
        <w:rPr>
          <w:rFonts w:eastAsia="Times New Roman"/>
          <w:b/>
        </w:rPr>
      </w:r>
      <w:r/>
    </w:p>
    <w:p>
      <w:pPr>
        <w:pStyle w:val="940"/>
        <w:numPr>
          <w:ilvl w:val="1"/>
          <w:numId w:val="47"/>
        </w:numPr>
        <w:ind w:left="0" w:firstLine="0"/>
        <w:jc w:val="both"/>
        <w:keepLines/>
        <w:keepNext/>
        <w:spacing w:before="200" w:after="0"/>
        <w:tabs>
          <w:tab w:val="left" w:pos="142" w:leader="none"/>
          <w:tab w:val="clear" w:pos="708" w:leader="none"/>
        </w:tabs>
        <w:rPr>
          <w:rFonts w:eastAsia="SimSun;宋体"/>
          <w:b/>
          <w:bCs/>
          <w:sz w:val="28"/>
          <w:lang w:val="en-US"/>
        </w:rPr>
      </w:pPr>
      <w:r>
        <w:rPr>
          <w:rFonts w:eastAsia="SimSun;宋体"/>
          <w:b/>
          <w:bCs/>
          <w:sz w:val="28"/>
          <w:lang w:val="en-US"/>
        </w:rPr>
        <w:t xml:space="preserve">Основные УМК по предмету из федерального перечня Минпросвещения России, которые использовались в ОО в 2020-2021 учебном году. </w:t>
      </w:r>
      <w:r/>
    </w:p>
    <w:p>
      <w:pPr>
        <w:pStyle w:val="940"/>
        <w:jc w:val="right"/>
        <w:keepNext/>
        <w:spacing w:before="0" w:after="200"/>
        <w:rPr>
          <w:bCs/>
          <w:i/>
          <w:sz w:val="18"/>
          <w:szCs w:val="18"/>
        </w:rPr>
      </w:pPr>
      <w:r>
        <w:rPr>
          <w:bCs/>
          <w:i/>
          <w:sz w:val="18"/>
          <w:szCs w:val="18"/>
        </w:rPr>
        <w:t xml:space="preserve">Таблица 2-6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40"/>
        <w:gridCol w:w="5757"/>
        <w:gridCol w:w="3362"/>
      </w:tblGrid>
      <w:tr>
        <w:trPr>
          <w:cantSplit/>
          <w:tblHeader/>
        </w:trPr>
        <w:tc>
          <w:tcPr>
            <w:tcBorders>
              <w:top w:val="single" w:color="000000" w:sz="4" w:space="0"/>
              <w:left w:val="single" w:color="000000" w:sz="4" w:space="0"/>
              <w:bottom w:val="single" w:color="000000" w:sz="4" w:space="0"/>
            </w:tcBorders>
            <w:tcW w:w="540" w:type="dxa"/>
            <w:vAlign w:val="center"/>
            <w:textDirection w:val="lrTb"/>
            <w:noWrap w:val="false"/>
          </w:tcPr>
          <w:p>
            <w:pPr>
              <w:pStyle w:val="940"/>
              <w:contextualSpacing/>
              <w:jc w:val="center"/>
              <w:spacing w:before="0" w:after="0"/>
            </w:pPr>
            <w:r>
              <w:rPr>
                <w:lang w:eastAsia="en-US"/>
              </w:rPr>
              <w:t xml:space="preserve">№</w:t>
            </w:r>
            <w:r>
              <w:rPr>
                <w:rFonts w:eastAsia="Times New Roman"/>
                <w:lang w:eastAsia="en-US"/>
              </w:rPr>
              <w:t xml:space="preserve"> </w:t>
            </w:r>
            <w:r>
              <w:rPr>
                <w:lang w:eastAsia="en-US"/>
              </w:rPr>
              <w:t xml:space="preserve">п/п</w:t>
            </w:r>
            <w:r/>
          </w:p>
        </w:tc>
        <w:tc>
          <w:tcPr>
            <w:tcBorders>
              <w:top w:val="single" w:color="000000" w:sz="4" w:space="0"/>
              <w:left w:val="single" w:color="000000" w:sz="4" w:space="0"/>
              <w:bottom w:val="single" w:color="000000" w:sz="4" w:space="0"/>
            </w:tcBorders>
            <w:tcW w:w="5757" w:type="dxa"/>
            <w:vAlign w:val="center"/>
            <w:textDirection w:val="lrTb"/>
            <w:noWrap w:val="false"/>
          </w:tcPr>
          <w:p>
            <w:pPr>
              <w:pStyle w:val="940"/>
              <w:contextualSpacing/>
              <w:jc w:val="center"/>
              <w:spacing w:before="0" w:after="0"/>
              <w:rPr>
                <w:lang w:eastAsia="en-US"/>
              </w:rPr>
            </w:pPr>
            <w:r>
              <w:rPr>
                <w:lang w:eastAsia="en-US"/>
              </w:rPr>
              <w:t xml:space="preserve">Название УМК из федерального перечня</w:t>
            </w:r>
            <w:r/>
          </w:p>
        </w:tc>
        <w:tc>
          <w:tcPr>
            <w:tcBorders>
              <w:top w:val="single" w:color="000000" w:sz="4" w:space="0"/>
              <w:left w:val="single" w:color="000000" w:sz="4" w:space="0"/>
              <w:bottom w:val="single" w:color="000000" w:sz="4" w:space="0"/>
              <w:right w:val="single" w:color="000000" w:sz="4" w:space="0"/>
            </w:tcBorders>
            <w:tcW w:w="3362" w:type="dxa"/>
            <w:vAlign w:val="center"/>
            <w:textDirection w:val="lrTb"/>
            <w:noWrap w:val="false"/>
          </w:tcPr>
          <w:p>
            <w:pPr>
              <w:pStyle w:val="940"/>
              <w:contextualSpacing/>
              <w:jc w:val="center"/>
              <w:spacing w:before="0" w:after="0"/>
              <w:rPr>
                <w:lang w:eastAsia="en-US"/>
              </w:rPr>
            </w:pPr>
            <w:r>
              <w:rPr>
                <w:lang w:eastAsia="en-US"/>
              </w:rPr>
              <w:t xml:space="preserve">Примерный процент ОО, в которых использовался данный УМК / другие пособия</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5757" w:type="dxa"/>
            <w:textDirection w:val="lrTb"/>
            <w:noWrap w:val="false"/>
          </w:tcPr>
          <w:p>
            <w:pPr>
              <w:pStyle w:val="940"/>
            </w:pPr>
            <w:r>
              <w:t xml:space="preserve">УМК «Информатика»./ Поляков (10-11), 2019 г.</w:t>
            </w:r>
            <w:r/>
          </w:p>
        </w:tc>
        <w:tc>
          <w:tcPr>
            <w:tcBorders>
              <w:top w:val="single" w:color="000000" w:sz="4" w:space="0"/>
              <w:left w:val="single" w:color="000000" w:sz="4" w:space="0"/>
              <w:bottom w:val="single" w:color="000000" w:sz="4" w:space="0"/>
              <w:right w:val="single" w:color="000000" w:sz="4" w:space="0"/>
            </w:tcBorders>
            <w:tcW w:w="336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5757" w:type="dxa"/>
            <w:textDirection w:val="lrTb"/>
            <w:noWrap w:val="false"/>
          </w:tcPr>
          <w:p>
            <w:pPr>
              <w:pStyle w:val="940"/>
            </w:pPr>
            <w:r>
              <w:t xml:space="preserve">Семакина И.Г., Хеннер Е.К., Шеина Т.Ю. Информатика базовый уровень 10 кл.</w:t>
            </w:r>
            <w:r/>
          </w:p>
          <w:p>
            <w:pPr>
              <w:pStyle w:val="940"/>
            </w:pPr>
            <w:r>
              <w:t xml:space="preserve">Бином 2017 г.</w:t>
            </w:r>
            <w:r/>
          </w:p>
        </w:tc>
        <w:tc>
          <w:tcPr>
            <w:tcBorders>
              <w:top w:val="single" w:color="000000" w:sz="4" w:space="0"/>
              <w:left w:val="single" w:color="000000" w:sz="4" w:space="0"/>
              <w:bottom w:val="single" w:color="000000" w:sz="4" w:space="0"/>
              <w:right w:val="single" w:color="000000" w:sz="4" w:space="0"/>
            </w:tcBorders>
            <w:tcW w:w="336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r>
      <w:tr>
        <w:trPr>
          <w:cantSplit/>
        </w:trPr>
        <w:tc>
          <w:tcPr>
            <w:tcBorders>
              <w:top w:val="single" w:color="000000" w:sz="4" w:space="0"/>
              <w:left w:val="single" w:color="000000" w:sz="4" w:space="0"/>
              <w:bottom w:val="single" w:color="000000" w:sz="4" w:space="0"/>
            </w:tcBorders>
            <w:tcW w:w="540" w:type="dxa"/>
            <w:textDirection w:val="lrTb"/>
            <w:noWrap w:val="false"/>
          </w:tcPr>
          <w:p>
            <w:pPr>
              <w:pStyle w:val="940"/>
              <w:contextualSpacing/>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5757" w:type="dxa"/>
            <w:textDirection w:val="lrTb"/>
            <w:noWrap w:val="false"/>
          </w:tcPr>
          <w:p>
            <w:pPr>
              <w:pStyle w:val="940"/>
            </w:pPr>
            <w:r>
              <w:t xml:space="preserve">УМК Босова Л.Л. Информатика (10-11кл.) 2018 г. </w:t>
            </w:r>
            <w:r/>
          </w:p>
        </w:tc>
        <w:tc>
          <w:tcPr>
            <w:tcBorders>
              <w:top w:val="single" w:color="000000" w:sz="4" w:space="0"/>
              <w:left w:val="single" w:color="000000" w:sz="4" w:space="0"/>
              <w:bottom w:val="single" w:color="000000" w:sz="4" w:space="0"/>
              <w:right w:val="single" w:color="000000" w:sz="4" w:space="0"/>
            </w:tcBorders>
            <w:tcW w:w="336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r>
    </w:tbl>
    <w:p>
      <w:pPr>
        <w:pStyle w:val="940"/>
        <w:contextualSpacing/>
        <w:jc w:val="both"/>
        <w:spacing w:before="0" w:after="0"/>
        <w:rPr>
          <w:lang w:eastAsia="en-US"/>
        </w:rPr>
      </w:pPr>
      <w:r>
        <w:rPr>
          <w:lang w:eastAsia="en-US"/>
        </w:rPr>
      </w:r>
      <w:r/>
    </w:p>
    <w:p>
      <w:pPr>
        <w:pStyle w:val="940"/>
        <w:numPr>
          <w:ilvl w:val="1"/>
          <w:numId w:val="47"/>
        </w:numPr>
        <w:ind w:left="0" w:firstLine="0"/>
        <w:jc w:val="both"/>
        <w:keepLines/>
        <w:keepNext/>
        <w:spacing w:before="200" w:after="0"/>
        <w:rPr>
          <w:rFonts w:eastAsia="SimSun;宋体"/>
          <w:b/>
          <w:bCs/>
          <w:sz w:val="28"/>
          <w:lang w:val="en-US"/>
        </w:rPr>
      </w:pPr>
      <w:r>
        <w:rPr>
          <w:rFonts w:eastAsia="SimSun;宋体"/>
          <w:b/>
          <w:bCs/>
          <w:sz w:val="28"/>
          <w:lang w:val="en-US"/>
        </w:rPr>
        <w:t xml:space="preserve">ВЫВОДЫ о характере изменения количества участников ЕГЭ по учебному предмету. </w:t>
      </w:r>
      <w:r/>
    </w:p>
    <w:p>
      <w:pPr>
        <w:pStyle w:val="940"/>
        <w:jc w:val="both"/>
      </w:pPr>
      <w:r/>
      <w:r/>
    </w:p>
    <w:p>
      <w:pPr>
        <w:pStyle w:val="940"/>
        <w:ind w:firstLine="708"/>
        <w:jc w:val="both"/>
      </w:pPr>
      <w:r>
        <w:t xml:space="preserve">Из приведенных данных видно, что доля участников ЕГЭ по информатике стабильно растет. В 2021 году доля участников повысилась на 1,7%. Предполагаем, что в связи с всё увеличивающимся спросом на специалистов в сфере </w:t>
      </w:r>
      <w:r>
        <w:rPr>
          <w:lang w:val="en-US"/>
        </w:rPr>
        <w:t xml:space="preserve">IT</w:t>
      </w:r>
      <w:r>
        <w:t xml:space="preserve"> эта тенденция сохранится и в последующие годы. </w:t>
      </w:r>
      <w:r/>
    </w:p>
    <w:p>
      <w:pPr>
        <w:pStyle w:val="940"/>
        <w:ind w:firstLine="708"/>
        <w:jc w:val="both"/>
      </w:pPr>
      <w:r>
        <w:t xml:space="preserve">Информатика так же, как и физика, остается прерогативой мужской половины выпускников (74,2%), что на 1,7% больше чем в 2020 году.</w:t>
      </w:r>
      <w:r/>
    </w:p>
    <w:p>
      <w:pPr>
        <w:pStyle w:val="940"/>
        <w:ind w:firstLine="708"/>
        <w:jc w:val="both"/>
      </w:pPr>
      <w:r>
        <w:t xml:space="preserve">Можно говорить и о пов</w:t>
      </w:r>
      <w:r>
        <w:t xml:space="preserve">ышении интереса к информатике со стороны выпускников прошлых лет (с 3,3% до 4,6%) и обучающихся по программам СПО (с 0,9% до 2,3%). Основная категория участников – выпускники текущего года. Процентное соотношение участников по типам ОО осталось неизменным.</w:t>
      </w:r>
      <w:r/>
    </w:p>
    <w:p>
      <w:pPr>
        <w:pStyle w:val="940"/>
        <w:ind w:firstLine="708"/>
        <w:jc w:val="both"/>
      </w:pPr>
      <w:r>
        <w:t xml:space="preserve">Происходит незначительное снижение количества участников из Астрахани за счет увеличения по районам области. Заметное увеличение доли участников наблюдается в Камызякском районе (с 1,6% до 3,1%) и Красноярском районе (с 0,7% до 2,3%).</w:t>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rPr>
          <w:rFonts w:eastAsia="Times New Roman"/>
        </w:rPr>
      </w:pPr>
      <w:r>
        <w:rPr>
          <w:rFonts w:eastAsia="Times New Roman"/>
        </w:rPr>
        <w:t xml:space="preserve"> </w:t>
      </w:r>
      <w:r/>
    </w:p>
    <w:p>
      <w:pPr>
        <w:pStyle w:val="940"/>
        <w:jc w:val="both"/>
      </w:pPr>
      <w:r/>
      <w:r/>
    </w:p>
    <w:p>
      <w:pPr>
        <w:pStyle w:val="940"/>
        <w:jc w:val="both"/>
      </w:pPr>
      <w:r/>
      <w:r/>
    </w:p>
    <w:p>
      <w:pPr>
        <w:pStyle w:val="940"/>
        <w:numPr>
          <w:ilvl w:val="1"/>
          <w:numId w:val="60"/>
        </w:numPr>
        <w:jc w:val="center"/>
        <w:keepLines/>
        <w:keepNext/>
        <w:spacing w:before="40" w:after="0"/>
        <w:tabs>
          <w:tab w:val="left" w:pos="360" w:leader="none"/>
          <w:tab w:val="clear" w:pos="708" w:leader="none"/>
        </w:tabs>
        <w:rPr>
          <w:rFonts w:eastAsia="SimSun;宋体"/>
          <w:b/>
          <w:bCs/>
          <w:sz w:val="28"/>
          <w:szCs w:val="28"/>
          <w:lang w:val="en-US"/>
        </w:rPr>
      </w:pPr>
      <w:r>
        <w:rPr>
          <w:rFonts w:eastAsia="SimSun;宋体"/>
          <w:b/>
          <w:bCs/>
          <w:sz w:val="28"/>
          <w:szCs w:val="28"/>
          <w:lang w:val="en-US"/>
        </w:rPr>
        <w:t xml:space="preserve">РАЗДЕЛ 2.  ОСНОВНЫЕ РЕЗУЛЬТАТЫ ЕГЭ ПО ПРЕДМЕТУ</w:t>
      </w:r>
      <w:r/>
    </w:p>
    <w:p>
      <w:pPr>
        <w:pStyle w:val="940"/>
        <w:jc w:val="center"/>
      </w:pPr>
      <w:r>
        <w:rPr>
          <w:rFonts w:eastAsia="SimSun;宋体"/>
          <w:b/>
          <w:bCs/>
          <w:sz w:val="32"/>
          <w:szCs w:val="28"/>
          <w:u w:val="single"/>
        </w:rPr>
        <w:t xml:space="preserve">«Информатика и ИКТ (КЕГЭ)»</w:t>
      </w:r>
      <w:r>
        <w:rPr>
          <w:rFonts w:eastAsia="SimSun;宋体"/>
          <w:b/>
          <w:bCs/>
          <w:sz w:val="32"/>
          <w:szCs w:val="28"/>
          <w:lang w:val="en-US"/>
        </w:rPr>
        <w:br/>
      </w:r>
      <w:r/>
    </w:p>
    <w:p>
      <w:pPr>
        <w:pStyle w:val="940"/>
        <w:jc w:val="both"/>
        <w:keepLines/>
        <w:keepNext/>
        <w:spacing w:before="200" w:after="0"/>
      </w:pPr>
      <w:r>
        <w:rPr>
          <w:rFonts w:eastAsia="SimSun;宋体"/>
          <w:b/>
          <w:bCs/>
          <w:sz w:val="28"/>
        </w:rPr>
        <w:t xml:space="preserve">2.1. </w:t>
      </w:r>
      <w:r>
        <w:rPr>
          <w:rFonts w:eastAsia="SimSun;宋体"/>
          <w:b/>
          <w:bCs/>
          <w:sz w:val="28"/>
          <w:lang w:val="en-US"/>
        </w:rPr>
        <w:t xml:space="preserve">Диаграмма распределения тестовых баллов </w:t>
      </w:r>
      <w:r>
        <w:rPr>
          <w:rFonts w:eastAsia="SimSun;宋体"/>
          <w:b/>
          <w:bCs/>
          <w:sz w:val="28"/>
        </w:rPr>
        <w:t xml:space="preserve">участников ЕГЭ </w:t>
      </w:r>
      <w:r>
        <w:rPr>
          <w:rFonts w:eastAsia="SimSun;宋体"/>
          <w:b/>
          <w:bCs/>
          <w:sz w:val="28"/>
          <w:lang w:val="en-US"/>
        </w:rPr>
        <w:t xml:space="preserve">по предмету</w:t>
      </w:r>
      <w:r>
        <w:rPr>
          <w:rFonts w:eastAsia="SimSun;宋体"/>
          <w:b/>
          <w:bCs/>
          <w:sz w:val="28"/>
        </w:rPr>
        <w:t xml:space="preserve"> </w:t>
      </w:r>
      <w:r>
        <w:rPr>
          <w:rFonts w:eastAsia="SimSun;宋体"/>
          <w:b/>
          <w:bCs/>
          <w:sz w:val="28"/>
          <w:lang w:val="en-US"/>
        </w:rPr>
        <w:t xml:space="preserve">в</w:t>
      </w:r>
      <w:r>
        <w:rPr>
          <w:rFonts w:eastAsia="SimSun;宋体"/>
          <w:b/>
          <w:bCs/>
          <w:sz w:val="28"/>
        </w:rPr>
        <w:t xml:space="preserve"> </w:t>
      </w:r>
      <w:r>
        <w:rPr>
          <w:rFonts w:eastAsia="SimSun;宋体"/>
          <w:b/>
          <w:bCs/>
          <w:sz w:val="28"/>
          <w:lang w:val="en-US"/>
        </w:rPr>
        <w:t xml:space="preserve">2021</w:t>
      </w:r>
      <w:r>
        <w:rPr>
          <w:rFonts w:eastAsia="SimSun;宋体"/>
          <w:b/>
          <w:bCs/>
          <w:sz w:val="28"/>
        </w:rPr>
        <w:t xml:space="preserve"> </w:t>
      </w:r>
      <w:r>
        <w:rPr>
          <w:rFonts w:eastAsia="SimSun;宋体"/>
          <w:b/>
          <w:bCs/>
          <w:sz w:val="28"/>
          <w:lang w:val="en-US"/>
        </w:rPr>
        <w:t xml:space="preserve">г.</w:t>
      </w:r>
      <w:r>
        <w:rPr>
          <w:rFonts w:eastAsia="SimSun;宋体"/>
          <w:b/>
          <w:bCs/>
          <w:sz w:val="28"/>
        </w:rPr>
        <w:t xml:space="preserve"> </w:t>
      </w:r>
      <w:r/>
    </w:p>
    <w:p>
      <w:pPr>
        <w:pStyle w:val="940"/>
        <w:jc w:val="both"/>
        <w:keepLines/>
        <w:keepNext/>
        <w:spacing w:before="200" w:after="0"/>
        <w:rPr>
          <w:rFonts w:eastAsia="SimSun;宋体"/>
          <w:bCs/>
          <w:i/>
          <w:lang w:val="en-US"/>
        </w:rPr>
      </w:pPr>
      <w:r>
        <w:rPr>
          <w:rFonts w:eastAsia="SimSun;宋体"/>
          <w:bCs/>
          <w:i/>
          <w:lang w:val="en-US"/>
        </w:rPr>
        <w:t xml:space="preserve">(количество участников, получивших тот или иной тестовый балл)</w:t>
      </w:r>
      <w:r/>
    </w:p>
    <w:p>
      <w:pPr>
        <w:pStyle w:val="940"/>
        <w:rPr>
          <w:rFonts w:eastAsia="SimSun;宋体"/>
          <w:bCs/>
          <w:i/>
          <w:lang w:val="en-US"/>
        </w:rPr>
      </w:pPr>
      <w:r>
        <w:rPr>
          <w:rFonts w:eastAsia="SimSun;宋体"/>
          <w:bCs/>
          <w:i/>
          <w:lang w:val="en-US"/>
        </w:rPr>
      </w:r>
      <w:r/>
    </w:p>
    <w:p>
      <w:pPr>
        <w:pStyle w:val="940"/>
        <w:rPr>
          <w:rFonts w:eastAsia="SimSun;宋体"/>
          <w:bCs/>
          <w:i/>
          <w:lang w:val="en-US"/>
        </w:rPr>
      </w:pPr>
      <w:r>
        <w:rPr>
          <w:rFonts w:eastAsia="SimSun;宋体"/>
          <w:bCs/>
          <w:i/>
          <w:lang w:val="en-US"/>
        </w:rPr>
      </w:r>
      <w:r/>
    </w:p>
    <w:p>
      <w:pPr>
        <w:pStyle w:val="940"/>
        <w:jc w:val="center"/>
        <w:rPr>
          <w:lang w:val="en-US" w:eastAsia="en-US"/>
        </w:rPr>
      </w:pPr>
      <w:r>
        <w:rPr>
          <w:lang w:val="en-US" w:eastAsia="en-US"/>
        </w:rPr>
        <mc:AlternateContent>
          <mc:Choice Requires="wpg">
            <w:drawing>
              <wp:inline xmlns:wp="http://schemas.openxmlformats.org/drawingml/2006/wordprocessingDrawing" distT="0" distB="0" distL="0" distR="0">
                <wp:extent cx="6060440" cy="1737360"/>
                <wp:effectExtent l="0" t="0" r="0" b="0"/>
                <wp:docPr id="19" name="Image14"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hidden="0"/>
                        <pic:cNvPicPr>
                          <a:picLocks noChangeAspect="1"/>
                        </pic:cNvPicPr>
                        <pic:nvPr isPhoto="0" userDrawn="0"/>
                      </pic:nvPicPr>
                      <pic:blipFill>
                        <a:blip r:embed="rId42"/>
                        <a:srcRect l="0" t="7725" r="0" b="0"/>
                        <a:stretch/>
                      </pic:blipFill>
                      <pic:spPr bwMode="auto">
                        <a:xfrm>
                          <a:off x="0" y="0"/>
                          <a:ext cx="6060440" cy="1737360"/>
                        </a:xfrm>
                        <a:prstGeom prst="rect">
                          <a:avLst/>
                        </a:prstGeom>
                        <a:ln w="9525">
                          <a:solidFill>
                            <a:srgbClr val="000000"/>
                          </a:solid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77.2pt;height:136.8pt;" strokecolor="#000000" strokeweight="0.75pt">
                <v:path textboxrect="0,0,0,0"/>
                <v:imagedata r:id="rId42" o:title=""/>
              </v:shape>
            </w:pict>
          </mc:Fallback>
        </mc:AlternateContent>
      </w:r>
      <w:r/>
    </w:p>
    <w:p>
      <w:pPr>
        <w:pStyle w:val="940"/>
      </w:pPr>
      <w:r/>
      <w:r/>
    </w:p>
    <w:p>
      <w:pPr>
        <w:pStyle w:val="940"/>
        <w:keepLines/>
        <w:keepNext/>
        <w:spacing w:before="200" w:after="0"/>
        <w:tabs>
          <w:tab w:val="left" w:pos="142" w:leader="none"/>
          <w:tab w:val="clear" w:pos="708" w:leader="none"/>
        </w:tabs>
      </w:pPr>
      <w:r>
        <w:rPr>
          <w:rFonts w:eastAsia="SimSun;宋体"/>
          <w:b/>
          <w:bCs/>
          <w:sz w:val="28"/>
        </w:rPr>
        <w:t xml:space="preserve">2.2.  </w:t>
      </w:r>
      <w:r>
        <w:rPr>
          <w:rFonts w:eastAsia="SimSun;宋体"/>
          <w:b/>
          <w:bCs/>
          <w:sz w:val="28"/>
          <w:lang w:val="en-US"/>
        </w:rPr>
        <w:t xml:space="preserve">Динамика результатов ЕГЭ по предмету за последние 3 года</w:t>
      </w:r>
      <w:r/>
    </w:p>
    <w:p>
      <w:pPr>
        <w:pStyle w:val="940"/>
        <w:jc w:val="right"/>
        <w:keepNext/>
        <w:spacing w:before="0" w:after="200"/>
        <w:rPr>
          <w:bCs/>
          <w:i/>
          <w:sz w:val="18"/>
          <w:szCs w:val="18"/>
        </w:rPr>
      </w:pPr>
      <w:r>
        <w:rPr>
          <w:bCs/>
          <w:i/>
          <w:sz w:val="18"/>
          <w:szCs w:val="18"/>
        </w:rPr>
        <w:t xml:space="preserve">Таблица 2-7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4933"/>
        <w:gridCol w:w="1568"/>
        <w:gridCol w:w="1704"/>
        <w:gridCol w:w="1454"/>
      </w:tblGrid>
      <w:tr>
        <w:trPr>
          <w:cantSplit/>
          <w:trHeight w:val="352"/>
          <w:tblHeader/>
        </w:trPr>
        <w:tc>
          <w:tcPr>
            <w:tcBorders>
              <w:top w:val="single" w:color="000000" w:sz="4" w:space="0"/>
              <w:left w:val="single" w:color="000000" w:sz="4" w:space="0"/>
              <w:bottom w:val="single" w:color="000000" w:sz="4" w:space="0"/>
            </w:tcBorders>
            <w:tcW w:w="4933" w:type="dxa"/>
            <w:vMerge w:val="restart"/>
            <w:textDirection w:val="lrTb"/>
            <w:noWrap w:val="false"/>
          </w:tcPr>
          <w:p>
            <w:pPr>
              <w:pStyle w:val="940"/>
              <w:contextualSpacing/>
              <w:jc w:val="both"/>
              <w:spacing w:before="0" w:after="0"/>
              <w:rPr>
                <w:rFonts w:eastAsia="MS Mincho;ＭＳ 明朝"/>
              </w:rPr>
            </w:pPr>
            <w:r>
              <w:rPr>
                <w:rFonts w:eastAsia="MS Mincho;ＭＳ 明朝"/>
              </w:rPr>
            </w:r>
            <w:r/>
          </w:p>
        </w:tc>
        <w:tc>
          <w:tcPr>
            <w:gridSpan w:val="3"/>
            <w:tcBorders>
              <w:top w:val="single" w:color="000000" w:sz="4" w:space="0"/>
              <w:left w:val="single" w:color="000000" w:sz="4" w:space="0"/>
              <w:bottom w:val="single" w:color="000000" w:sz="4" w:space="0"/>
              <w:right w:val="single" w:color="000000" w:sz="4" w:space="0"/>
            </w:tcBorders>
            <w:tcW w:w="4726" w:type="dxa"/>
            <w:textDirection w:val="lrTb"/>
            <w:noWrap w:val="false"/>
          </w:tcPr>
          <w:p>
            <w:pPr>
              <w:pStyle w:val="940"/>
              <w:contextualSpacing/>
              <w:jc w:val="center"/>
              <w:spacing w:before="0" w:after="0"/>
              <w:rPr>
                <w:rFonts w:eastAsia="MS Mincho;ＭＳ 明朝"/>
              </w:rPr>
            </w:pPr>
            <w:r>
              <w:rPr>
                <w:rFonts w:eastAsia="MS Mincho;ＭＳ 明朝"/>
              </w:rPr>
              <w:t xml:space="preserve">Астраханская область</w:t>
            </w:r>
            <w:r/>
          </w:p>
        </w:tc>
      </w:tr>
      <w:tr>
        <w:trPr>
          <w:cantSplit/>
          <w:trHeight w:val="161"/>
          <w:tblHeader/>
        </w:trPr>
        <w:tc>
          <w:tcPr>
            <w:tcBorders>
              <w:top w:val="single" w:color="000000" w:sz="4" w:space="0"/>
              <w:left w:val="single" w:color="000000" w:sz="4" w:space="0"/>
              <w:bottom w:val="single" w:color="000000" w:sz="4" w:space="0"/>
            </w:tcBorders>
            <w:tcW w:w="4933" w:type="dxa"/>
            <w:vMerge w:val="continue"/>
            <w:textDirection w:val="lrTb"/>
            <w:noWrap w:val="false"/>
          </w:tcPr>
          <w:p>
            <w:pPr>
              <w:pStyle w:val="940"/>
              <w:contextualSpacing/>
              <w:jc w:val="both"/>
              <w:spacing w:before="0" w:after="0"/>
              <w:rPr>
                <w:rFonts w:eastAsia="MS Mincho;ＭＳ 明朝"/>
              </w:rPr>
            </w:pPr>
            <w:r>
              <w:rPr>
                <w:rFonts w:eastAsia="MS Mincho;ＭＳ 明朝"/>
              </w:rPr>
            </w:r>
            <w:r/>
          </w:p>
        </w:tc>
        <w:tc>
          <w:tcPr>
            <w:tcBorders>
              <w:top w:val="single" w:color="000000" w:sz="4" w:space="0"/>
              <w:left w:val="single" w:color="000000" w:sz="4" w:space="0"/>
              <w:bottom w:val="single" w:color="000000" w:sz="4" w:space="0"/>
            </w:tcBorders>
            <w:tcW w:w="1568" w:type="dxa"/>
            <w:textDirection w:val="lrTb"/>
            <w:noWrap w:val="false"/>
          </w:tcPr>
          <w:p>
            <w:pPr>
              <w:pStyle w:val="940"/>
              <w:contextualSpacing/>
              <w:jc w:val="center"/>
              <w:spacing w:before="0" w:after="0"/>
              <w:rPr>
                <w:rFonts w:eastAsia="MS Mincho;ＭＳ 明朝"/>
              </w:rPr>
            </w:pPr>
            <w:r>
              <w:rPr>
                <w:rFonts w:eastAsia="MS Mincho;ＭＳ 明朝"/>
              </w:rPr>
              <w:t xml:space="preserve">2019 г.</w:t>
            </w:r>
            <w:r/>
          </w:p>
        </w:tc>
        <w:tc>
          <w:tcPr>
            <w:tcBorders>
              <w:top w:val="single" w:color="000000" w:sz="4" w:space="0"/>
              <w:left w:val="single" w:color="000000" w:sz="4" w:space="0"/>
              <w:bottom w:val="single" w:color="000000" w:sz="4" w:space="0"/>
            </w:tcBorders>
            <w:tcW w:w="1704" w:type="dxa"/>
            <w:textDirection w:val="lrTb"/>
            <w:noWrap w:val="false"/>
          </w:tcPr>
          <w:p>
            <w:pPr>
              <w:pStyle w:val="940"/>
              <w:contextualSpacing/>
              <w:jc w:val="center"/>
              <w:spacing w:before="0" w:after="0"/>
              <w:rPr>
                <w:rFonts w:eastAsia="MS Mincho;ＭＳ 明朝"/>
              </w:rPr>
            </w:pPr>
            <w:r>
              <w:rPr>
                <w:rFonts w:eastAsia="MS Mincho;ＭＳ 明朝"/>
              </w:rPr>
              <w:t xml:space="preserve">2020 г.</w:t>
            </w:r>
            <w:r/>
          </w:p>
        </w:tc>
        <w:tc>
          <w:tcPr>
            <w:tcBorders>
              <w:top w:val="single" w:color="000000" w:sz="4" w:space="0"/>
              <w:left w:val="single" w:color="000000" w:sz="4" w:space="0"/>
              <w:bottom w:val="single" w:color="000000" w:sz="4" w:space="0"/>
              <w:right w:val="single" w:color="000000" w:sz="4" w:space="0"/>
            </w:tcBorders>
            <w:tcW w:w="1454" w:type="dxa"/>
            <w:textDirection w:val="lrTb"/>
            <w:noWrap w:val="false"/>
          </w:tcPr>
          <w:p>
            <w:pPr>
              <w:pStyle w:val="940"/>
              <w:contextualSpacing/>
              <w:jc w:val="center"/>
              <w:spacing w:before="0" w:after="0"/>
              <w:rPr>
                <w:rFonts w:eastAsia="MS Mincho;ＭＳ 明朝"/>
              </w:rPr>
            </w:pPr>
            <w:r>
              <w:rPr>
                <w:rFonts w:eastAsia="MS Mincho;ＭＳ 明朝"/>
              </w:rPr>
              <w:t xml:space="preserve">2021 г.</w:t>
            </w:r>
            <w:r/>
          </w:p>
        </w:tc>
      </w:tr>
      <w:tr>
        <w:trPr>
          <w:cantSplit/>
          <w:trHeight w:val="363"/>
        </w:trPr>
        <w:tc>
          <w:tcPr>
            <w:tcBorders>
              <w:top w:val="single" w:color="000000" w:sz="4" w:space="0"/>
              <w:left w:val="single" w:color="000000" w:sz="4" w:space="0"/>
              <w:bottom w:val="single" w:color="000000" w:sz="4" w:space="0"/>
            </w:tcBorders>
            <w:tcW w:w="4933" w:type="dxa"/>
            <w:textDirection w:val="lrTb"/>
            <w:noWrap w:val="false"/>
          </w:tcPr>
          <w:p>
            <w:pPr>
              <w:pStyle w:val="940"/>
              <w:contextualSpacing/>
              <w:jc w:val="both"/>
              <w:spacing w:before="0" w:after="0"/>
              <w:rPr>
                <w:rFonts w:eastAsia="MS Mincho;ＭＳ 明朝"/>
              </w:rPr>
            </w:pPr>
            <w:r>
              <w:rPr>
                <w:rFonts w:eastAsia="MS Mincho;ＭＳ 明朝"/>
              </w:rPr>
              <w:t xml:space="preserve">Не преодолели минимального балла, %</w:t>
            </w:r>
            <w:r/>
          </w:p>
        </w:tc>
        <w:tc>
          <w:tcPr>
            <w:tcBorders>
              <w:top w:val="single" w:color="000000" w:sz="4" w:space="0"/>
              <w:left w:val="single" w:color="000000" w:sz="4" w:space="0"/>
              <w:bottom w:val="single" w:color="000000" w:sz="4" w:space="0"/>
            </w:tcBorders>
            <w:tcW w:w="1568" w:type="dxa"/>
            <w:vAlign w:val="center"/>
            <w:textDirection w:val="lrTb"/>
            <w:noWrap w:val="false"/>
          </w:tcPr>
          <w:p>
            <w:pPr>
              <w:pStyle w:val="940"/>
              <w:jc w:val="center"/>
              <w:rPr>
                <w:color w:val="000000"/>
              </w:rPr>
            </w:pPr>
            <w:r>
              <w:rPr>
                <w:color w:val="000000"/>
              </w:rPr>
              <w:t xml:space="preserve">10,7</w:t>
            </w:r>
            <w:r/>
          </w:p>
        </w:tc>
        <w:tc>
          <w:tcPr>
            <w:tcBorders>
              <w:top w:val="single" w:color="000000" w:sz="4" w:space="0"/>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9,2</w:t>
            </w:r>
            <w:r/>
          </w:p>
        </w:tc>
        <w:tc>
          <w:tcPr>
            <w:tcBorders>
              <w:top w:val="single" w:color="000000" w:sz="4" w:space="0"/>
              <w:left w:val="single" w:color="000000" w:sz="4" w:space="0"/>
              <w:bottom w:val="single" w:color="000000" w:sz="4" w:space="0"/>
              <w:right w:val="single" w:color="000000" w:sz="4" w:space="0"/>
            </w:tcBorders>
            <w:tcW w:w="1454" w:type="dxa"/>
            <w:textDirection w:val="lrTb"/>
            <w:noWrap w:val="false"/>
          </w:tcPr>
          <w:p>
            <w:pPr>
              <w:pStyle w:val="940"/>
              <w:jc w:val="center"/>
            </w:pPr>
            <w:r>
              <w:t xml:space="preserve">13,8</w:t>
            </w:r>
            <w:r/>
          </w:p>
        </w:tc>
      </w:tr>
      <w:tr>
        <w:trPr>
          <w:cantSplit/>
          <w:trHeight w:val="368"/>
        </w:trPr>
        <w:tc>
          <w:tcPr>
            <w:tcBorders>
              <w:top w:val="single" w:color="000000" w:sz="4" w:space="0"/>
              <w:left w:val="single" w:color="000000" w:sz="4" w:space="0"/>
              <w:bottom w:val="single" w:color="000000" w:sz="4" w:space="0"/>
            </w:tcBorders>
            <w:tcW w:w="4933" w:type="dxa"/>
            <w:textDirection w:val="lrTb"/>
            <w:noWrap w:val="false"/>
          </w:tcPr>
          <w:p>
            <w:pPr>
              <w:pStyle w:val="940"/>
              <w:contextualSpacing/>
              <w:jc w:val="both"/>
              <w:spacing w:before="0" w:after="0"/>
              <w:rPr>
                <w:rFonts w:eastAsia="MS Mincho;ＭＳ 明朝"/>
              </w:rPr>
            </w:pPr>
            <w:r>
              <w:rPr>
                <w:rFonts w:eastAsia="MS Mincho;ＭＳ 明朝"/>
              </w:rPr>
              <w:t xml:space="preserve">Средний тестовый балл</w:t>
            </w:r>
            <w:r/>
          </w:p>
        </w:tc>
        <w:tc>
          <w:tcPr>
            <w:tcBorders>
              <w:left w:val="single" w:color="000000" w:sz="4" w:space="0"/>
              <w:bottom w:val="single" w:color="000000" w:sz="4" w:space="0"/>
            </w:tcBorders>
            <w:tcW w:w="1568" w:type="dxa"/>
            <w:vAlign w:val="center"/>
            <w:textDirection w:val="lrTb"/>
            <w:noWrap w:val="false"/>
          </w:tcPr>
          <w:p>
            <w:pPr>
              <w:pStyle w:val="940"/>
              <w:jc w:val="center"/>
              <w:rPr>
                <w:color w:val="000000"/>
              </w:rPr>
            </w:pPr>
            <w:r>
              <w:rPr>
                <w:color w:val="000000"/>
              </w:rPr>
              <w:t xml:space="preserve">60,0</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60,4</w:t>
            </w:r>
            <w:r/>
          </w:p>
        </w:tc>
        <w:tc>
          <w:tcPr>
            <w:tcBorders>
              <w:top w:val="single" w:color="000000" w:sz="4" w:space="0"/>
              <w:left w:val="single" w:color="000000" w:sz="4" w:space="0"/>
              <w:bottom w:val="single" w:color="000000" w:sz="4" w:space="0"/>
              <w:right w:val="single" w:color="000000" w:sz="4" w:space="0"/>
            </w:tcBorders>
            <w:tcW w:w="1454" w:type="dxa"/>
            <w:textDirection w:val="lrTb"/>
            <w:noWrap w:val="false"/>
          </w:tcPr>
          <w:p>
            <w:pPr>
              <w:pStyle w:val="940"/>
              <w:jc w:val="center"/>
            </w:pPr>
            <w:r>
              <w:t xml:space="preserve">57,7</w:t>
            </w:r>
            <w:r/>
          </w:p>
        </w:tc>
      </w:tr>
      <w:tr>
        <w:trPr>
          <w:cantSplit/>
          <w:trHeight w:val="352"/>
        </w:trPr>
        <w:tc>
          <w:tcPr>
            <w:tcBorders>
              <w:top w:val="single" w:color="000000" w:sz="4" w:space="0"/>
              <w:left w:val="single" w:color="000000" w:sz="4" w:space="0"/>
              <w:bottom w:val="single" w:color="000000" w:sz="4" w:space="0"/>
            </w:tcBorders>
            <w:tcW w:w="4933"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от 81 до 99 баллов, %</w:t>
            </w:r>
            <w:r/>
          </w:p>
        </w:tc>
        <w:tc>
          <w:tcPr>
            <w:tcBorders>
              <w:left w:val="single" w:color="000000" w:sz="4" w:space="0"/>
              <w:bottom w:val="single" w:color="000000" w:sz="4" w:space="0"/>
            </w:tcBorders>
            <w:tcW w:w="1568" w:type="dxa"/>
            <w:vAlign w:val="center"/>
            <w:textDirection w:val="lrTb"/>
            <w:noWrap w:val="false"/>
          </w:tcPr>
          <w:p>
            <w:pPr>
              <w:pStyle w:val="940"/>
              <w:jc w:val="center"/>
              <w:rPr>
                <w:color w:val="000000"/>
              </w:rPr>
            </w:pPr>
            <w:r>
              <w:rPr>
                <w:color w:val="000000"/>
              </w:rPr>
              <w:t xml:space="preserve">15,3</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17,6</w:t>
            </w:r>
            <w:r/>
          </w:p>
        </w:tc>
        <w:tc>
          <w:tcPr>
            <w:tcBorders>
              <w:top w:val="single" w:color="000000" w:sz="4" w:space="0"/>
              <w:left w:val="single" w:color="000000" w:sz="4" w:space="0"/>
              <w:bottom w:val="single" w:color="000000" w:sz="4" w:space="0"/>
              <w:right w:val="single" w:color="000000" w:sz="4" w:space="0"/>
            </w:tcBorders>
            <w:tcW w:w="1454" w:type="dxa"/>
            <w:textDirection w:val="lrTb"/>
            <w:noWrap w:val="false"/>
          </w:tcPr>
          <w:p>
            <w:pPr>
              <w:pStyle w:val="940"/>
              <w:jc w:val="center"/>
            </w:pPr>
            <w:r>
              <w:t xml:space="preserve">13,6</w:t>
            </w:r>
            <w:r/>
          </w:p>
        </w:tc>
      </w:tr>
      <w:tr>
        <w:trPr>
          <w:cantSplit/>
          <w:trHeight w:val="614"/>
        </w:trPr>
        <w:tc>
          <w:tcPr>
            <w:tcBorders>
              <w:top w:val="single" w:color="000000" w:sz="4" w:space="0"/>
              <w:left w:val="single" w:color="000000" w:sz="4" w:space="0"/>
              <w:bottom w:val="single" w:color="000000" w:sz="4" w:space="0"/>
            </w:tcBorders>
            <w:tcW w:w="4933" w:type="dxa"/>
            <w:textDirection w:val="lrTb"/>
            <w:noWrap w:val="false"/>
          </w:tcPr>
          <w:p>
            <w:pPr>
              <w:pStyle w:val="940"/>
              <w:contextualSpacing/>
              <w:jc w:val="both"/>
              <w:spacing w:before="0" w:after="0"/>
              <w:rPr>
                <w:rFonts w:eastAsia="MS Mincho;ＭＳ 明朝"/>
              </w:rPr>
            </w:pPr>
            <w:r>
              <w:rPr>
                <w:rFonts w:eastAsia="MS Mincho;ＭＳ 明朝"/>
              </w:rPr>
              <w:t xml:space="preserve">Получили 100 баллов, чел.</w:t>
            </w:r>
            <w:r/>
          </w:p>
        </w:tc>
        <w:tc>
          <w:tcPr>
            <w:tcBorders>
              <w:left w:val="single" w:color="000000" w:sz="4" w:space="0"/>
              <w:bottom w:val="single" w:color="000000" w:sz="4" w:space="0"/>
            </w:tcBorders>
            <w:tcW w:w="1568" w:type="dxa"/>
            <w:vAlign w:val="center"/>
            <w:textDirection w:val="lrTb"/>
            <w:noWrap w:val="false"/>
          </w:tcPr>
          <w:p>
            <w:pPr>
              <w:pStyle w:val="940"/>
              <w:jc w:val="center"/>
              <w:rPr>
                <w:color w:val="000000"/>
              </w:rPr>
            </w:pPr>
            <w:r>
              <w:rPr>
                <w:color w:val="000000"/>
              </w:rPr>
              <w:t xml:space="preserve">4</w:t>
            </w:r>
            <w:r/>
          </w:p>
        </w:tc>
        <w:tc>
          <w:tcPr>
            <w:tcBorders>
              <w:left w:val="single" w:color="000000" w:sz="4" w:space="0"/>
              <w:bottom w:val="single" w:color="000000" w:sz="4" w:space="0"/>
            </w:tcBorders>
            <w:tcW w:w="1704" w:type="dxa"/>
            <w:vAlign w:val="center"/>
            <w:textDirection w:val="lrTb"/>
            <w:noWrap w:val="false"/>
          </w:tcPr>
          <w:p>
            <w:pPr>
              <w:pStyle w:val="940"/>
              <w:jc w:val="center"/>
              <w:rPr>
                <w:color w:val="000000"/>
              </w:rPr>
            </w:pPr>
            <w:r>
              <w:rPr>
                <w:color w:val="000000"/>
              </w:rPr>
              <w:t xml:space="preserve">0</w:t>
            </w:r>
            <w:r/>
          </w:p>
        </w:tc>
        <w:tc>
          <w:tcPr>
            <w:tcBorders>
              <w:top w:val="single" w:color="000000" w:sz="4" w:space="0"/>
              <w:left w:val="single" w:color="000000" w:sz="4" w:space="0"/>
              <w:bottom w:val="single" w:color="000000" w:sz="4" w:space="0"/>
              <w:right w:val="single" w:color="000000" w:sz="4" w:space="0"/>
            </w:tcBorders>
            <w:tcW w:w="1454" w:type="dxa"/>
            <w:textDirection w:val="lrTb"/>
            <w:noWrap w:val="false"/>
          </w:tcPr>
          <w:p>
            <w:pPr>
              <w:pStyle w:val="940"/>
              <w:jc w:val="center"/>
            </w:pPr>
            <w:r>
              <w:t xml:space="preserve">0</w:t>
            </w:r>
            <w:r/>
          </w:p>
        </w:tc>
      </w:tr>
    </w:tbl>
    <w:p>
      <w:pPr>
        <w:pStyle w:val="940"/>
        <w:jc w:val="both"/>
        <w:tabs>
          <w:tab w:val="clear" w:pos="708" w:leader="none"/>
          <w:tab w:val="left" w:pos="709" w:leader="none"/>
        </w:tabs>
      </w:pPr>
      <w:r/>
      <w:r/>
    </w:p>
    <w:p>
      <w:pPr>
        <w:pStyle w:val="940"/>
        <w:jc w:val="both"/>
        <w:keepLines/>
        <w:keepNext/>
        <w:spacing w:before="200" w:after="0"/>
        <w:tabs>
          <w:tab w:val="left" w:pos="142" w:leader="none"/>
          <w:tab w:val="clear" w:pos="708" w:leader="none"/>
        </w:tabs>
      </w:pPr>
      <w:r>
        <w:rPr>
          <w:rFonts w:eastAsia="SimSun;宋体"/>
          <w:b/>
          <w:bCs/>
          <w:sz w:val="28"/>
        </w:rPr>
        <w:t xml:space="preserve">2.3. </w:t>
      </w:r>
      <w:r>
        <w:rPr>
          <w:rFonts w:eastAsia="SimSun;宋体"/>
          <w:b/>
          <w:bCs/>
          <w:sz w:val="28"/>
          <w:lang w:val="en-US"/>
        </w:rPr>
        <w:t xml:space="preserve">Результаты по группам участников экзамена с различным уровнем подготовки:</w:t>
      </w:r>
      <w:r/>
    </w:p>
    <w:p>
      <w:pPr>
        <w:pStyle w:val="940"/>
        <w:ind w:left="567" w:firstLine="0"/>
        <w:keepLines/>
        <w:keepNext/>
        <w:spacing w:before="200" w:after="0"/>
      </w:pPr>
      <w:r>
        <w:rPr>
          <w:rFonts w:eastAsia="SimSun;宋体"/>
          <w:b/>
          <w:sz w:val="28"/>
        </w:rPr>
        <w:t xml:space="preserve">2.3.1.</w:t>
      </w:r>
      <w:r>
        <w:rPr>
          <w:rFonts w:eastAsia="SimSun;宋体"/>
          <w:sz w:val="28"/>
        </w:rPr>
        <w:t xml:space="preserve"> </w:t>
      </w:r>
      <w:r>
        <w:rPr>
          <w:rFonts w:eastAsia="SimSun;宋体"/>
          <w:sz w:val="28"/>
          <w:lang w:val="en-US"/>
        </w:rPr>
        <w:t xml:space="preserve">в разрезе категорий</w:t>
      </w:r>
      <w:r>
        <w:rPr>
          <w:rFonts w:eastAsia="SimSun;宋体"/>
          <w:sz w:val="28"/>
        </w:rPr>
        <w:t xml:space="preserve"> </w:t>
      </w:r>
      <w:r>
        <w:rPr>
          <w:rFonts w:eastAsia="SimSun;宋体"/>
          <w:sz w:val="28"/>
          <w:lang w:val="en-US"/>
        </w:rPr>
        <w:t xml:space="preserve">участников ЕГЭ </w:t>
      </w:r>
      <w:r/>
    </w:p>
    <w:p>
      <w:pPr>
        <w:pStyle w:val="940"/>
        <w:jc w:val="right"/>
        <w:keepNext/>
        <w:spacing w:before="0" w:after="200"/>
        <w:rPr>
          <w:bCs/>
          <w:i/>
          <w:sz w:val="18"/>
          <w:szCs w:val="18"/>
        </w:rPr>
      </w:pPr>
      <w:r>
        <w:rPr>
          <w:bCs/>
          <w:i/>
          <w:sz w:val="18"/>
          <w:szCs w:val="18"/>
        </w:rPr>
        <w:t xml:space="preserve">Таблица 2-8</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1445"/>
        <w:gridCol w:w="1174"/>
        <w:gridCol w:w="1174"/>
        <w:gridCol w:w="1147"/>
        <w:gridCol w:w="1212"/>
        <w:gridCol w:w="1211"/>
        <w:gridCol w:w="1211"/>
        <w:gridCol w:w="1085"/>
      </w:tblGrid>
      <w:tr>
        <w:trPr>
          <w:cantSplit/>
          <w:trHeight w:val="1052"/>
          <w:tblHeader/>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текущего года, обучающиеся по программам СОО</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по программам СПО</w:t>
            </w:r>
            <w:r/>
          </w:p>
        </w:tc>
        <w:tc>
          <w:tcPr>
            <w:tcBorders>
              <w:top w:val="single" w:color="000000" w:sz="4" w:space="0"/>
              <w:left w:val="single" w:color="000000" w:sz="4" w:space="0"/>
              <w:bottom w:val="single" w:color="000000" w:sz="4" w:space="0"/>
            </w:tcBorders>
            <w:tcW w:w="1147"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прошлых лет</w:t>
            </w:r>
            <w:r/>
          </w:p>
        </w:tc>
        <w:tc>
          <w:tcPr>
            <w:tcBorders>
              <w:top w:val="single" w:color="000000" w:sz="4" w:space="0"/>
              <w:left w:val="single" w:color="000000" w:sz="4" w:space="0"/>
              <w:bottom w:val="single" w:color="000000" w:sz="4" w:space="0"/>
            </w:tcBorders>
            <w:tcW w:w="1212" w:type="dxa"/>
            <w:vAlign w:val="center"/>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Участники ЕГЭ с ОВЗ</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Обучающиеся иностранного государства</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p>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Экстерны</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Выпускники ОО других регионов</w:t>
            </w:r>
            <w:r/>
          </w:p>
        </w:tc>
      </w:tr>
      <w:tr>
        <w:trPr>
          <w:cantSplit/>
          <w:trHeight w:val="824"/>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набравших балл ниже минимального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13,3</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16,7</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20,8</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1096"/>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тестовый балл от минимального балла до 60 баллов</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45,1</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75,0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33,3</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50,0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11"/>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61 до 80 баллов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28,2</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8,3</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25,0</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r>
      <w:tr>
        <w:trPr>
          <w:cantSplit/>
          <w:trHeight w:val="824"/>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pPr>
            <w:r>
              <w:rPr>
                <w:rFonts w:ascii="Times New Roman" w:hAnsi="Times New Roman" w:cs="Times New Roman" w:eastAsia="Times New Roman"/>
                <w:bCs/>
                <w:sz w:val="24"/>
                <w:szCs w:val="24"/>
                <w:lang w:eastAsia="ru-RU"/>
              </w:rPr>
              <w:t xml:space="preserve">Доля</w:t>
            </w:r>
            <w:r>
              <w:rPr>
                <w:rFonts w:ascii="Times New Roman" w:hAnsi="Times New Roman" w:cs="Times New Roman"/>
                <w:sz w:val="24"/>
                <w:szCs w:val="24"/>
              </w:rPr>
              <w:t xml:space="preserve"> участников, получивших от 81 до 99 баллов    </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13,5</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20,8</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25,0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100,0</w:t>
            </w:r>
            <w:r/>
          </w:p>
        </w:tc>
      </w:tr>
      <w:tr>
        <w:trPr>
          <w:cantSplit/>
          <w:trHeight w:val="541"/>
        </w:trPr>
        <w:tc>
          <w:tcPr>
            <w:tcBorders>
              <w:top w:val="single" w:color="000000" w:sz="4" w:space="0"/>
              <w:left w:val="single" w:color="000000" w:sz="4" w:space="0"/>
              <w:bottom w:val="single" w:color="000000" w:sz="4" w:space="0"/>
            </w:tcBorders>
            <w:tcW w:w="1445" w:type="dxa"/>
            <w:textDirection w:val="lrTb"/>
            <w:noWrap w:val="false"/>
          </w:tcPr>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участников, получивших 100 баллов</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74"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147"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2"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tcBorders>
            <w:tcW w:w="1211"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c>
          <w:tcPr>
            <w:tcBorders>
              <w:top w:val="single" w:color="000000" w:sz="4" w:space="0"/>
              <w:left w:val="single" w:color="000000" w:sz="4" w:space="0"/>
              <w:bottom w:val="single" w:color="000000" w:sz="4" w:space="0"/>
              <w:right w:val="single" w:color="000000" w:sz="4" w:space="0"/>
            </w:tcBorders>
            <w:tcW w:w="1085" w:type="dxa"/>
            <w:textDirection w:val="lrTb"/>
            <w:noWrap w:val="false"/>
          </w:tcPr>
          <w:p>
            <w:pPr>
              <w:pStyle w:val="1400"/>
              <w:contextualSpacing/>
              <w:ind w:left="0" w:right="0" w:firstLine="0"/>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0</w:t>
            </w:r>
            <w:r/>
          </w:p>
        </w:tc>
      </w:tr>
    </w:tbl>
    <w:p>
      <w:pPr>
        <w:pStyle w:val="940"/>
        <w:keepNext/>
        <w:spacing w:before="0" w:after="200"/>
        <w:rPr>
          <w:bCs/>
          <w:i/>
          <w:sz w:val="18"/>
          <w:szCs w:val="18"/>
        </w:rPr>
      </w:pPr>
      <w:r>
        <w:rPr>
          <w:bCs/>
          <w:i/>
          <w:sz w:val="18"/>
          <w:szCs w:val="18"/>
        </w:rPr>
      </w:r>
      <w:r/>
    </w:p>
    <w:p>
      <w:pPr>
        <w:pStyle w:val="940"/>
        <w:ind w:left="567" w:firstLine="0"/>
        <w:keepLines/>
        <w:keepNext/>
        <w:spacing w:before="200" w:after="0"/>
        <w:rPr>
          <w:rFonts w:eastAsia="SimSun;宋体"/>
          <w:b/>
          <w:sz w:val="28"/>
        </w:rPr>
      </w:pPr>
      <w:r>
        <w:rPr>
          <w:rFonts w:eastAsia="SimSun;宋体"/>
          <w:b/>
          <w:sz w:val="28"/>
        </w:rPr>
        <w:t xml:space="preserve">2.3.2. в разрезе типа ОО</w:t>
      </w:r>
      <w:r/>
    </w:p>
    <w:p>
      <w:pPr>
        <w:pStyle w:val="940"/>
        <w:jc w:val="right"/>
        <w:keepNext/>
        <w:spacing w:before="0" w:after="200"/>
        <w:rPr>
          <w:rFonts w:eastAsia="SimSun;宋体"/>
          <w:b/>
          <w:bCs/>
          <w:i/>
          <w:sz w:val="18"/>
          <w:szCs w:val="18"/>
        </w:rPr>
      </w:pPr>
      <w:r>
        <w:rPr>
          <w:rFonts w:eastAsia="SimSun;宋体"/>
          <w:b/>
          <w:bCs/>
          <w:i/>
          <w:sz w:val="18"/>
          <w:szCs w:val="18"/>
        </w:rPr>
      </w:r>
      <w:r/>
    </w:p>
    <w:p>
      <w:pPr>
        <w:pStyle w:val="940"/>
        <w:jc w:val="right"/>
        <w:keepNext/>
        <w:spacing w:before="0" w:after="200"/>
        <w:rPr>
          <w:bCs/>
          <w:i/>
          <w:sz w:val="18"/>
          <w:szCs w:val="18"/>
        </w:rPr>
      </w:pPr>
      <w:r>
        <w:rPr>
          <w:bCs/>
          <w:i/>
          <w:sz w:val="18"/>
          <w:szCs w:val="18"/>
        </w:rPr>
        <w:t xml:space="preserve">Таблица 2-9</w:t>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1602"/>
        <w:gridCol w:w="1654"/>
        <w:gridCol w:w="1654"/>
        <w:gridCol w:w="1628"/>
        <w:gridCol w:w="1629"/>
        <w:gridCol w:w="1599"/>
      </w:tblGrid>
      <w:tr>
        <w:trPr>
          <w:trHeight w:val="335"/>
        </w:trPr>
        <w:tc>
          <w:tcPr>
            <w:tcBorders>
              <w:top w:val="single" w:color="000000" w:sz="4" w:space="0"/>
              <w:left w:val="single" w:color="000000" w:sz="4" w:space="0"/>
              <w:bottom w:val="single" w:color="000000" w:sz="4" w:space="0"/>
            </w:tcBorders>
            <w:tcW w:w="1602"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565"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599"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335"/>
        </w:trPr>
        <w:tc>
          <w:tcPr>
            <w:tcBorders>
              <w:top w:val="single" w:color="000000" w:sz="4" w:space="0"/>
              <w:left w:val="single" w:color="000000" w:sz="4" w:space="0"/>
              <w:bottom w:val="single" w:color="000000" w:sz="4" w:space="0"/>
            </w:tcBorders>
            <w:tcW w:w="1602"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654"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628"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629"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599" w:type="dxa"/>
            <w:vAlign w:val="bottom"/>
            <w:vMerge w:val="continue"/>
            <w:textDirection w:val="lrTb"/>
            <w:noWrap w:val="false"/>
          </w:tcPr>
          <w:p>
            <w:pPr>
              <w:pStyle w:val="940"/>
              <w:rPr>
                <w:rFonts w:eastAsia="Times New Roman"/>
              </w:rPr>
            </w:pPr>
            <w:r>
              <w:rPr>
                <w:rFonts w:eastAsia="Times New Roman"/>
              </w:rPr>
            </w:r>
            <w:r/>
          </w:p>
        </w:tc>
      </w:tr>
      <w:tr>
        <w:trPr>
          <w:trHeight w:val="314"/>
        </w:trPr>
        <w:tc>
          <w:tcPr>
            <w:tcBorders>
              <w:left w:val="single" w:color="000000" w:sz="4" w:space="0"/>
              <w:bottom w:val="single" w:color="000000" w:sz="4" w:space="0"/>
            </w:tcBorders>
            <w:tcW w:w="1602" w:type="dxa"/>
            <w:vAlign w:val="bottom"/>
            <w:textDirection w:val="lrTb"/>
            <w:noWrap w:val="false"/>
          </w:tcPr>
          <w:p>
            <w:pPr>
              <w:pStyle w:val="940"/>
              <w:rPr>
                <w:rFonts w:eastAsia="Times New Roman"/>
              </w:rPr>
            </w:pPr>
            <w:r>
              <w:rPr>
                <w:rFonts w:eastAsia="Times New Roman"/>
              </w:rPr>
              <w:t xml:space="preserve">СОШ</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18,2</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49,8</w:t>
            </w:r>
            <w:r/>
          </w:p>
        </w:tc>
        <w:tc>
          <w:tcPr>
            <w:tcBorders>
              <w:top w:val="single" w:color="000000" w:sz="4" w:space="0"/>
              <w:left w:val="single" w:color="000000" w:sz="4" w:space="0"/>
              <w:bottom w:val="single" w:color="000000" w:sz="4" w:space="0"/>
            </w:tcBorders>
            <w:tcW w:w="1628" w:type="dxa"/>
            <w:vAlign w:val="bottom"/>
            <w:textDirection w:val="lrTb"/>
            <w:noWrap w:val="false"/>
          </w:tcPr>
          <w:p>
            <w:pPr>
              <w:pStyle w:val="940"/>
              <w:jc w:val="center"/>
              <w:rPr>
                <w:color w:val="000000"/>
              </w:rPr>
            </w:pPr>
            <w:r>
              <w:rPr>
                <w:color w:val="000000"/>
              </w:rPr>
              <w:t xml:space="preserve">24,8</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7,2</w:t>
            </w:r>
            <w:r/>
          </w:p>
        </w:tc>
        <w:tc>
          <w:tcPr>
            <w:tcBorders>
              <w:top w:val="single" w:color="000000" w:sz="4" w:space="0"/>
              <w:left w:val="single" w:color="000000" w:sz="4" w:space="0"/>
              <w:bottom w:val="single" w:color="000000" w:sz="4" w:space="0"/>
              <w:right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w:t>
            </w:r>
            <w:r/>
          </w:p>
        </w:tc>
      </w:tr>
      <w:tr>
        <w:trPr>
          <w:trHeight w:val="335"/>
        </w:trPr>
        <w:tc>
          <w:tcPr>
            <w:tcBorders>
              <w:top w:val="single" w:color="000000" w:sz="4" w:space="0"/>
              <w:left w:val="single" w:color="000000" w:sz="4" w:space="0"/>
              <w:bottom w:val="single" w:color="000000" w:sz="4" w:space="0"/>
            </w:tcBorders>
            <w:tcW w:w="1602" w:type="dxa"/>
            <w:vAlign w:val="bottom"/>
            <w:textDirection w:val="lrTb"/>
            <w:noWrap w:val="false"/>
          </w:tcPr>
          <w:p>
            <w:pPr>
              <w:pStyle w:val="940"/>
              <w:rPr>
                <w:rFonts w:eastAsia="Times New Roman"/>
              </w:rPr>
            </w:pPr>
            <w:r>
              <w:rPr>
                <w:rFonts w:eastAsia="Times New Roman"/>
              </w:rPr>
              <w:t xml:space="preserve">Лицеи, гимназии</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2,8</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35,0</w:t>
            </w:r>
            <w:r/>
          </w:p>
        </w:tc>
        <w:tc>
          <w:tcPr>
            <w:tcBorders>
              <w:top w:val="single" w:color="000000" w:sz="4" w:space="0"/>
              <w:left w:val="single" w:color="000000" w:sz="4" w:space="0"/>
              <w:bottom w:val="single" w:color="000000" w:sz="4" w:space="0"/>
            </w:tcBorders>
            <w:tcW w:w="1628" w:type="dxa"/>
            <w:vAlign w:val="bottom"/>
            <w:textDirection w:val="lrTb"/>
            <w:noWrap w:val="false"/>
          </w:tcPr>
          <w:p>
            <w:pPr>
              <w:pStyle w:val="940"/>
              <w:jc w:val="center"/>
              <w:rPr>
                <w:color w:val="000000"/>
              </w:rPr>
            </w:pPr>
            <w:r>
              <w:rPr>
                <w:color w:val="000000"/>
              </w:rPr>
              <w:t xml:space="preserve">37,8</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24,5</w:t>
            </w:r>
            <w:r/>
          </w:p>
        </w:tc>
        <w:tc>
          <w:tcPr>
            <w:tcBorders>
              <w:top w:val="single" w:color="000000" w:sz="4" w:space="0"/>
              <w:left w:val="single" w:color="000000" w:sz="4" w:space="0"/>
              <w:bottom w:val="single" w:color="000000" w:sz="4" w:space="0"/>
              <w:right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w:t>
            </w:r>
            <w:r/>
          </w:p>
        </w:tc>
      </w:tr>
      <w:tr>
        <w:trPr>
          <w:trHeight w:val="775"/>
        </w:trPr>
        <w:tc>
          <w:tcPr>
            <w:tcBorders>
              <w:top w:val="single" w:color="000000" w:sz="4" w:space="0"/>
              <w:left w:val="single" w:color="000000" w:sz="4" w:space="0"/>
              <w:bottom w:val="single" w:color="000000" w:sz="4" w:space="0"/>
            </w:tcBorders>
            <w:tcW w:w="1602" w:type="dxa"/>
            <w:vAlign w:val="bottom"/>
            <w:textDirection w:val="lrTb"/>
            <w:noWrap w:val="false"/>
          </w:tcPr>
          <w:p>
            <w:pPr>
              <w:pStyle w:val="940"/>
              <w:rPr>
                <w:rFonts w:eastAsia="Times New Roman"/>
              </w:rPr>
            </w:pPr>
            <w:r>
              <w:rPr>
                <w:rFonts w:eastAsia="Times New Roman"/>
              </w:rPr>
              <w:t xml:space="preserve">О(c)ОШ</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628" w:type="dxa"/>
            <w:vAlign w:val="bottom"/>
            <w:textDirection w:val="lrTb"/>
            <w:noWrap w:val="false"/>
          </w:tcPr>
          <w:p>
            <w:pPr>
              <w:pStyle w:val="940"/>
              <w:jc w:val="center"/>
              <w:rPr>
                <w:color w:val="000000"/>
              </w:rPr>
            </w:pPr>
            <w:r>
              <w:rPr>
                <w:color w:val="000000"/>
              </w:rPr>
              <w:t xml:space="preserve">50,0</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right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w:t>
            </w:r>
            <w:r/>
          </w:p>
        </w:tc>
      </w:tr>
      <w:tr>
        <w:trPr>
          <w:trHeight w:val="335"/>
        </w:trPr>
        <w:tc>
          <w:tcPr>
            <w:tcBorders>
              <w:top w:val="single" w:color="000000" w:sz="4" w:space="0"/>
              <w:left w:val="single" w:color="000000" w:sz="4" w:space="0"/>
              <w:bottom w:val="single" w:color="000000" w:sz="4" w:space="0"/>
            </w:tcBorders>
            <w:tcW w:w="1602" w:type="dxa"/>
            <w:vAlign w:val="bottom"/>
            <w:textDirection w:val="lrTb"/>
            <w:noWrap w:val="false"/>
          </w:tcPr>
          <w:p>
            <w:pPr>
              <w:pStyle w:val="940"/>
              <w:rPr>
                <w:rFonts w:eastAsia="Times New Roman"/>
              </w:rPr>
            </w:pPr>
            <w:r>
              <w:rPr>
                <w:rFonts w:eastAsia="Times New Roman"/>
              </w:rPr>
              <w:t xml:space="preserve">прочие ОО (Казачий кадетский корпус, Инженерная школа, АСВУ МВД России и пр.)</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9,1</w:t>
            </w:r>
            <w:r/>
          </w:p>
        </w:tc>
        <w:tc>
          <w:tcPr>
            <w:tcBorders>
              <w:top w:val="single" w:color="000000" w:sz="4" w:space="0"/>
              <w:left w:val="single" w:color="000000" w:sz="4" w:space="0"/>
              <w:bottom w:val="single" w:color="000000" w:sz="4" w:space="0"/>
            </w:tcBorders>
            <w:tcW w:w="1654" w:type="dxa"/>
            <w:vAlign w:val="bottom"/>
            <w:textDirection w:val="lrTb"/>
            <w:noWrap w:val="false"/>
          </w:tcPr>
          <w:p>
            <w:pPr>
              <w:pStyle w:val="940"/>
              <w:jc w:val="center"/>
              <w:rPr>
                <w:color w:val="000000"/>
              </w:rPr>
            </w:pPr>
            <w:r>
              <w:rPr>
                <w:color w:val="000000"/>
              </w:rPr>
              <w:t xml:space="preserve">36,4</w:t>
            </w:r>
            <w:r/>
          </w:p>
        </w:tc>
        <w:tc>
          <w:tcPr>
            <w:tcBorders>
              <w:top w:val="single" w:color="000000" w:sz="4" w:space="0"/>
              <w:left w:val="single" w:color="000000" w:sz="4" w:space="0"/>
              <w:bottom w:val="single" w:color="000000" w:sz="4" w:space="0"/>
            </w:tcBorders>
            <w:tcW w:w="1628" w:type="dxa"/>
            <w:vAlign w:val="bottom"/>
            <w:textDirection w:val="lrTb"/>
            <w:noWrap w:val="false"/>
          </w:tcPr>
          <w:p>
            <w:pPr>
              <w:pStyle w:val="940"/>
              <w:jc w:val="center"/>
              <w:rPr>
                <w:color w:val="000000"/>
              </w:rPr>
            </w:pPr>
            <w:r>
              <w:rPr>
                <w:color w:val="000000"/>
              </w:rPr>
              <w:t xml:space="preserve">0,0</w:t>
            </w:r>
            <w:r/>
          </w:p>
        </w:tc>
        <w:tc>
          <w:tcPr>
            <w:tcBorders>
              <w:top w:val="single" w:color="000000" w:sz="4" w:space="0"/>
              <w:left w:val="single" w:color="000000" w:sz="4" w:space="0"/>
              <w:bottom w:val="single" w:color="000000" w:sz="4" w:space="0"/>
            </w:tcBorders>
            <w:tcW w:w="1629" w:type="dxa"/>
            <w:vAlign w:val="bottom"/>
            <w:textDirection w:val="lrTb"/>
            <w:noWrap w:val="false"/>
          </w:tcPr>
          <w:p>
            <w:pPr>
              <w:pStyle w:val="940"/>
              <w:jc w:val="center"/>
              <w:rPr>
                <w:color w:val="000000"/>
              </w:rPr>
            </w:pPr>
            <w:r>
              <w:rPr>
                <w:color w:val="000000"/>
              </w:rPr>
              <w:t xml:space="preserve">54,5</w:t>
            </w:r>
            <w:r/>
          </w:p>
        </w:tc>
        <w:tc>
          <w:tcPr>
            <w:tcBorders>
              <w:top w:val="single" w:color="000000" w:sz="4" w:space="0"/>
              <w:left w:val="single" w:color="000000" w:sz="4" w:space="0"/>
              <w:bottom w:val="single" w:color="000000" w:sz="4" w:space="0"/>
              <w:right w:val="single" w:color="000000" w:sz="4" w:space="0"/>
            </w:tcBorders>
            <w:tcW w:w="1599"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ind w:left="567" w:firstLine="0"/>
        <w:keepLines/>
        <w:keepNext/>
        <w:spacing w:before="200" w:after="0"/>
      </w:pPr>
      <w:r>
        <w:rPr>
          <w:rFonts w:eastAsia="SimSun;宋体"/>
          <w:b/>
          <w:sz w:val="28"/>
        </w:rPr>
        <w:t xml:space="preserve">2.3.3.</w:t>
      </w:r>
      <w:r>
        <w:rPr>
          <w:rFonts w:eastAsia="SimSun;宋体"/>
          <w:sz w:val="28"/>
        </w:rPr>
        <w:t xml:space="preserve"> </w:t>
      </w:r>
      <w:r>
        <w:rPr>
          <w:rFonts w:eastAsia="SimSun;宋体"/>
          <w:sz w:val="28"/>
          <w:lang w:val="en-US"/>
        </w:rPr>
        <w:t xml:space="preserve">основные результаты ЕГЭ по предмету в сравнении по АТЕ</w:t>
      </w:r>
      <w:r/>
    </w:p>
    <w:p>
      <w:pPr>
        <w:pStyle w:val="940"/>
        <w:jc w:val="right"/>
        <w:keepNext/>
        <w:spacing w:before="0" w:after="200"/>
        <w:rPr>
          <w:bCs/>
          <w:i/>
          <w:sz w:val="18"/>
          <w:szCs w:val="18"/>
        </w:rPr>
      </w:pPr>
      <w:r>
        <w:rPr>
          <w:bCs/>
          <w:i/>
          <w:sz w:val="18"/>
          <w:szCs w:val="18"/>
        </w:rPr>
        <w:t xml:space="preserve">Таблица 2-10</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1972"/>
        <w:gridCol w:w="1592"/>
        <w:gridCol w:w="1592"/>
        <w:gridCol w:w="1566"/>
        <w:gridCol w:w="1400"/>
        <w:gridCol w:w="1639"/>
      </w:tblGrid>
      <w:tr>
        <w:trPr>
          <w:trHeight w:val="237"/>
        </w:trPr>
        <w:tc>
          <w:tcPr>
            <w:tcBorders>
              <w:top w:val="single" w:color="000000" w:sz="4" w:space="0"/>
              <w:left w:val="single" w:color="000000" w:sz="4" w:space="0"/>
              <w:bottom w:val="single" w:color="000000" w:sz="4" w:space="0"/>
            </w:tcBorders>
            <w:tcW w:w="1972" w:type="dxa"/>
            <w:vAlign w:val="bottom"/>
            <w:vMerge w:val="restart"/>
            <w:textDirection w:val="lrTb"/>
            <w:noWrap w:val="false"/>
          </w:tcPr>
          <w:p>
            <w:pPr>
              <w:pStyle w:val="940"/>
              <w:jc w:val="center"/>
              <w:rPr>
                <w:rFonts w:eastAsia="Times New Roman"/>
              </w:rPr>
            </w:pPr>
            <w:r>
              <w:rPr>
                <w:rFonts w:eastAsia="Times New Roman"/>
              </w:rPr>
              <w:t xml:space="preserve">Наименование АТЕ</w:t>
            </w:r>
            <w:r/>
          </w:p>
        </w:tc>
        <w:tc>
          <w:tcPr>
            <w:gridSpan w:val="4"/>
            <w:tcBorders>
              <w:top w:val="single" w:color="000000" w:sz="4" w:space="0"/>
              <w:left w:val="single" w:color="000000" w:sz="4" w:space="0"/>
              <w:bottom w:val="single" w:color="000000" w:sz="4" w:space="0"/>
            </w:tcBorders>
            <w:tcW w:w="615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w:t>
            </w:r>
            <w:r/>
          </w:p>
        </w:tc>
        <w:tc>
          <w:tcPr>
            <w:tcBorders>
              <w:top w:val="single" w:color="000000" w:sz="4" w:space="0"/>
              <w:left w:val="single" w:color="000000" w:sz="4" w:space="0"/>
              <w:bottom w:val="single" w:color="000000" w:sz="4" w:space="0"/>
              <w:right w:val="single" w:color="000000" w:sz="4" w:space="0"/>
            </w:tcBorders>
            <w:tcW w:w="1639" w:type="dxa"/>
            <w:vAlign w:val="bottom"/>
            <w:vMerge w:val="restart"/>
            <w:textDirection w:val="lrTb"/>
            <w:noWrap w:val="false"/>
          </w:tcPr>
          <w:p>
            <w:pPr>
              <w:pStyle w:val="940"/>
              <w:jc w:val="center"/>
              <w:rPr>
                <w:rFonts w:eastAsia="Times New Roman"/>
              </w:rPr>
            </w:pPr>
            <w:r>
              <w:rPr>
                <w:rFonts w:eastAsia="Times New Roman"/>
              </w:rPr>
              <w:t xml:space="preserve">Количество выпускников, получивших 100 баллов</w:t>
            </w:r>
            <w:r/>
          </w:p>
        </w:tc>
      </w:tr>
      <w:tr>
        <w:trPr>
          <w:trHeight w:val="237"/>
        </w:trPr>
        <w:tc>
          <w:tcPr>
            <w:tcBorders>
              <w:top w:val="single" w:color="000000" w:sz="4" w:space="0"/>
              <w:left w:val="single" w:color="000000" w:sz="4" w:space="0"/>
              <w:bottom w:val="single" w:color="000000" w:sz="4" w:space="0"/>
            </w:tcBorders>
            <w:tcW w:w="1972" w:type="dxa"/>
            <w:vAlign w:val="bottom"/>
            <w:vMerge w:val="continue"/>
            <w:textDirection w:val="lrTb"/>
            <w:noWrap w:val="false"/>
          </w:tcPr>
          <w:p>
            <w:pPr>
              <w:pStyle w:val="940"/>
              <w:rPr>
                <w:rFonts w:eastAsia="Times New Roman"/>
                <w:lang w:eastAsia="en-US"/>
              </w:rPr>
            </w:pPr>
            <w:r>
              <w:rPr>
                <w:rFonts w:eastAsia="Times New Roman"/>
                <w:lang w:eastAsia="en-US"/>
              </w:rPr>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Доля участников, набравших балл ниже минимального</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тестовый балл от минимального балла до 60 баллов</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61 до 80 баллов</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Доля участников, получивших от 81 до 99 баллов</w:t>
            </w:r>
            <w:r/>
          </w:p>
        </w:tc>
        <w:tc>
          <w:tcPr>
            <w:tcBorders>
              <w:top w:val="single" w:color="000000" w:sz="4" w:space="0"/>
              <w:left w:val="single" w:color="000000" w:sz="4" w:space="0"/>
              <w:bottom w:val="single" w:color="000000" w:sz="4" w:space="0"/>
              <w:right w:val="single" w:color="000000" w:sz="4" w:space="0"/>
            </w:tcBorders>
            <w:tcW w:w="1639" w:type="dxa"/>
            <w:vAlign w:val="bottom"/>
            <w:vMerge w:val="continue"/>
            <w:textDirection w:val="lrTb"/>
            <w:noWrap w:val="false"/>
          </w:tcPr>
          <w:p>
            <w:pPr>
              <w:pStyle w:val="940"/>
              <w:rPr>
                <w:rFonts w:eastAsia="Times New Roman"/>
              </w:rPr>
            </w:pPr>
            <w:r>
              <w:rPr>
                <w:rFonts w:eastAsia="Times New Roman"/>
              </w:rPr>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г. Астрахань</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10,4</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42,2</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31,2</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16,2</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Ахтубинский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29,3</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48,8</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17,1</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4,9</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ЗАТО Знаменск</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23,8</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47,6</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28,6</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Володарский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40,0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20,0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Енотаевский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Икрянинский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77,8</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Камызякский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6,3</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43,8</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31,3</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18,8</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Красноярский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41,7</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8,3</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Лиманский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55,6</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11,1</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Наримановский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14,3</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85,7</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Приволжский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7,7</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53,8</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30,8</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7,7</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Харабалинский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33,3</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66,7</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Черноярский район</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50,0</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25,0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ВПЛ</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22,7</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27,3</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27,3</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22,7</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Выпускники ОО других регионов</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100,0</w:t>
            </w:r>
            <w:r/>
          </w:p>
        </w:tc>
        <w:tc>
          <w:tcPr>
            <w:tcBorders>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37"/>
        </w:trPr>
        <w:tc>
          <w:tcPr>
            <w:tcBorders>
              <w:left w:val="single" w:color="000000" w:sz="4" w:space="0"/>
            </w:tcBorders>
            <w:tcW w:w="1972" w:type="dxa"/>
            <w:vAlign w:val="bottom"/>
            <w:textDirection w:val="lrTb"/>
            <w:noWrap w:val="false"/>
          </w:tcPr>
          <w:p>
            <w:pPr>
              <w:pStyle w:val="940"/>
              <w:rPr>
                <w:rFonts w:eastAsia="Times New Roman"/>
              </w:rPr>
            </w:pPr>
            <w:r>
              <w:rPr>
                <w:rFonts w:eastAsia="Times New Roman"/>
              </w:rPr>
              <w:t xml:space="preserve">СПО</w:t>
            </w:r>
            <w:r/>
          </w:p>
        </w:tc>
        <w:tc>
          <w:tcPr>
            <w:tcBorders>
              <w:left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16,7</w:t>
            </w:r>
            <w:r/>
          </w:p>
        </w:tc>
        <w:tc>
          <w:tcPr>
            <w:tcBorders>
              <w:left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75,0</w:t>
            </w:r>
            <w:r/>
          </w:p>
        </w:tc>
        <w:tc>
          <w:tcPr>
            <w:tcBorders>
              <w:left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8,3</w:t>
            </w:r>
            <w:r/>
          </w:p>
        </w:tc>
        <w:tc>
          <w:tcPr>
            <w:tcBorders>
              <w:left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left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r>
        <w:trPr>
          <w:trHeight w:val="222"/>
        </w:trPr>
        <w:tc>
          <w:tcPr>
            <w:tcBorders>
              <w:top w:val="single" w:color="000000" w:sz="4" w:space="0"/>
              <w:left w:val="single" w:color="000000" w:sz="4" w:space="0"/>
              <w:bottom w:val="single" w:color="000000" w:sz="4" w:space="0"/>
            </w:tcBorders>
            <w:tcW w:w="1972" w:type="dxa"/>
            <w:vAlign w:val="bottom"/>
            <w:textDirection w:val="lrTb"/>
            <w:noWrap w:val="false"/>
          </w:tcPr>
          <w:p>
            <w:pPr>
              <w:pStyle w:val="940"/>
              <w:rPr>
                <w:rFonts w:eastAsia="Times New Roman"/>
              </w:rPr>
            </w:pPr>
            <w:r>
              <w:rPr>
                <w:rFonts w:eastAsia="Times New Roman"/>
              </w:rPr>
              <w:t xml:space="preserve">Экстерны</w:t>
            </w:r>
            <w:r/>
          </w:p>
        </w:tc>
        <w:tc>
          <w:tcPr>
            <w:tcBorders>
              <w:top w:val="single" w:color="000000" w:sz="4" w:space="0"/>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50,0</w:t>
            </w:r>
            <w:r/>
          </w:p>
        </w:tc>
        <w:tc>
          <w:tcPr>
            <w:tcBorders>
              <w:top w:val="single" w:color="000000" w:sz="4" w:space="0"/>
              <w:left w:val="single" w:color="000000" w:sz="4" w:space="0"/>
              <w:bottom w:val="single" w:color="000000" w:sz="4" w:space="0"/>
            </w:tcBorders>
            <w:tcW w:w="1592" w:type="dxa"/>
            <w:vAlign w:val="bottom"/>
            <w:textDirection w:val="lrTb"/>
            <w:noWrap w:val="false"/>
          </w:tcPr>
          <w:p>
            <w:pPr>
              <w:pStyle w:val="940"/>
              <w:jc w:val="center"/>
              <w:rPr>
                <w:rFonts w:eastAsia="Times New Roman"/>
              </w:rPr>
            </w:pPr>
            <w:r>
              <w:rPr>
                <w:rFonts w:eastAsia="Times New Roman"/>
              </w:rPr>
              <w:t xml:space="preserve">50,0</w:t>
            </w:r>
            <w:r/>
          </w:p>
        </w:tc>
        <w:tc>
          <w:tcPr>
            <w:tcBorders>
              <w:top w:val="single" w:color="000000" w:sz="4" w:space="0"/>
              <w:left w:val="single" w:color="000000" w:sz="4" w:space="0"/>
              <w:bottom w:val="single" w:color="000000" w:sz="4" w:space="0"/>
            </w:tcBorders>
            <w:tcW w:w="1566"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tcBorders>
            <w:tcW w:w="1400" w:type="dxa"/>
            <w:vAlign w:val="bottom"/>
            <w:textDirection w:val="lrTb"/>
            <w:noWrap w:val="false"/>
          </w:tcPr>
          <w:p>
            <w:pPr>
              <w:pStyle w:val="940"/>
              <w:jc w:val="center"/>
              <w:rPr>
                <w:rFonts w:eastAsia="Times New Roman"/>
              </w:rPr>
            </w:pPr>
            <w:r>
              <w:rPr>
                <w:rFonts w:eastAsia="Times New Roman"/>
              </w:rPr>
              <w:t xml:space="preserve">0,0</w:t>
            </w:r>
            <w:r/>
          </w:p>
        </w:tc>
        <w:tc>
          <w:tcPr>
            <w:tcBorders>
              <w:top w:val="single" w:color="000000" w:sz="4" w:space="0"/>
              <w:left w:val="single" w:color="000000" w:sz="4" w:space="0"/>
              <w:bottom w:val="single" w:color="000000" w:sz="4" w:space="0"/>
              <w:right w:val="single" w:color="000000" w:sz="4" w:space="0"/>
            </w:tcBorders>
            <w:tcW w:w="1639" w:type="dxa"/>
            <w:vAlign w:val="bottom"/>
            <w:textDirection w:val="lrTb"/>
            <w:noWrap w:val="false"/>
          </w:tcPr>
          <w:p>
            <w:pPr>
              <w:pStyle w:val="940"/>
              <w:jc w:val="center"/>
              <w:rPr>
                <w:rFonts w:eastAsia="Times New Roman"/>
              </w:rPr>
            </w:pPr>
            <w:r>
              <w:rPr>
                <w:rFonts w:eastAsia="Times New Roman"/>
              </w:rPr>
              <w:t xml:space="preserve">0</w:t>
            </w:r>
            <w:r/>
          </w:p>
        </w:tc>
      </w:tr>
    </w:tbl>
    <w:p>
      <w:pPr>
        <w:pStyle w:val="940"/>
        <w:keepNext/>
        <w:spacing w:before="0" w:after="200"/>
        <w:rPr>
          <w:bCs/>
          <w:i/>
          <w:sz w:val="18"/>
          <w:szCs w:val="18"/>
        </w:rPr>
      </w:pPr>
      <w:r>
        <w:rPr>
          <w:bCs/>
          <w:i/>
          <w:sz w:val="18"/>
          <w:szCs w:val="18"/>
        </w:rPr>
      </w:r>
      <w:r/>
    </w:p>
    <w:p>
      <w:pPr>
        <w:pStyle w:val="940"/>
        <w:jc w:val="both"/>
        <w:keepLines/>
        <w:keepNext/>
        <w:spacing w:before="200" w:after="0"/>
        <w:tabs>
          <w:tab w:val="left" w:pos="142" w:leader="none"/>
          <w:tab w:val="clear" w:pos="708" w:leader="none"/>
        </w:tabs>
      </w:pPr>
      <w:r>
        <w:rPr>
          <w:rFonts w:eastAsia="SimSun;宋体"/>
          <w:b/>
          <w:bCs/>
          <w:sz w:val="28"/>
        </w:rPr>
        <w:t xml:space="preserve">2.4. </w:t>
      </w:r>
      <w:r>
        <w:rPr>
          <w:rFonts w:eastAsia="SimSun;宋体"/>
          <w:b/>
          <w:bCs/>
          <w:sz w:val="28"/>
          <w:lang w:val="en-US"/>
        </w:rPr>
        <w:t xml:space="preserve">Выделение перечня ОО, продемонстрировавших наиболее высокие и низкие результаты ЕГЭ по предмету</w:t>
      </w:r>
      <w:r/>
    </w:p>
    <w:p>
      <w:pPr>
        <w:pStyle w:val="940"/>
        <w:ind w:left="567" w:firstLine="0"/>
        <w:jc w:val="both"/>
        <w:keepLines/>
        <w:keepNext/>
        <w:spacing w:before="200" w:after="0"/>
      </w:pPr>
      <w:r>
        <w:rPr>
          <w:rFonts w:eastAsia="SimSun;宋体"/>
          <w:b/>
          <w:sz w:val="28"/>
        </w:rPr>
        <w:t xml:space="preserve">2.4.1</w:t>
      </w:r>
      <w:r>
        <w:rPr>
          <w:rFonts w:eastAsia="SimSun;宋体"/>
          <w:sz w:val="28"/>
        </w:rPr>
        <w:t xml:space="preserve">. П</w:t>
      </w:r>
      <w:r>
        <w:rPr>
          <w:rFonts w:eastAsia="SimSun;宋体"/>
          <w:sz w:val="28"/>
          <w:lang w:val="en-US"/>
        </w:rPr>
        <w:t xml:space="preserve">еречень ОО, продемонстрировавших наиболее высокие результаты ЕГЭ по предмету</w:t>
      </w:r>
      <w:r/>
    </w:p>
    <w:p>
      <w:pPr>
        <w:pStyle w:val="940"/>
        <w:jc w:val="right"/>
        <w:keepNext/>
        <w:spacing w:before="0" w:after="200"/>
        <w:rPr>
          <w:bCs/>
          <w:i/>
          <w:sz w:val="18"/>
          <w:szCs w:val="18"/>
        </w:rPr>
      </w:pPr>
      <w:r>
        <w:rPr>
          <w:bCs/>
          <w:i/>
          <w:sz w:val="18"/>
          <w:szCs w:val="18"/>
        </w:rPr>
        <w:t xml:space="preserve">Таблица 2-11</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509"/>
        <w:gridCol w:w="841"/>
        <w:gridCol w:w="3574"/>
        <w:gridCol w:w="1456"/>
        <w:gridCol w:w="1523"/>
        <w:gridCol w:w="1858"/>
      </w:tblGrid>
      <w:tr>
        <w:trPr>
          <w:trHeight w:val="1440"/>
        </w:trPr>
        <w:tc>
          <w:tcPr>
            <w:tcBorders>
              <w:top w:val="single" w:color="000000" w:sz="4" w:space="0"/>
              <w:left w:val="single" w:color="000000" w:sz="4" w:space="0"/>
              <w:bottom w:val="single" w:color="000000" w:sz="4" w:space="0"/>
            </w:tcBorders>
            <w:tcW w:w="509"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841" w:type="dxa"/>
            <w:vAlign w:val="center"/>
            <w:textDirection w:val="lrTb"/>
            <w:noWrap w:val="false"/>
          </w:tcPr>
          <w:p>
            <w:pPr>
              <w:pStyle w:val="940"/>
              <w:rPr>
                <w:rFonts w:eastAsia="Times New Roman"/>
                <w:bCs/>
                <w:color w:val="000000"/>
              </w:rPr>
            </w:pPr>
            <w:r>
              <w:rPr>
                <w:rFonts w:eastAsia="Times New Roman"/>
                <w:bCs/>
                <w:color w:val="000000"/>
              </w:rPr>
              <w:t xml:space="preserve">Код ОО</w:t>
            </w:r>
            <w:r/>
          </w:p>
        </w:tc>
        <w:tc>
          <w:tcPr>
            <w:tcBorders>
              <w:top w:val="single" w:color="000000" w:sz="4" w:space="0"/>
              <w:left w:val="single" w:color="000000" w:sz="4" w:space="0"/>
              <w:bottom w:val="single" w:color="000000" w:sz="4" w:space="0"/>
            </w:tcBorders>
            <w:tcW w:w="3574"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456"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c>
          <w:tcPr>
            <w:tcBorders>
              <w:top w:val="single" w:color="000000" w:sz="4" w:space="0"/>
              <w:left w:val="single" w:color="000000" w:sz="4" w:space="0"/>
              <w:bottom w:val="single" w:color="000000" w:sz="4" w:space="0"/>
            </w:tcBorders>
            <w:tcW w:w="1523"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85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10001</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ГБОУ АО "Астраханский технический лицей"</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47,5</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40,0</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20302</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"Лицей № 2"</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20,0</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60,0</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3</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20432</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32"</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18,2</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36,4</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4</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20203</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"Гимназия №3"</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18,2</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36,4</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4,5</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5</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20436</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 36"</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15,4</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53,8</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r>
      <w:tr>
        <w:trPr>
          <w:trHeight w:val="306"/>
        </w:trPr>
        <w:tc>
          <w:tcPr>
            <w:tcBorders>
              <w:left w:val="single" w:color="000000" w:sz="4" w:space="0"/>
              <w:bottom w:val="single" w:color="000000" w:sz="4" w:space="0"/>
            </w:tcBorders>
            <w:tcW w:w="509" w:type="dxa"/>
            <w:vAlign w:val="bottom"/>
            <w:textDirection w:val="lrTb"/>
            <w:noWrap w:val="false"/>
          </w:tcPr>
          <w:p>
            <w:pPr>
              <w:pStyle w:val="940"/>
              <w:jc w:val="right"/>
              <w:rPr>
                <w:rFonts w:eastAsia="Times New Roman"/>
                <w:color w:val="000000"/>
              </w:rPr>
            </w:pPr>
            <w:r>
              <w:rPr>
                <w:rFonts w:eastAsia="Times New Roman"/>
                <w:color w:val="000000"/>
              </w:rPr>
              <w:t xml:space="preserve">6</w:t>
            </w:r>
            <w:r/>
          </w:p>
        </w:tc>
        <w:tc>
          <w:tcPr>
            <w:tcBorders>
              <w:left w:val="single" w:color="000000" w:sz="4" w:space="0"/>
              <w:bottom w:val="single" w:color="000000" w:sz="4" w:space="0"/>
            </w:tcBorders>
            <w:tcW w:w="841" w:type="dxa"/>
            <w:vAlign w:val="center"/>
            <w:textDirection w:val="lrTb"/>
            <w:noWrap w:val="false"/>
          </w:tcPr>
          <w:p>
            <w:pPr>
              <w:pStyle w:val="940"/>
              <w:jc w:val="center"/>
              <w:rPr>
                <w:rFonts w:eastAsia="Times New Roman"/>
                <w:bCs/>
                <w:color w:val="000000"/>
              </w:rPr>
            </w:pPr>
            <w:r>
              <w:rPr>
                <w:rFonts w:eastAsia="Times New Roman"/>
                <w:bCs/>
                <w:color w:val="000000"/>
              </w:rPr>
              <w:t xml:space="preserve">20301</w:t>
            </w:r>
            <w:r/>
          </w:p>
        </w:tc>
        <w:tc>
          <w:tcPr>
            <w:tcBorders>
              <w:left w:val="single" w:color="000000" w:sz="4" w:space="0"/>
              <w:bottom w:val="single" w:color="000000" w:sz="4" w:space="0"/>
            </w:tcBorders>
            <w:tcW w:w="3574"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"Лицей № 1"</w:t>
            </w:r>
            <w:r/>
          </w:p>
        </w:tc>
        <w:tc>
          <w:tcPr>
            <w:tcBorders>
              <w:left w:val="single" w:color="000000" w:sz="4" w:space="0"/>
              <w:bottom w:val="single" w:color="000000" w:sz="4" w:space="0"/>
            </w:tcBorders>
            <w:tcW w:w="1456" w:type="dxa"/>
            <w:vAlign w:val="bottom"/>
            <w:textDirection w:val="lrTb"/>
            <w:noWrap w:val="false"/>
          </w:tcPr>
          <w:p>
            <w:pPr>
              <w:pStyle w:val="940"/>
              <w:jc w:val="center"/>
              <w:rPr>
                <w:rFonts w:eastAsia="Times New Roman"/>
                <w:color w:val="000000"/>
              </w:rPr>
            </w:pPr>
            <w:r>
              <w:rPr>
                <w:rFonts w:eastAsia="Times New Roman"/>
                <w:color w:val="000000"/>
              </w:rPr>
              <w:t xml:space="preserve">14,8</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44,4</w:t>
            </w:r>
            <w:r/>
          </w:p>
        </w:tc>
        <w:tc>
          <w:tcPr>
            <w:tcBorders>
              <w:left w:val="single" w:color="000000" w:sz="4" w:space="0"/>
              <w:bottom w:val="single" w:color="000000" w:sz="4" w:space="0"/>
              <w:right w:val="single" w:color="000000" w:sz="4" w:space="0"/>
            </w:tcBorders>
            <w:tcW w:w="1858" w:type="dxa"/>
            <w:vAlign w:val="bottom"/>
            <w:textDirection w:val="lrTb"/>
            <w:noWrap w:val="false"/>
          </w:tcPr>
          <w:p>
            <w:pPr>
              <w:pStyle w:val="940"/>
              <w:jc w:val="center"/>
              <w:rPr>
                <w:rFonts w:eastAsia="Times New Roman"/>
                <w:color w:val="000000"/>
              </w:rPr>
            </w:pPr>
            <w:r>
              <w:rPr>
                <w:rFonts w:eastAsia="Times New Roman"/>
                <w:color w:val="000000"/>
              </w:rPr>
              <w:t xml:space="preserve">3,7</w:t>
            </w:r>
            <w:r/>
          </w:p>
        </w:tc>
      </w:tr>
    </w:tbl>
    <w:p>
      <w:pPr>
        <w:pStyle w:val="940"/>
        <w:jc w:val="right"/>
        <w:keepNext/>
        <w:spacing w:before="0" w:after="200"/>
        <w:rPr>
          <w:bCs/>
          <w:i/>
          <w:sz w:val="18"/>
          <w:szCs w:val="18"/>
        </w:rPr>
      </w:pPr>
      <w:r>
        <w:rPr>
          <w:bCs/>
          <w:i/>
          <w:sz w:val="18"/>
          <w:szCs w:val="18"/>
        </w:rPr>
      </w:r>
      <w:r/>
    </w:p>
    <w:p>
      <w:pPr>
        <w:pStyle w:val="940"/>
        <w:ind w:left="567" w:firstLine="0"/>
        <w:jc w:val="both"/>
        <w:keepLines/>
        <w:keepNext/>
        <w:spacing w:before="200" w:after="0"/>
      </w:pPr>
      <w:r>
        <w:rPr>
          <w:rFonts w:eastAsia="SimSun;宋体"/>
          <w:b/>
          <w:sz w:val="28"/>
        </w:rPr>
        <w:t xml:space="preserve">2.4.2.</w:t>
      </w:r>
      <w:r>
        <w:rPr>
          <w:rFonts w:eastAsia="SimSun;宋体"/>
          <w:sz w:val="28"/>
          <w:lang w:val="en-US"/>
        </w:rPr>
        <w:t xml:space="preserve"> </w:t>
      </w:r>
      <w:r>
        <w:rPr>
          <w:rFonts w:eastAsia="SimSun;宋体"/>
          <w:sz w:val="28"/>
        </w:rPr>
        <w:t xml:space="preserve">П</w:t>
      </w:r>
      <w:r>
        <w:rPr>
          <w:rFonts w:eastAsia="SimSun;宋体"/>
          <w:sz w:val="28"/>
          <w:lang w:val="en-US"/>
        </w:rPr>
        <w:t xml:space="preserve">еречень ОО, продемонстрировавших низкие результаты ЕГЭ по предмету</w:t>
      </w:r>
      <w:r/>
    </w:p>
    <w:p>
      <w:pPr>
        <w:pStyle w:val="940"/>
        <w:jc w:val="right"/>
        <w:keepNext/>
        <w:spacing w:before="0" w:after="200"/>
        <w:rPr>
          <w:bCs/>
          <w:i/>
          <w:sz w:val="18"/>
          <w:szCs w:val="18"/>
        </w:rPr>
      </w:pPr>
      <w:r>
        <w:rPr>
          <w:bCs/>
          <w:i/>
          <w:sz w:val="18"/>
          <w:szCs w:val="18"/>
        </w:rPr>
        <w:t xml:space="preserve">Таблица 2-12</w:t>
      </w:r>
      <w:r/>
    </w:p>
    <w:tbl>
      <w:tblPr>
        <w:tblW w:w="9761" w:type="dxa"/>
        <w:tblInd w:w="-5" w:type="dxa"/>
        <w:tblLayout w:type="fixed"/>
        <w:tblCellMar>
          <w:left w:w="108" w:type="dxa"/>
          <w:top w:w="0" w:type="dxa"/>
          <w:right w:w="108" w:type="dxa"/>
          <w:bottom w:w="0" w:type="dxa"/>
        </w:tblCellMar>
        <w:tblLook w:val="04A0" w:firstRow="1" w:lastRow="0" w:firstColumn="1" w:lastColumn="0" w:noHBand="0" w:noVBand="1"/>
      </w:tblPr>
      <w:tblGrid>
        <w:gridCol w:w="507"/>
        <w:gridCol w:w="840"/>
        <w:gridCol w:w="3577"/>
        <w:gridCol w:w="1838"/>
        <w:gridCol w:w="1523"/>
        <w:gridCol w:w="1476"/>
      </w:tblGrid>
      <w:tr>
        <w:trPr>
          <w:trHeight w:val="1394"/>
        </w:trPr>
        <w:tc>
          <w:tcPr>
            <w:tcBorders>
              <w:top w:val="single" w:color="000000" w:sz="4" w:space="0"/>
              <w:left w:val="single" w:color="000000" w:sz="4" w:space="0"/>
              <w:bottom w:val="single" w:color="000000" w:sz="4" w:space="0"/>
            </w:tcBorders>
            <w:tcW w:w="507" w:type="dxa"/>
            <w:vAlign w:val="center"/>
            <w:textDirection w:val="lrTb"/>
            <w:noWrap w:val="false"/>
          </w:tcPr>
          <w:p>
            <w:pPr>
              <w:pStyle w:val="940"/>
              <w:rPr>
                <w:rFonts w:eastAsia="Times New Roman"/>
                <w:bCs/>
                <w:color w:val="000000"/>
              </w:rPr>
            </w:pPr>
            <w:r>
              <w:rPr>
                <w:rFonts w:eastAsia="Times New Roman"/>
                <w:bCs/>
                <w:color w:val="000000"/>
              </w:rPr>
              <w:t xml:space="preserve">№</w:t>
            </w:r>
            <w:r/>
          </w:p>
        </w:tc>
        <w:tc>
          <w:tcPr>
            <w:tcBorders>
              <w:top w:val="single" w:color="000000" w:sz="4" w:space="0"/>
              <w:left w:val="single" w:color="000000" w:sz="4" w:space="0"/>
              <w:bottom w:val="single" w:color="000000" w:sz="4" w:space="0"/>
            </w:tcBorders>
            <w:tcW w:w="840" w:type="dxa"/>
            <w:vAlign w:val="center"/>
            <w:textDirection w:val="lrTb"/>
            <w:noWrap w:val="false"/>
          </w:tcPr>
          <w:p>
            <w:pPr>
              <w:pStyle w:val="940"/>
              <w:rPr>
                <w:rFonts w:eastAsia="Times New Roman"/>
                <w:bCs/>
                <w:color w:val="000000"/>
              </w:rPr>
            </w:pPr>
            <w:r>
              <w:rPr>
                <w:rFonts w:eastAsia="Times New Roman"/>
                <w:bCs/>
                <w:color w:val="000000"/>
              </w:rPr>
              <w:t xml:space="preserve">Код ОО</w:t>
            </w:r>
            <w:r/>
          </w:p>
        </w:tc>
        <w:tc>
          <w:tcPr>
            <w:tcBorders>
              <w:top w:val="single" w:color="000000" w:sz="4" w:space="0"/>
              <w:left w:val="single" w:color="000000" w:sz="4" w:space="0"/>
              <w:bottom w:val="single" w:color="000000" w:sz="4" w:space="0"/>
            </w:tcBorders>
            <w:tcW w:w="3577" w:type="dxa"/>
            <w:vAlign w:val="center"/>
            <w:textDirection w:val="lrTb"/>
            <w:noWrap w:val="false"/>
          </w:tcPr>
          <w:p>
            <w:pPr>
              <w:pStyle w:val="940"/>
              <w:rPr>
                <w:rFonts w:eastAsia="Times New Roman"/>
                <w:bCs/>
                <w:color w:val="000000"/>
              </w:rPr>
            </w:pPr>
            <w:r>
              <w:rPr>
                <w:rFonts w:eastAsia="Times New Roman"/>
                <w:bCs/>
                <w:color w:val="000000"/>
              </w:rPr>
              <w:t xml:space="preserve"> </w:t>
            </w:r>
            <w:r>
              <w:rPr>
                <w:rFonts w:eastAsia="Times New Roman"/>
                <w:bCs/>
                <w:color w:val="000000"/>
              </w:rPr>
              <w:t xml:space="preserve">Наименование ОО</w:t>
            </w:r>
            <w:r/>
          </w:p>
        </w:tc>
        <w:tc>
          <w:tcPr>
            <w:tcBorders>
              <w:top w:val="single" w:color="000000" w:sz="4" w:space="0"/>
              <w:left w:val="single" w:color="000000" w:sz="4" w:space="0"/>
              <w:bottom w:val="single" w:color="000000" w:sz="4" w:space="0"/>
            </w:tcBorders>
            <w:tcW w:w="1838"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не достигших минимального балла</w:t>
            </w:r>
            <w:r/>
          </w:p>
        </w:tc>
        <w:tc>
          <w:tcPr>
            <w:tcBorders>
              <w:top w:val="single" w:color="000000" w:sz="4" w:space="0"/>
              <w:left w:val="single" w:color="000000" w:sz="4" w:space="0"/>
              <w:bottom w:val="single" w:color="000000" w:sz="4" w:space="0"/>
            </w:tcBorders>
            <w:tcW w:w="1523"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61 до 80 баллов</w:t>
            </w:r>
            <w:r/>
          </w:p>
        </w:tc>
        <w:tc>
          <w:tcPr>
            <w:tcBorders>
              <w:top w:val="single" w:color="000000" w:sz="4" w:space="0"/>
              <w:left w:val="single" w:color="000000" w:sz="4" w:space="0"/>
              <w:bottom w:val="single" w:color="000000" w:sz="4" w:space="0"/>
              <w:right w:val="single" w:color="000000" w:sz="4" w:space="0"/>
            </w:tcBorders>
            <w:tcW w:w="1476" w:type="dxa"/>
            <w:vAlign w:val="center"/>
            <w:textDirection w:val="lrTb"/>
            <w:noWrap w:val="false"/>
          </w:tcPr>
          <w:p>
            <w:pPr>
              <w:pStyle w:val="940"/>
              <w:jc w:val="center"/>
              <w:rPr>
                <w:rFonts w:eastAsia="Times New Roman"/>
                <w:bCs/>
                <w:color w:val="000000"/>
              </w:rPr>
            </w:pPr>
            <w:r>
              <w:rPr>
                <w:rFonts w:eastAsia="Times New Roman"/>
                <w:bCs/>
                <w:color w:val="000000"/>
              </w:rPr>
              <w:t xml:space="preserve">Доля участников, получивших от 81 до 100 баллов</w:t>
            </w:r>
            <w:r/>
          </w:p>
        </w:tc>
      </w:tr>
      <w:tr>
        <w:trPr>
          <w:trHeight w:val="296"/>
        </w:trPr>
        <w:tc>
          <w:tcPr>
            <w:tcBorders>
              <w:left w:val="single" w:color="000000" w:sz="4" w:space="0"/>
              <w:bottom w:val="single" w:color="000000" w:sz="4" w:space="0"/>
            </w:tcBorders>
            <w:tcW w:w="507" w:type="dxa"/>
            <w:vAlign w:val="bottom"/>
            <w:textDirection w:val="lrTb"/>
            <w:noWrap w:val="false"/>
          </w:tcPr>
          <w:p>
            <w:pPr>
              <w:pStyle w:val="940"/>
              <w:jc w:val="right"/>
              <w:rPr>
                <w:rFonts w:eastAsia="Times New Roman"/>
                <w:color w:val="000000"/>
              </w:rPr>
            </w:pPr>
            <w:r>
              <w:rPr>
                <w:rFonts w:eastAsia="Times New Roman"/>
                <w:color w:val="000000"/>
              </w:rPr>
              <w:t xml:space="preserve">1</w:t>
            </w:r>
            <w:r/>
          </w:p>
        </w:tc>
        <w:tc>
          <w:tcPr>
            <w:tcBorders>
              <w:left w:val="single" w:color="000000" w:sz="4" w:space="0"/>
              <w:bottom w:val="single" w:color="000000" w:sz="4" w:space="0"/>
            </w:tcBorders>
            <w:tcW w:w="840" w:type="dxa"/>
            <w:vAlign w:val="center"/>
            <w:textDirection w:val="lrTb"/>
            <w:noWrap w:val="false"/>
          </w:tcPr>
          <w:p>
            <w:pPr>
              <w:pStyle w:val="940"/>
              <w:jc w:val="center"/>
              <w:rPr>
                <w:rFonts w:eastAsia="Times New Roman"/>
                <w:bCs/>
                <w:color w:val="000000"/>
              </w:rPr>
            </w:pPr>
            <w:r>
              <w:rPr>
                <w:rFonts w:eastAsia="Times New Roman"/>
                <w:bCs/>
                <w:color w:val="000000"/>
              </w:rPr>
              <w:t xml:space="preserve">20412</w:t>
            </w:r>
            <w:r/>
          </w:p>
        </w:tc>
        <w:tc>
          <w:tcPr>
            <w:tcBorders>
              <w:left w:val="single" w:color="000000" w:sz="4" w:space="0"/>
              <w:bottom w:val="single" w:color="000000" w:sz="4" w:space="0"/>
            </w:tcBorders>
            <w:tcW w:w="3577"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№12"</w:t>
            </w:r>
            <w:r/>
          </w:p>
        </w:tc>
        <w:tc>
          <w:tcPr>
            <w:tcBorders>
              <w:left w:val="single" w:color="000000" w:sz="4" w:space="0"/>
              <w:bottom w:val="single" w:color="000000" w:sz="4" w:space="0"/>
            </w:tcBorders>
            <w:tcW w:w="1838" w:type="dxa"/>
            <w:vAlign w:val="bottom"/>
            <w:textDirection w:val="lrTb"/>
            <w:noWrap w:val="false"/>
          </w:tcPr>
          <w:p>
            <w:pPr>
              <w:pStyle w:val="940"/>
              <w:jc w:val="center"/>
              <w:rPr>
                <w:rFonts w:eastAsia="Times New Roman"/>
                <w:color w:val="000000"/>
              </w:rPr>
            </w:pPr>
            <w:r>
              <w:rPr>
                <w:rFonts w:eastAsia="Times New Roman"/>
                <w:color w:val="000000"/>
              </w:rPr>
              <w:t xml:space="preserve">50,0</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6,3</w:t>
            </w:r>
            <w:r/>
          </w:p>
        </w:tc>
        <w:tc>
          <w:tcPr>
            <w:tcBorders>
              <w:left w:val="single" w:color="000000" w:sz="4" w:space="0"/>
              <w:bottom w:val="single" w:color="000000" w:sz="4" w:space="0"/>
              <w:right w:val="single" w:color="000000" w:sz="4" w:space="0"/>
            </w:tcBorders>
            <w:tcW w:w="1476" w:type="dxa"/>
            <w:vAlign w:val="bottom"/>
            <w:textDirection w:val="lrTb"/>
            <w:noWrap w:val="false"/>
          </w:tcPr>
          <w:p>
            <w:pPr>
              <w:pStyle w:val="940"/>
              <w:jc w:val="center"/>
              <w:rPr>
                <w:rFonts w:eastAsia="Times New Roman"/>
                <w:color w:val="000000"/>
              </w:rPr>
            </w:pPr>
            <w:r>
              <w:rPr>
                <w:rFonts w:eastAsia="Times New Roman"/>
                <w:color w:val="000000"/>
              </w:rPr>
              <w:t xml:space="preserve">6,3</w:t>
            </w:r>
            <w:r/>
          </w:p>
        </w:tc>
      </w:tr>
      <w:tr>
        <w:trPr>
          <w:trHeight w:val="296"/>
        </w:trPr>
        <w:tc>
          <w:tcPr>
            <w:tcBorders>
              <w:left w:val="single" w:color="000000" w:sz="4" w:space="0"/>
              <w:bottom w:val="single" w:color="000000" w:sz="4" w:space="0"/>
            </w:tcBorders>
            <w:tcW w:w="507" w:type="dxa"/>
            <w:vAlign w:val="bottom"/>
            <w:textDirection w:val="lrTb"/>
            <w:noWrap w:val="false"/>
          </w:tcPr>
          <w:p>
            <w:pPr>
              <w:pStyle w:val="940"/>
              <w:jc w:val="right"/>
              <w:rPr>
                <w:rFonts w:eastAsia="Times New Roman"/>
                <w:color w:val="000000"/>
              </w:rPr>
            </w:pPr>
            <w:r>
              <w:rPr>
                <w:rFonts w:eastAsia="Times New Roman"/>
                <w:color w:val="000000"/>
              </w:rPr>
              <w:t xml:space="preserve">2</w:t>
            </w:r>
            <w:r/>
          </w:p>
        </w:tc>
        <w:tc>
          <w:tcPr>
            <w:tcBorders>
              <w:left w:val="single" w:color="000000" w:sz="4" w:space="0"/>
              <w:bottom w:val="single" w:color="000000" w:sz="4" w:space="0"/>
            </w:tcBorders>
            <w:tcW w:w="840" w:type="dxa"/>
            <w:vAlign w:val="center"/>
            <w:textDirection w:val="lrTb"/>
            <w:noWrap w:val="false"/>
          </w:tcPr>
          <w:p>
            <w:pPr>
              <w:pStyle w:val="940"/>
              <w:jc w:val="center"/>
              <w:rPr>
                <w:rFonts w:eastAsia="Times New Roman"/>
                <w:bCs/>
                <w:color w:val="000000"/>
              </w:rPr>
            </w:pPr>
            <w:r>
              <w:rPr>
                <w:rFonts w:eastAsia="Times New Roman"/>
                <w:bCs/>
                <w:color w:val="000000"/>
              </w:rPr>
              <w:t xml:space="preserve">20409</w:t>
            </w:r>
            <w:r/>
          </w:p>
        </w:tc>
        <w:tc>
          <w:tcPr>
            <w:tcBorders>
              <w:left w:val="single" w:color="000000" w:sz="4" w:space="0"/>
              <w:bottom w:val="single" w:color="000000" w:sz="4" w:space="0"/>
            </w:tcBorders>
            <w:tcW w:w="3577" w:type="dxa"/>
            <w:vAlign w:val="bottom"/>
            <w:textDirection w:val="lrTb"/>
            <w:noWrap w:val="false"/>
          </w:tcPr>
          <w:p>
            <w:pPr>
              <w:pStyle w:val="940"/>
              <w:rPr>
                <w:rFonts w:eastAsia="Times New Roman"/>
                <w:color w:val="000000"/>
              </w:rPr>
            </w:pPr>
            <w:r>
              <w:rPr>
                <w:rFonts w:eastAsia="Times New Roman"/>
                <w:color w:val="000000"/>
              </w:rPr>
              <w:t xml:space="preserve">МБОУ г. Астрахани "СОШ №9"</w:t>
            </w:r>
            <w:r/>
          </w:p>
        </w:tc>
        <w:tc>
          <w:tcPr>
            <w:tcBorders>
              <w:left w:val="single" w:color="000000" w:sz="4" w:space="0"/>
              <w:bottom w:val="single" w:color="000000" w:sz="4" w:space="0"/>
            </w:tcBorders>
            <w:tcW w:w="1838" w:type="dxa"/>
            <w:vAlign w:val="bottom"/>
            <w:textDirection w:val="lrTb"/>
            <w:noWrap w:val="false"/>
          </w:tcPr>
          <w:p>
            <w:pPr>
              <w:pStyle w:val="940"/>
              <w:jc w:val="center"/>
              <w:rPr>
                <w:rFonts w:eastAsia="Times New Roman"/>
                <w:color w:val="000000"/>
              </w:rPr>
            </w:pPr>
            <w:r>
              <w:rPr>
                <w:rFonts w:eastAsia="Times New Roman"/>
                <w:color w:val="000000"/>
              </w:rPr>
              <w:t xml:space="preserve">27,3</w:t>
            </w:r>
            <w:r/>
          </w:p>
        </w:tc>
        <w:tc>
          <w:tcPr>
            <w:tcBorders>
              <w:left w:val="single" w:color="000000" w:sz="4" w:space="0"/>
              <w:bottom w:val="single" w:color="000000" w:sz="4" w:space="0"/>
            </w:tcBorders>
            <w:tcW w:w="1523" w:type="dxa"/>
            <w:vAlign w:val="bottom"/>
            <w:textDirection w:val="lrTb"/>
            <w:noWrap w:val="false"/>
          </w:tcPr>
          <w:p>
            <w:pPr>
              <w:pStyle w:val="940"/>
              <w:jc w:val="center"/>
              <w:rPr>
                <w:rFonts w:eastAsia="Times New Roman"/>
                <w:color w:val="000000"/>
              </w:rPr>
            </w:pPr>
            <w:r>
              <w:rPr>
                <w:rFonts w:eastAsia="Times New Roman"/>
                <w:color w:val="000000"/>
              </w:rPr>
              <w:t xml:space="preserve">0,0</w:t>
            </w:r>
            <w:r/>
          </w:p>
        </w:tc>
        <w:tc>
          <w:tcPr>
            <w:tcBorders>
              <w:left w:val="single" w:color="000000" w:sz="4" w:space="0"/>
              <w:bottom w:val="single" w:color="000000" w:sz="4" w:space="0"/>
              <w:right w:val="single" w:color="000000" w:sz="4" w:space="0"/>
            </w:tcBorders>
            <w:tcW w:w="1476" w:type="dxa"/>
            <w:vAlign w:val="bottom"/>
            <w:textDirection w:val="lrTb"/>
            <w:noWrap w:val="false"/>
          </w:tcPr>
          <w:p>
            <w:pPr>
              <w:pStyle w:val="940"/>
              <w:jc w:val="center"/>
              <w:rPr>
                <w:rFonts w:eastAsia="Times New Roman"/>
                <w:color w:val="000000"/>
              </w:rPr>
            </w:pPr>
            <w:r>
              <w:rPr>
                <w:rFonts w:eastAsia="Times New Roman"/>
                <w:color w:val="000000"/>
              </w:rPr>
              <w:t xml:space="preserve">18,2</w:t>
            </w:r>
            <w:r/>
          </w:p>
        </w:tc>
      </w:tr>
    </w:tbl>
    <w:p>
      <w:pPr>
        <w:pStyle w:val="940"/>
        <w:keepLines/>
        <w:keepNext/>
        <w:spacing w:before="200" w:after="0"/>
      </w:pPr>
      <w:r>
        <w:rPr>
          <w:rFonts w:eastAsia="SimSun;宋体"/>
          <w:b/>
          <w:bCs/>
          <w:sz w:val="28"/>
        </w:rPr>
        <w:t xml:space="preserve">2.5. </w:t>
      </w:r>
      <w:r>
        <w:rPr>
          <w:rFonts w:eastAsia="SimSun;宋体"/>
          <w:b/>
          <w:bCs/>
          <w:sz w:val="28"/>
          <w:lang w:val="en-US"/>
        </w:rPr>
        <w:t xml:space="preserve">ВЫВОДЫ о характере изменения результатов ЕГЭ по предмету</w:t>
      </w:r>
      <w:r/>
    </w:p>
    <w:p>
      <w:pPr>
        <w:pStyle w:val="940"/>
        <w:jc w:val="both"/>
      </w:pPr>
      <w:r/>
      <w:r/>
    </w:p>
    <w:p>
      <w:pPr>
        <w:pStyle w:val="940"/>
        <w:ind w:firstLine="708"/>
        <w:jc w:val="both"/>
      </w:pPr>
      <w:r>
        <w:t xml:space="preserve">Результаты ЕГЭ по Информатике и ИКТ в целом стабильно средние на протяжении нескольких лет. Значимые изменения в результатах ЕГЭ и отсутствие динамики в 2019-2021 учебном году не прослеживается: средний балл в 2019 году – 60,00 баллов; в 2020 году – 60,4</w:t>
      </w:r>
      <w:r>
        <w:t xml:space="preserve"> баллов; в 2021 году – 57,8 балл; доля участников ЕГЭ, набравших от 81 до 99 баллов в 2019 году - 15,3%, в 2020 году - 17,6%, в 2021 году - 13,6%; получили 100 баллов в 2019 году – 4 человека, в 2020 году - 0 человек, в 2021 году – 0 человек. Средний бал с</w:t>
      </w:r>
      <w:r>
        <w:t xml:space="preserve">низился по сравнению с 2020 годом на 2,6%, а количество набравших от 81 до 99 баллов снизилось на 4%, что существенно, но не критично, так как снижение произошло, в том числе за счет участников ОВЗ и экстернов и обучающихся в СПО и выпускников прошлых лет.</w:t>
      </w:r>
      <w:r/>
    </w:p>
    <w:p>
      <w:pPr>
        <w:pStyle w:val="940"/>
        <w:ind w:firstLine="708"/>
        <w:jc w:val="both"/>
      </w:pPr>
      <w:r>
        <w:t xml:space="preserve">Отмечается увеличение до</w:t>
      </w:r>
      <w:r>
        <w:t xml:space="preserve">ли участников, не преодолевших минимального балла, что составляет 13,8% на 4,6 % больше чем в 2020 году (в 2019 году – 10,7%, в 2020 году – 9,2%). Причем увеличилась доля таких учащихся из СОШ на 5%, в прочие ОО на 4% и появились в лицеях и гимназиях 2,8%.</w:t>
      </w:r>
      <w:r/>
    </w:p>
    <w:p>
      <w:pPr>
        <w:pStyle w:val="940"/>
        <w:ind w:firstLine="708"/>
        <w:jc w:val="both"/>
      </w:pPr>
      <w:r>
        <w:t xml:space="preserve">Можно предположить, на данную картину повлияла эпидемиологическая обстановка, недостаточное количество занятий в очной форме (особенно 2020 год) и смена формы проведения экзамена. </w:t>
      </w:r>
      <w:r/>
    </w:p>
    <w:p>
      <w:pPr>
        <w:pStyle w:val="940"/>
        <w:ind w:firstLine="708"/>
        <w:jc w:val="both"/>
      </w:pPr>
      <w:r>
        <w:t xml:space="preserve">Стоит обратить внимание на распределение итоговых баллов по районам области.</w:t>
      </w:r>
      <w:r/>
    </w:p>
    <w:p>
      <w:pPr>
        <w:pStyle w:val="940"/>
        <w:ind w:firstLine="708"/>
        <w:jc w:val="both"/>
      </w:pPr>
      <w:r>
        <w:t xml:space="preserve">Существенное снижение показателей идет в </w:t>
      </w:r>
      <w:r>
        <w:rPr>
          <w:rFonts w:eastAsia="Times New Roman"/>
        </w:rPr>
        <w:t xml:space="preserve">Ахтубинском районе (</w:t>
      </w:r>
      <w:r>
        <w:t xml:space="preserve">увеличение доли участников, не преодолевших минимального балла на 13,1%)</w:t>
      </w:r>
      <w:r>
        <w:rPr>
          <w:rFonts w:eastAsia="Times New Roman"/>
        </w:rPr>
        <w:t xml:space="preserve">, ЗАТО Знаменск (на 18,2%), Красноярском районе (на 25 %), Наримановском районе (на 14,3%), Приволжском районе (на 7,7%), Харабалинском районе (на 33,3%). В городе Астрахань </w:t>
      </w:r>
      <w:r>
        <w:t xml:space="preserve">увеличение доли участников, не преодолевших минимального балла на 2,9%, что не существенно.</w:t>
      </w:r>
      <w:r/>
    </w:p>
    <w:p>
      <w:pPr>
        <w:pStyle w:val="940"/>
        <w:ind w:firstLine="708"/>
        <w:jc w:val="both"/>
      </w:pPr>
      <w:r>
        <w:t xml:space="preserve">Возможно, снижение показателей можно объяснить переходом к компьютерной форме проведения экзамена. У многих чувствовался не осознанный подход к экзамену, не все готовы были к новой форме проведения. </w:t>
      </w:r>
      <w:r/>
    </w:p>
    <w:p>
      <w:pPr>
        <w:pStyle w:val="940"/>
        <w:ind w:firstLine="708"/>
        <w:jc w:val="both"/>
      </w:pPr>
      <w:r>
        <w:t xml:space="preserve">Хочется отметить, что показывают положительную динамику </w:t>
      </w:r>
      <w:r>
        <w:rPr>
          <w:rFonts w:eastAsia="Times New Roman"/>
        </w:rPr>
        <w:t xml:space="preserve">Камызякский район</w:t>
      </w:r>
      <w:r>
        <w:t xml:space="preserve">, в Володарском районе улучшились показатели на 10% в сторону уменьшения доли участников, не преодолевших минимального балла, и на 10% увеличили долю учащихся набравших от 81 до 99 баллов.</w:t>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ind w:firstLine="708"/>
        <w:jc w:val="both"/>
      </w:pPr>
      <w:r/>
      <w:r/>
    </w:p>
    <w:p>
      <w:pPr>
        <w:pStyle w:val="940"/>
        <w:keepLines/>
        <w:keepNext/>
        <w:spacing w:before="40" w:after="0"/>
        <w:rPr>
          <w:rFonts w:eastAsia="SimSun;宋体"/>
          <w:b/>
          <w:bCs/>
          <w:sz w:val="28"/>
          <w:szCs w:val="28"/>
          <w:lang w:val="en-US"/>
        </w:rPr>
      </w:pPr>
      <w:r>
        <w:rPr>
          <w:rFonts w:eastAsia="SimSun;宋体"/>
          <w:b/>
          <w:bCs/>
          <w:sz w:val="28"/>
          <w:szCs w:val="28"/>
          <w:lang w:val="en-US"/>
        </w:rPr>
        <w:t xml:space="preserve">Раздел 3. АНАЛИЗ РЕЗУЛЬТАТОВ ВЫПОЛНЕНИЯ ОТДЕЛЬНЫХ ЗАДАНИЙ ИЛИ ГРУПП ЗАДАНИЙ</w:t>
      </w:r>
      <w:r/>
    </w:p>
    <w:p>
      <w:pPr>
        <w:pStyle w:val="940"/>
        <w:keepLines/>
        <w:keepNext/>
        <w:spacing w:before="200" w:after="0"/>
      </w:pPr>
      <w:r>
        <w:rPr>
          <w:rFonts w:eastAsia="SimSun;宋体"/>
          <w:b/>
          <w:bCs/>
          <w:sz w:val="28"/>
        </w:rPr>
        <w:t xml:space="preserve">3.1. </w:t>
      </w:r>
      <w:r>
        <w:rPr>
          <w:rFonts w:eastAsia="SimSun;宋体"/>
          <w:b/>
          <w:bCs/>
          <w:sz w:val="28"/>
          <w:lang w:val="en-US"/>
        </w:rPr>
        <w:t xml:space="preserve">Краткая характеристика КИМ по учебному предмету</w:t>
      </w:r>
      <w:r/>
    </w:p>
    <w:p>
      <w:pPr>
        <w:pStyle w:val="1418"/>
        <w:jc w:val="both"/>
        <w:spacing w:before="0" w:after="0"/>
        <w:shd w:val="clear" w:color="auto" w:fill="ffffff"/>
        <w:rPr>
          <w:spacing w:val="1"/>
        </w:rPr>
      </w:pPr>
      <w:r>
        <w:rPr>
          <w:spacing w:val="1"/>
        </w:rPr>
      </w:r>
      <w:r/>
    </w:p>
    <w:p>
      <w:pPr>
        <w:pStyle w:val="1418"/>
        <w:ind w:firstLine="708"/>
        <w:jc w:val="both"/>
        <w:spacing w:before="0" w:after="0"/>
        <w:shd w:val="clear" w:color="auto" w:fill="ffffff"/>
        <w:rPr>
          <w:spacing w:val="1"/>
        </w:rPr>
      </w:pPr>
      <w:r>
        <w:rPr>
          <w:spacing w:val="1"/>
        </w:rPr>
        <w:t xml:space="preserve">В 2021 г. ЕГЭ по информатике и ИКТ проводится в компьютерной форме.</w:t>
      </w:r>
      <w:r/>
    </w:p>
    <w:p>
      <w:pPr>
        <w:pStyle w:val="1418"/>
        <w:ind w:firstLine="708"/>
        <w:jc w:val="both"/>
        <w:spacing w:before="0" w:after="0"/>
        <w:shd w:val="clear" w:color="auto" w:fill="ffffff"/>
        <w:rPr>
          <w:spacing w:val="1"/>
        </w:rPr>
      </w:pPr>
      <w:r>
        <w:rPr>
          <w:spacing w:val="1"/>
        </w:rPr>
        <w:t xml:space="preserve">Компьютерное предъявление КИМ позволило включи</w:t>
      </w:r>
      <w:r>
        <w:rPr>
          <w:spacing w:val="1"/>
        </w:rPr>
        <w:t xml:space="preserve">ть в работу задания на практическое программирование (составление и отладка программы в выбранной участником среде программирования), работу с электронными таблицами и информационный поиск. Таких заданий в работе 9, т.е. треть от общего количества заданий.</w:t>
      </w:r>
      <w:r/>
    </w:p>
    <w:p>
      <w:pPr>
        <w:pStyle w:val="1418"/>
        <w:jc w:val="both"/>
        <w:spacing w:before="0" w:after="0"/>
        <w:shd w:val="clear" w:color="auto" w:fill="ffffff"/>
        <w:rPr>
          <w:spacing w:val="1"/>
        </w:rPr>
      </w:pPr>
      <w:r>
        <w:rPr>
          <w:spacing w:val="1"/>
        </w:rPr>
        <w:t xml:space="preserve">Остальные 18 заданий сохраняют преемственность с КИМ ЕГЭ прошлых лет (экзамена в бланковой форме). При этом они </w:t>
      </w:r>
      <w:r>
        <w:rPr>
          <w:spacing w:val="1"/>
        </w:rPr>
        <w:t xml:space="preserve">адаптированы к новым условиям сдачи экзамена, в тех случаях, когда это необходимо. Так, например, задание 6 КИМ 2021 г. является преемником задания 8 модели КИМ предыдущих лет. В заданиях этой линии нужно было выполнить фрагмент программы вручную, что в ус</w:t>
      </w:r>
      <w:r>
        <w:rPr>
          <w:spacing w:val="1"/>
        </w:rPr>
        <w:t xml:space="preserve">ловиях доступности компьютера со средами программирования делает задание тривиальным. Поэтому, при сохранении тематики задания, была скорректирована постановка вопроса в сторону анализа соответствия исходных данных программы заданному результату её работы.</w:t>
      </w:r>
      <w:r/>
    </w:p>
    <w:p>
      <w:pPr>
        <w:pStyle w:val="1418"/>
        <w:ind w:firstLine="708"/>
        <w:jc w:val="both"/>
        <w:spacing w:before="0" w:after="0"/>
        <w:shd w:val="clear" w:color="auto" w:fill="ffffff"/>
        <w:rPr>
          <w:spacing w:val="1"/>
        </w:rPr>
      </w:pPr>
      <w:r>
        <w:rPr>
          <w:spacing w:val="1"/>
        </w:rPr>
        <w:t xml:space="preserve">В отличие от бланковой модели экзамена 2020 года, в 2021 г. выполнение заданий по программированию допускается на языках программирования (семействах языков) С++, Java, C#, Pascal, Python, Школьный алгоритмический язык.</w:t>
      </w:r>
      <w:r/>
    </w:p>
    <w:p>
      <w:pPr>
        <w:pStyle w:val="1418"/>
        <w:ind w:firstLine="708"/>
        <w:jc w:val="both"/>
        <w:spacing w:before="0" w:after="0"/>
        <w:shd w:val="clear" w:color="auto" w:fill="ffffff"/>
        <w:rPr>
          <w:spacing w:val="1"/>
        </w:rPr>
      </w:pPr>
      <w:r>
        <w:rPr>
          <w:spacing w:val="1"/>
        </w:rPr>
        <w:t xml:space="preserve">Из примеров фрагментов кода в заданиях в связи с не востребованностью исключены примеры на Бейсике. </w:t>
      </w:r>
      <w:r/>
    </w:p>
    <w:p>
      <w:pPr>
        <w:pStyle w:val="1418"/>
        <w:ind w:firstLine="708"/>
        <w:jc w:val="both"/>
        <w:spacing w:before="0" w:after="0"/>
        <w:shd w:val="clear" w:color="auto" w:fill="ffffff"/>
        <w:rPr>
          <w:spacing w:val="1"/>
        </w:rPr>
      </w:pPr>
      <w:r>
        <w:rPr>
          <w:spacing w:val="1"/>
        </w:rPr>
        <w:t xml:space="preserve">КИМ содержит как задания базового уровня сложности, проверяющие знания и умения, предусмотренные требованиями базового уровня освоения основной о</w:t>
      </w:r>
      <w:r>
        <w:rPr>
          <w:spacing w:val="1"/>
        </w:rPr>
        <w:t xml:space="preserve">бразовательной программы, так и задания повышенного и высокого уровней сложности, проверяющие знания и умения, предусмотренные требованиями профильного уровня. Количество заданий в варианте КИМ, с одной стороны, обеспечивает всестороннюю проверку знаний и </w:t>
      </w:r>
      <w:r>
        <w:rPr>
          <w:spacing w:val="1"/>
        </w:rPr>
        <w:t xml:space="preserve">умений выпускников, приобретённых за весь период обучения по предмету, и с другой стороны, соответствует критериям сложности, устойчивости результатов, надёжности измерения. Структура экзаменационной работы обеспечивает оптимальный баланс заданий разных ти</w:t>
      </w:r>
      <w:r>
        <w:rPr>
          <w:spacing w:val="1"/>
        </w:rPr>
        <w:t xml:space="preserve">пов и разновидностей, трёх уровней сложности, проверяющих знания и умения на трёх различных уровнях: воспроизведения, применения в стандартной ситуации, применения в новой ситуации. Проверка практических навыков решения учебных задач с помощью компьютера о</w:t>
      </w:r>
      <w:r>
        <w:rPr>
          <w:spacing w:val="1"/>
        </w:rPr>
        <w:t xml:space="preserve">беспечивается набором заданий, для выполнения которых экзаменуемому необходимо воспользоваться редактором электронных (динамических) таблиц, текстовым редактором или средой программирования на одном из универсальных языков программирования высокого уровня.</w:t>
      </w:r>
      <w:r/>
    </w:p>
    <w:p>
      <w:pPr>
        <w:pStyle w:val="1418"/>
        <w:ind w:firstLine="708"/>
        <w:jc w:val="both"/>
        <w:spacing w:before="0" w:after="0"/>
        <w:shd w:val="clear" w:color="auto" w:fill="ffffff"/>
        <w:rPr>
          <w:spacing w:val="1"/>
        </w:rPr>
      </w:pPr>
      <w:r>
        <w:rPr>
          <w:spacing w:val="1"/>
        </w:rPr>
        <w:t xml:space="preserve">Содержание экзаменационной работы отражает значительную часть содержания предмета. Всё это обеспечивает валидность результатов экзамена и надёжность измерения.</w:t>
      </w:r>
      <w:r/>
    </w:p>
    <w:p>
      <w:pPr>
        <w:pStyle w:val="1418"/>
        <w:jc w:val="both"/>
        <w:spacing w:before="0" w:after="0"/>
        <w:shd w:val="clear" w:color="auto" w:fill="ffffff"/>
        <w:rPr>
          <w:spacing w:val="1"/>
        </w:rPr>
      </w:pPr>
      <w:r>
        <w:rPr>
          <w:spacing w:val="1"/>
        </w:rPr>
        <w:t xml:space="preserve">В работу входят 9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w:t>
      </w:r>
      <w:r/>
    </w:p>
    <w:p>
      <w:pPr>
        <w:pStyle w:val="1418"/>
        <w:ind w:firstLine="708"/>
        <w:jc w:val="both"/>
        <w:spacing w:before="0" w:after="0"/>
        <w:shd w:val="clear" w:color="auto" w:fill="ffffff"/>
        <w:rPr>
          <w:spacing w:val="1"/>
        </w:rPr>
      </w:pPr>
      <w:r>
        <w:rPr>
          <w:spacing w:val="1"/>
        </w:rPr>
        <w:t xml:space="preserve">Ответы на в</w:t>
      </w:r>
      <w:r>
        <w:rPr>
          <w:spacing w:val="1"/>
        </w:rPr>
        <w:t xml:space="preserve">се задания представляют собой одно или несколько чисел или последовательности символов (букв или цифр). Распределение заданий экзаменационной работы по способу выполнения (с использованием специализированного ПО / без использования) представлено в таблице.</w:t>
      </w:r>
      <w:r/>
    </w:p>
    <w:p>
      <w:pPr>
        <w:pStyle w:val="940"/>
        <w:ind w:right="39" w:firstLine="0"/>
        <w:rPr>
          <w:i/>
          <w:spacing w:val="1"/>
        </w:rPr>
      </w:pPr>
      <w:r>
        <w:rPr>
          <w:i/>
          <w:spacing w:val="1"/>
        </w:rPr>
      </w:r>
      <w:r/>
    </w:p>
    <w:p>
      <w:pPr>
        <w:pStyle w:val="940"/>
        <w:ind w:right="39" w:firstLine="0"/>
        <w:jc w:val="right"/>
        <w:rPr>
          <w:i/>
          <w:spacing w:val="1"/>
        </w:rPr>
      </w:pPr>
      <w:r>
        <w:rPr>
          <w:i/>
          <w:spacing w:val="1"/>
        </w:rPr>
      </w:r>
      <w:r/>
    </w:p>
    <w:p>
      <w:pPr>
        <w:pStyle w:val="940"/>
        <w:ind w:right="39" w:firstLine="0"/>
        <w:jc w:val="right"/>
        <w:rPr>
          <w:i/>
        </w:rPr>
      </w:pPr>
      <w:r>
        <w:rPr>
          <w:i/>
        </w:rPr>
      </w:r>
      <w:r/>
    </w:p>
    <w:p>
      <w:pPr>
        <w:pStyle w:val="940"/>
        <w:ind w:right="39" w:firstLine="0"/>
        <w:jc w:val="right"/>
        <w:rPr>
          <w:i/>
        </w:rPr>
      </w:pPr>
      <w:r>
        <w:rPr>
          <w:i/>
        </w:rPr>
        <w:t xml:space="preserve">Таблица</w:t>
      </w:r>
      <w:r/>
    </w:p>
    <w:p>
      <w:pPr>
        <w:pStyle w:val="940"/>
        <w:ind w:right="39" w:firstLine="0"/>
        <w:jc w:val="right"/>
      </w:pPr>
      <w:r>
        <w:rPr>
          <w:i/>
        </w:rPr>
        <w:t xml:space="preserve">Распределение</w:t>
      </w:r>
      <w:r>
        <w:rPr>
          <w:i/>
          <w:spacing w:val="13"/>
        </w:rPr>
        <w:t xml:space="preserve"> </w:t>
      </w:r>
      <w:r>
        <w:rPr>
          <w:i/>
        </w:rPr>
        <w:t xml:space="preserve">заданий</w:t>
      </w:r>
      <w:r>
        <w:rPr>
          <w:i/>
          <w:spacing w:val="17"/>
        </w:rPr>
        <w:t xml:space="preserve"> </w:t>
      </w:r>
      <w:r>
        <w:rPr>
          <w:i/>
        </w:rPr>
        <w:t xml:space="preserve">по</w:t>
      </w:r>
      <w:r>
        <w:rPr>
          <w:i/>
          <w:spacing w:val="15"/>
        </w:rPr>
        <w:t xml:space="preserve"> </w:t>
      </w:r>
      <w:r>
        <w:rPr>
          <w:i/>
        </w:rPr>
        <w:t xml:space="preserve">использованию</w:t>
      </w:r>
      <w:r>
        <w:rPr>
          <w:i/>
          <w:spacing w:val="15"/>
        </w:rPr>
        <w:t xml:space="preserve"> </w:t>
      </w:r>
      <w:r>
        <w:rPr>
          <w:i/>
        </w:rPr>
        <w:t xml:space="preserve">специализированного</w:t>
      </w:r>
      <w:r>
        <w:rPr>
          <w:i/>
          <w:spacing w:val="15"/>
        </w:rPr>
        <w:t xml:space="preserve"> </w:t>
      </w:r>
      <w:r>
        <w:rPr>
          <w:i/>
        </w:rPr>
        <w:t xml:space="preserve">ПО</w:t>
      </w:r>
      <w:r/>
    </w:p>
    <w:p>
      <w:pPr>
        <w:pStyle w:val="940"/>
        <w:ind w:right="39" w:firstLine="0"/>
        <w:jc w:val="right"/>
        <w:rPr>
          <w:i/>
        </w:rPr>
      </w:pPr>
      <w:r>
        <w:rPr>
          <w:i/>
        </w:rPr>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2678"/>
        <w:gridCol w:w="1421"/>
        <w:gridCol w:w="1875"/>
        <w:gridCol w:w="3685"/>
      </w:tblGrid>
      <w:tr>
        <w:trPr>
          <w:trHeight w:val="1139"/>
        </w:trPr>
        <w:tc>
          <w:tcPr>
            <w:tcBorders>
              <w:top w:val="single" w:color="000000" w:sz="4" w:space="0"/>
              <w:left w:val="single" w:color="000000" w:sz="4" w:space="0"/>
              <w:bottom w:val="single" w:color="000000" w:sz="4" w:space="0"/>
            </w:tcBorders>
            <w:tcW w:w="2678" w:type="dxa"/>
            <w:textDirection w:val="lrTb"/>
            <w:noWrap w:val="false"/>
          </w:tcPr>
          <w:p>
            <w:pPr>
              <w:pStyle w:val="940"/>
              <w:widowControl w:val="off"/>
              <w:rPr>
                <w:rFonts w:eastAsia="Times New Roman"/>
                <w:lang w:eastAsia="en-US"/>
              </w:rPr>
            </w:pPr>
            <w:r>
              <w:rPr>
                <w:rFonts w:eastAsia="Times New Roman"/>
                <w:lang w:eastAsia="en-US"/>
              </w:rPr>
            </w:r>
            <w:r/>
          </w:p>
        </w:tc>
        <w:tc>
          <w:tcPr>
            <w:tcBorders>
              <w:top w:val="single" w:color="000000" w:sz="4" w:space="0"/>
              <w:left w:val="single" w:color="000000" w:sz="4" w:space="0"/>
              <w:bottom w:val="single" w:color="000000" w:sz="4" w:space="0"/>
            </w:tcBorders>
            <w:tcW w:w="1421" w:type="dxa"/>
            <w:textDirection w:val="lrTb"/>
            <w:noWrap w:val="false"/>
          </w:tcPr>
          <w:p>
            <w:pPr>
              <w:pStyle w:val="940"/>
              <w:widowControl w:val="off"/>
            </w:pPr>
            <w:r>
              <w:rPr>
                <w:rFonts w:eastAsia="Times New Roman"/>
                <w:lang w:eastAsia="en-US"/>
              </w:rPr>
              <w:t xml:space="preserve">Количество</w:t>
            </w:r>
            <w:r>
              <w:rPr>
                <w:rFonts w:eastAsia="Times New Roman"/>
                <w:spacing w:val="-37"/>
                <w:lang w:eastAsia="en-US"/>
              </w:rPr>
              <w:t xml:space="preserve"> </w:t>
            </w:r>
            <w:r>
              <w:rPr>
                <w:rFonts w:eastAsia="Times New Roman"/>
                <w:lang w:eastAsia="en-US"/>
              </w:rPr>
              <w:t xml:space="preserve">заданий</w:t>
            </w:r>
            <w:r/>
          </w:p>
        </w:tc>
        <w:tc>
          <w:tcPr>
            <w:tcBorders>
              <w:top w:val="single" w:color="000000" w:sz="4" w:space="0"/>
              <w:left w:val="single" w:color="000000" w:sz="4" w:space="0"/>
              <w:bottom w:val="single" w:color="000000" w:sz="4" w:space="0"/>
            </w:tcBorders>
            <w:tcW w:w="1875" w:type="dxa"/>
            <w:textDirection w:val="lrTb"/>
            <w:noWrap w:val="false"/>
          </w:tcPr>
          <w:p>
            <w:pPr>
              <w:pStyle w:val="940"/>
              <w:ind w:right="94" w:firstLine="0"/>
              <w:jc w:val="center"/>
              <w:widowControl w:val="off"/>
            </w:pPr>
            <w:r>
              <w:rPr>
                <w:rFonts w:eastAsia="Times New Roman"/>
                <w:lang w:eastAsia="en-US"/>
              </w:rPr>
              <w:t xml:space="preserve">Макси</w:t>
            </w:r>
            <w:r>
              <w:rPr>
                <w:rFonts w:eastAsia="Times New Roman"/>
                <w:spacing w:val="-3"/>
                <w:lang w:eastAsia="en-US"/>
              </w:rPr>
              <w:t xml:space="preserve">мальный </w:t>
            </w:r>
            <w:r>
              <w:rPr>
                <w:rFonts w:eastAsia="Times New Roman"/>
                <w:spacing w:val="-2"/>
                <w:lang w:eastAsia="en-US"/>
              </w:rPr>
              <w:t xml:space="preserve">пер</w:t>
            </w:r>
            <w:r>
              <w:rPr>
                <w:rFonts w:eastAsia="Times New Roman"/>
                <w:lang w:eastAsia="en-US"/>
              </w:rPr>
              <w:t xml:space="preserve">вичный</w:t>
            </w:r>
            <w:r>
              <w:rPr>
                <w:rFonts w:eastAsia="Times New Roman"/>
                <w:spacing w:val="-11"/>
                <w:lang w:eastAsia="en-US"/>
              </w:rPr>
              <w:t xml:space="preserve"> </w:t>
            </w:r>
            <w:r>
              <w:rPr>
                <w:rFonts w:eastAsia="Times New Roman"/>
                <w:lang w:eastAsia="en-US"/>
              </w:rPr>
              <w:t xml:space="preserve">балл</w:t>
            </w:r>
            <w:r/>
          </w:p>
        </w:tc>
        <w:tc>
          <w:tcPr>
            <w:tcBorders>
              <w:top w:val="single" w:color="000000" w:sz="4" w:space="0"/>
              <w:left w:val="single" w:color="000000" w:sz="4" w:space="0"/>
              <w:bottom w:val="single" w:color="000000" w:sz="4" w:space="0"/>
              <w:right w:val="single" w:color="000000" w:sz="4" w:space="0"/>
            </w:tcBorders>
            <w:tcW w:w="3685" w:type="dxa"/>
            <w:textDirection w:val="lrTb"/>
            <w:noWrap w:val="false"/>
          </w:tcPr>
          <w:p>
            <w:pPr>
              <w:pStyle w:val="940"/>
              <w:ind w:right="71" w:firstLine="0"/>
              <w:jc w:val="center"/>
              <w:widowControl w:val="off"/>
            </w:pPr>
            <w:r>
              <w:rPr>
                <w:rFonts w:eastAsia="Times New Roman"/>
                <w:spacing w:val="-1"/>
                <w:lang w:eastAsia="en-US"/>
              </w:rPr>
              <w:t xml:space="preserve">Процент максимального </w:t>
            </w:r>
            <w:r>
              <w:rPr>
                <w:rFonts w:eastAsia="Times New Roman"/>
                <w:lang w:eastAsia="en-US"/>
              </w:rPr>
              <w:t xml:space="preserve">пер</w:t>
            </w:r>
            <w:r>
              <w:rPr>
                <w:rFonts w:eastAsia="Times New Roman"/>
                <w:spacing w:val="-1"/>
                <w:lang w:eastAsia="en-US"/>
              </w:rPr>
              <w:t xml:space="preserve">вичного</w:t>
            </w:r>
            <w:r>
              <w:rPr>
                <w:rFonts w:eastAsia="Times New Roman"/>
                <w:spacing w:val="-7"/>
                <w:lang w:eastAsia="en-US"/>
              </w:rPr>
              <w:t xml:space="preserve"> </w:t>
            </w:r>
            <w:r>
              <w:rPr>
                <w:rFonts w:eastAsia="Times New Roman"/>
                <w:spacing w:val="-1"/>
                <w:lang w:eastAsia="en-US"/>
              </w:rPr>
              <w:t xml:space="preserve">балла</w:t>
            </w:r>
            <w:r>
              <w:rPr>
                <w:rFonts w:eastAsia="Times New Roman"/>
                <w:spacing w:val="-7"/>
                <w:lang w:eastAsia="en-US"/>
              </w:rPr>
              <w:t xml:space="preserve"> </w:t>
            </w:r>
            <w:r>
              <w:rPr>
                <w:rFonts w:eastAsia="Times New Roman"/>
                <w:spacing w:val="-1"/>
                <w:lang w:eastAsia="en-US"/>
              </w:rPr>
              <w:t xml:space="preserve">за</w:t>
            </w:r>
            <w:r>
              <w:rPr>
                <w:rFonts w:eastAsia="Times New Roman"/>
                <w:spacing w:val="-7"/>
                <w:lang w:eastAsia="en-US"/>
              </w:rPr>
              <w:t xml:space="preserve"> </w:t>
            </w:r>
            <w:r>
              <w:rPr>
                <w:rFonts w:eastAsia="Times New Roman"/>
                <w:spacing w:val="-1"/>
                <w:lang w:eastAsia="en-US"/>
              </w:rPr>
              <w:t xml:space="preserve">выполнение</w:t>
            </w:r>
            <w:r>
              <w:rPr>
                <w:rFonts w:eastAsia="Times New Roman"/>
                <w:spacing w:val="-39"/>
                <w:lang w:eastAsia="en-US"/>
              </w:rPr>
              <w:t xml:space="preserve"> </w:t>
            </w:r>
            <w:r>
              <w:rPr>
                <w:rFonts w:eastAsia="Times New Roman"/>
                <w:lang w:eastAsia="en-US"/>
              </w:rPr>
              <w:t xml:space="preserve">заданий данной части от</w:t>
            </w:r>
            <w:r>
              <w:rPr>
                <w:rFonts w:eastAsia="Times New Roman"/>
                <w:spacing w:val="1"/>
                <w:lang w:eastAsia="en-US"/>
              </w:rPr>
              <w:t xml:space="preserve"> </w:t>
            </w:r>
            <w:r>
              <w:rPr>
                <w:rFonts w:eastAsia="Times New Roman"/>
                <w:lang w:eastAsia="en-US"/>
              </w:rPr>
              <w:t xml:space="preserve">максимального первичного</w:t>
            </w:r>
            <w:r>
              <w:rPr>
                <w:rFonts w:eastAsia="Times New Roman"/>
                <w:spacing w:val="1"/>
                <w:lang w:eastAsia="en-US"/>
              </w:rPr>
              <w:t xml:space="preserve"> </w:t>
            </w:r>
            <w:r>
              <w:rPr>
                <w:rFonts w:eastAsia="Times New Roman"/>
                <w:lang w:eastAsia="en-US"/>
              </w:rPr>
              <w:t xml:space="preserve">балла</w:t>
            </w:r>
            <w:r>
              <w:rPr>
                <w:rFonts w:eastAsia="Times New Roman"/>
                <w:spacing w:val="-9"/>
                <w:lang w:eastAsia="en-US"/>
              </w:rPr>
              <w:t xml:space="preserve"> </w:t>
            </w:r>
            <w:r>
              <w:rPr>
                <w:rFonts w:eastAsia="Times New Roman"/>
                <w:lang w:eastAsia="en-US"/>
              </w:rPr>
              <w:t xml:space="preserve">за</w:t>
            </w:r>
            <w:r>
              <w:rPr>
                <w:rFonts w:eastAsia="Times New Roman"/>
                <w:spacing w:val="-8"/>
                <w:lang w:eastAsia="en-US"/>
              </w:rPr>
              <w:t xml:space="preserve"> </w:t>
            </w:r>
            <w:r>
              <w:rPr>
                <w:rFonts w:eastAsia="Times New Roman"/>
                <w:lang w:eastAsia="en-US"/>
              </w:rPr>
              <w:t xml:space="preserve">всю</w:t>
            </w:r>
            <w:r>
              <w:rPr>
                <w:rFonts w:eastAsia="Times New Roman"/>
                <w:spacing w:val="-8"/>
                <w:lang w:eastAsia="en-US"/>
              </w:rPr>
              <w:t xml:space="preserve"> </w:t>
            </w:r>
            <w:r>
              <w:rPr>
                <w:rFonts w:eastAsia="Times New Roman"/>
                <w:lang w:eastAsia="en-US"/>
              </w:rPr>
              <w:t xml:space="preserve">работу,</w:t>
            </w:r>
            <w:r>
              <w:rPr>
                <w:rFonts w:eastAsia="Times New Roman"/>
                <w:spacing w:val="-8"/>
                <w:lang w:eastAsia="en-US"/>
              </w:rPr>
              <w:t xml:space="preserve"> </w:t>
            </w:r>
            <w:r>
              <w:rPr>
                <w:rFonts w:eastAsia="Times New Roman"/>
                <w:lang w:eastAsia="en-US"/>
              </w:rPr>
              <w:t xml:space="preserve">равного</w:t>
            </w:r>
            <w:r/>
          </w:p>
          <w:p>
            <w:pPr>
              <w:pStyle w:val="940"/>
              <w:ind w:right="1013" w:firstLine="0"/>
              <w:jc w:val="center"/>
              <w:widowControl w:val="off"/>
              <w:rPr>
                <w:rFonts w:eastAsia="Times New Roman"/>
                <w:lang w:eastAsia="en-US"/>
              </w:rPr>
            </w:pPr>
            <w:r>
              <w:rPr>
                <w:rFonts w:eastAsia="Times New Roman"/>
                <w:lang w:eastAsia="en-US"/>
              </w:rPr>
              <w:t xml:space="preserve">30</w:t>
            </w:r>
            <w:r/>
          </w:p>
        </w:tc>
      </w:tr>
      <w:tr>
        <w:trPr>
          <w:trHeight w:val="567"/>
        </w:trPr>
        <w:tc>
          <w:tcPr>
            <w:tcBorders>
              <w:top w:val="single" w:color="000000" w:sz="4" w:space="0"/>
              <w:left w:val="single" w:color="000000" w:sz="4" w:space="0"/>
              <w:bottom w:val="single" w:color="000000" w:sz="4" w:space="0"/>
            </w:tcBorders>
            <w:tcW w:w="2678" w:type="dxa"/>
            <w:textDirection w:val="lrTb"/>
            <w:noWrap w:val="false"/>
          </w:tcPr>
          <w:p>
            <w:pPr>
              <w:pStyle w:val="940"/>
              <w:widowControl w:val="off"/>
              <w:tabs>
                <w:tab w:val="clear" w:pos="708" w:leader="none"/>
                <w:tab w:val="left" w:pos="2835" w:leader="none"/>
              </w:tabs>
            </w:pPr>
            <w:r>
              <w:rPr>
                <w:rFonts w:eastAsia="Times New Roman"/>
                <w:lang w:eastAsia="en-US"/>
              </w:rPr>
              <w:t xml:space="preserve">Используется</w:t>
            </w:r>
            <w:r>
              <w:rPr>
                <w:rFonts w:eastAsia="Times New Roman"/>
                <w:spacing w:val="1"/>
                <w:lang w:eastAsia="en-US"/>
              </w:rPr>
              <w:t xml:space="preserve"> </w:t>
            </w:r>
            <w:r>
              <w:rPr>
                <w:rFonts w:eastAsia="Times New Roman"/>
                <w:lang w:eastAsia="en-US"/>
              </w:rPr>
              <w:t xml:space="preserve">специализиро</w:t>
            </w:r>
            <w:r>
              <w:rPr>
                <w:rFonts w:eastAsia="Times New Roman"/>
                <w:lang w:eastAsia="en-US"/>
              </w:rPr>
              <w:t xml:space="preserve">ванное</w:t>
            </w:r>
            <w:r>
              <w:rPr>
                <w:rFonts w:eastAsia="Times New Roman"/>
                <w:spacing w:val="-9"/>
                <w:lang w:eastAsia="en-US"/>
              </w:rPr>
              <w:t xml:space="preserve"> </w:t>
            </w:r>
            <w:r>
              <w:rPr>
                <w:rFonts w:eastAsia="Times New Roman"/>
                <w:lang w:eastAsia="en-US"/>
              </w:rPr>
              <w:t xml:space="preserve">ПО</w:t>
            </w:r>
            <w:r/>
          </w:p>
        </w:tc>
        <w:tc>
          <w:tcPr>
            <w:tcBorders>
              <w:top w:val="single" w:color="000000" w:sz="4" w:space="0"/>
              <w:left w:val="single" w:color="000000" w:sz="4" w:space="0"/>
              <w:bottom w:val="single" w:color="000000" w:sz="4" w:space="0"/>
            </w:tcBorders>
            <w:tcW w:w="1421" w:type="dxa"/>
            <w:textDirection w:val="lrTb"/>
            <w:noWrap w:val="false"/>
          </w:tcPr>
          <w:p>
            <w:pPr>
              <w:pStyle w:val="940"/>
              <w:jc w:val="center"/>
              <w:widowControl w:val="off"/>
              <w:rPr>
                <w:rFonts w:eastAsia="Times New Roman"/>
                <w:lang w:eastAsia="en-US"/>
              </w:rPr>
            </w:pPr>
            <w:r>
              <w:rPr>
                <w:rFonts w:eastAsia="Times New Roman"/>
                <w:lang w:eastAsia="en-US"/>
              </w:rPr>
              <w:t xml:space="preserve">9</w:t>
            </w:r>
            <w:r/>
          </w:p>
        </w:tc>
        <w:tc>
          <w:tcPr>
            <w:tcBorders>
              <w:top w:val="single" w:color="000000" w:sz="4" w:space="0"/>
              <w:left w:val="single" w:color="000000" w:sz="4" w:space="0"/>
              <w:bottom w:val="single" w:color="000000" w:sz="4" w:space="0"/>
            </w:tcBorders>
            <w:tcW w:w="1875" w:type="dxa"/>
            <w:textDirection w:val="lrTb"/>
            <w:noWrap w:val="false"/>
          </w:tcPr>
          <w:p>
            <w:pPr>
              <w:pStyle w:val="940"/>
              <w:ind w:right="493" w:firstLine="0"/>
              <w:jc w:val="right"/>
              <w:widowControl w:val="off"/>
              <w:rPr>
                <w:rFonts w:eastAsia="Times New Roman"/>
                <w:lang w:eastAsia="en-US"/>
              </w:rPr>
            </w:pPr>
            <w:r>
              <w:rPr>
                <w:rFonts w:eastAsia="Times New Roman"/>
                <w:lang w:eastAsia="en-US"/>
              </w:rPr>
              <w:t xml:space="preserve">12</w:t>
            </w:r>
            <w:r/>
          </w:p>
        </w:tc>
        <w:tc>
          <w:tcPr>
            <w:tcBorders>
              <w:top w:val="single" w:color="000000" w:sz="4" w:space="0"/>
              <w:left w:val="single" w:color="000000" w:sz="4" w:space="0"/>
              <w:bottom w:val="single" w:color="000000" w:sz="4" w:space="0"/>
              <w:right w:val="single" w:color="000000" w:sz="4" w:space="0"/>
            </w:tcBorders>
            <w:tcW w:w="3685" w:type="dxa"/>
            <w:textDirection w:val="lrTb"/>
            <w:noWrap w:val="false"/>
          </w:tcPr>
          <w:p>
            <w:pPr>
              <w:pStyle w:val="940"/>
              <w:widowControl w:val="off"/>
              <w:rPr>
                <w:rFonts w:eastAsia="Times New Roman"/>
                <w:lang w:eastAsia="en-US"/>
              </w:rPr>
            </w:pPr>
            <w:r>
              <w:rPr>
                <w:rFonts w:eastAsia="Times New Roman"/>
                <w:lang w:eastAsia="en-US"/>
              </w:rPr>
              <w:t xml:space="preserve">40</w:t>
            </w:r>
            <w:r/>
          </w:p>
        </w:tc>
      </w:tr>
      <w:tr>
        <w:trPr>
          <w:trHeight w:val="568"/>
        </w:trPr>
        <w:tc>
          <w:tcPr>
            <w:tcBorders>
              <w:top w:val="single" w:color="000000" w:sz="4" w:space="0"/>
              <w:left w:val="single" w:color="000000" w:sz="4" w:space="0"/>
              <w:bottom w:val="single" w:color="000000" w:sz="4" w:space="0"/>
            </w:tcBorders>
            <w:tcW w:w="2678" w:type="dxa"/>
            <w:textDirection w:val="lrTb"/>
            <w:noWrap w:val="false"/>
          </w:tcPr>
          <w:p>
            <w:pPr>
              <w:pStyle w:val="940"/>
              <w:ind w:right="63" w:firstLine="0"/>
              <w:widowControl w:val="off"/>
            </w:pPr>
            <w:r>
              <w:rPr>
                <w:rFonts w:eastAsia="Times New Roman"/>
                <w:lang w:eastAsia="en-US"/>
              </w:rPr>
              <w:t xml:space="preserve">Не</w:t>
            </w:r>
            <w:r>
              <w:rPr>
                <w:rFonts w:eastAsia="Times New Roman"/>
                <w:spacing w:val="22"/>
                <w:lang w:eastAsia="en-US"/>
              </w:rPr>
              <w:t xml:space="preserve"> </w:t>
            </w:r>
            <w:r>
              <w:rPr>
                <w:rFonts w:eastAsia="Times New Roman"/>
                <w:lang w:eastAsia="en-US"/>
              </w:rPr>
              <w:t xml:space="preserve">используется</w:t>
            </w:r>
            <w:r>
              <w:rPr>
                <w:rFonts w:eastAsia="Times New Roman"/>
                <w:spacing w:val="-39"/>
                <w:lang w:eastAsia="en-US"/>
              </w:rPr>
              <w:t xml:space="preserve"> </w:t>
            </w:r>
            <w:r>
              <w:rPr>
                <w:rFonts w:eastAsia="Times New Roman"/>
                <w:lang w:eastAsia="en-US"/>
              </w:rPr>
              <w:t xml:space="preserve">специализированное</w:t>
            </w:r>
            <w:r>
              <w:rPr>
                <w:rFonts w:eastAsia="Times New Roman"/>
                <w:spacing w:val="-9"/>
                <w:lang w:eastAsia="en-US"/>
              </w:rPr>
              <w:t xml:space="preserve"> </w:t>
            </w:r>
            <w:r>
              <w:rPr>
                <w:rFonts w:eastAsia="Times New Roman"/>
                <w:lang w:eastAsia="en-US"/>
              </w:rPr>
              <w:t xml:space="preserve">ПО</w:t>
            </w:r>
            <w:r/>
          </w:p>
        </w:tc>
        <w:tc>
          <w:tcPr>
            <w:tcBorders>
              <w:top w:val="single" w:color="000000" w:sz="4" w:space="0"/>
              <w:left w:val="single" w:color="000000" w:sz="4" w:space="0"/>
              <w:bottom w:val="single" w:color="000000" w:sz="4" w:space="0"/>
            </w:tcBorders>
            <w:tcW w:w="1421" w:type="dxa"/>
            <w:textDirection w:val="lrTb"/>
            <w:noWrap w:val="false"/>
          </w:tcPr>
          <w:p>
            <w:pPr>
              <w:pStyle w:val="940"/>
              <w:ind w:right="573" w:firstLine="0"/>
              <w:jc w:val="center"/>
              <w:widowControl w:val="off"/>
              <w:rPr>
                <w:rFonts w:eastAsia="Times New Roman"/>
                <w:lang w:eastAsia="en-US"/>
              </w:rPr>
            </w:pPr>
            <w:r>
              <w:rPr>
                <w:rFonts w:eastAsia="Times New Roman"/>
                <w:lang w:eastAsia="en-US"/>
              </w:rPr>
              <w:t xml:space="preserve">18</w:t>
            </w:r>
            <w:r/>
          </w:p>
        </w:tc>
        <w:tc>
          <w:tcPr>
            <w:tcBorders>
              <w:top w:val="single" w:color="000000" w:sz="4" w:space="0"/>
              <w:left w:val="single" w:color="000000" w:sz="4" w:space="0"/>
              <w:bottom w:val="single" w:color="000000" w:sz="4" w:space="0"/>
            </w:tcBorders>
            <w:tcW w:w="1875" w:type="dxa"/>
            <w:textDirection w:val="lrTb"/>
            <w:noWrap w:val="false"/>
          </w:tcPr>
          <w:p>
            <w:pPr>
              <w:pStyle w:val="940"/>
              <w:ind w:right="493" w:firstLine="0"/>
              <w:jc w:val="right"/>
              <w:widowControl w:val="off"/>
              <w:rPr>
                <w:rFonts w:eastAsia="Times New Roman"/>
                <w:lang w:eastAsia="en-US"/>
              </w:rPr>
            </w:pPr>
            <w:r>
              <w:rPr>
                <w:rFonts w:eastAsia="Times New Roman"/>
                <w:lang w:eastAsia="en-US"/>
              </w:rPr>
              <w:t xml:space="preserve">18</w:t>
            </w:r>
            <w:r/>
          </w:p>
        </w:tc>
        <w:tc>
          <w:tcPr>
            <w:tcBorders>
              <w:top w:val="single" w:color="000000" w:sz="4" w:space="0"/>
              <w:left w:val="single" w:color="000000" w:sz="4" w:space="0"/>
              <w:bottom w:val="single" w:color="000000" w:sz="4" w:space="0"/>
              <w:right w:val="single" w:color="000000" w:sz="4" w:space="0"/>
            </w:tcBorders>
            <w:tcW w:w="3685" w:type="dxa"/>
            <w:textDirection w:val="lrTb"/>
            <w:noWrap w:val="false"/>
          </w:tcPr>
          <w:p>
            <w:pPr>
              <w:pStyle w:val="940"/>
              <w:widowControl w:val="off"/>
              <w:rPr>
                <w:rFonts w:eastAsia="Times New Roman"/>
                <w:lang w:eastAsia="en-US"/>
              </w:rPr>
            </w:pPr>
            <w:r>
              <w:rPr>
                <w:rFonts w:eastAsia="Times New Roman"/>
                <w:lang w:eastAsia="en-US"/>
              </w:rPr>
              <w:t xml:space="preserve">60</w:t>
            </w:r>
            <w:r/>
          </w:p>
        </w:tc>
      </w:tr>
      <w:tr>
        <w:trPr>
          <w:trHeight w:val="187"/>
        </w:trPr>
        <w:tc>
          <w:tcPr>
            <w:tcBorders>
              <w:top w:val="single" w:color="000000" w:sz="4" w:space="0"/>
              <w:left w:val="single" w:color="000000" w:sz="4" w:space="0"/>
              <w:bottom w:val="single" w:color="000000" w:sz="4" w:space="0"/>
            </w:tcBorders>
            <w:tcW w:w="2678" w:type="dxa"/>
            <w:textDirection w:val="lrTb"/>
            <w:noWrap w:val="false"/>
          </w:tcPr>
          <w:p>
            <w:pPr>
              <w:pStyle w:val="940"/>
              <w:jc w:val="both"/>
              <w:widowControl w:val="off"/>
              <w:rPr>
                <w:rFonts w:eastAsia="Times New Roman"/>
                <w:lang w:eastAsia="en-US"/>
              </w:rPr>
            </w:pPr>
            <w:r>
              <w:rPr>
                <w:rFonts w:eastAsia="Times New Roman"/>
                <w:lang w:eastAsia="en-US"/>
              </w:rPr>
              <w:t xml:space="preserve">Итого</w:t>
            </w:r>
            <w:r/>
          </w:p>
        </w:tc>
        <w:tc>
          <w:tcPr>
            <w:tcBorders>
              <w:top w:val="single" w:color="000000" w:sz="4" w:space="0"/>
              <w:left w:val="single" w:color="000000" w:sz="4" w:space="0"/>
              <w:bottom w:val="single" w:color="000000" w:sz="4" w:space="0"/>
            </w:tcBorders>
            <w:tcW w:w="1421" w:type="dxa"/>
            <w:textDirection w:val="lrTb"/>
            <w:noWrap w:val="false"/>
          </w:tcPr>
          <w:p>
            <w:pPr>
              <w:pStyle w:val="940"/>
              <w:ind w:right="573" w:firstLine="0"/>
              <w:jc w:val="center"/>
              <w:widowControl w:val="off"/>
              <w:rPr>
                <w:rFonts w:eastAsia="Times New Roman"/>
                <w:lang w:eastAsia="en-US"/>
              </w:rPr>
            </w:pPr>
            <w:r>
              <w:rPr>
                <w:rFonts w:eastAsia="Times New Roman"/>
                <w:lang w:eastAsia="en-US"/>
              </w:rPr>
              <w:t xml:space="preserve">27</w:t>
            </w:r>
            <w:r/>
          </w:p>
        </w:tc>
        <w:tc>
          <w:tcPr>
            <w:tcBorders>
              <w:top w:val="single" w:color="000000" w:sz="4" w:space="0"/>
              <w:left w:val="single" w:color="000000" w:sz="4" w:space="0"/>
              <w:bottom w:val="single" w:color="000000" w:sz="4" w:space="0"/>
            </w:tcBorders>
            <w:tcW w:w="1875" w:type="dxa"/>
            <w:textDirection w:val="lrTb"/>
            <w:noWrap w:val="false"/>
          </w:tcPr>
          <w:p>
            <w:pPr>
              <w:pStyle w:val="940"/>
              <w:ind w:right="493" w:firstLine="0"/>
              <w:jc w:val="right"/>
              <w:widowControl w:val="off"/>
              <w:rPr>
                <w:rFonts w:eastAsia="Times New Roman"/>
                <w:lang w:eastAsia="en-US"/>
              </w:rPr>
            </w:pPr>
            <w:r>
              <w:rPr>
                <w:rFonts w:eastAsia="Times New Roman"/>
                <w:lang w:eastAsia="en-US"/>
              </w:rPr>
              <w:t xml:space="preserve">30</w:t>
            </w:r>
            <w:r/>
          </w:p>
        </w:tc>
        <w:tc>
          <w:tcPr>
            <w:tcBorders>
              <w:top w:val="single" w:color="000000" w:sz="4" w:space="0"/>
              <w:left w:val="single" w:color="000000" w:sz="4" w:space="0"/>
              <w:bottom w:val="single" w:color="000000" w:sz="4" w:space="0"/>
              <w:right w:val="single" w:color="000000" w:sz="4" w:space="0"/>
            </w:tcBorders>
            <w:tcW w:w="3685" w:type="dxa"/>
            <w:textDirection w:val="lrTb"/>
            <w:noWrap w:val="false"/>
          </w:tcPr>
          <w:p>
            <w:pPr>
              <w:pStyle w:val="940"/>
              <w:widowControl w:val="off"/>
              <w:rPr>
                <w:rFonts w:eastAsia="Times New Roman"/>
                <w:lang w:eastAsia="en-US"/>
              </w:rPr>
            </w:pPr>
            <w:r>
              <w:rPr>
                <w:rFonts w:eastAsia="Times New Roman"/>
                <w:lang w:eastAsia="en-US"/>
              </w:rPr>
              <w:t xml:space="preserve">100</w:t>
            </w:r>
            <w:r/>
          </w:p>
        </w:tc>
      </w:tr>
    </w:tbl>
    <w:p>
      <w:pPr>
        <w:pStyle w:val="940"/>
        <w:ind w:right="-1" w:firstLine="0"/>
        <w:spacing w:before="0" w:after="140" w:line="240" w:lineRule="auto"/>
      </w:pPr>
      <w:r/>
      <w:r/>
    </w:p>
    <w:p>
      <w:pPr>
        <w:pStyle w:val="940"/>
        <w:ind w:right="-1" w:firstLine="0"/>
        <w:spacing w:before="0" w:after="140" w:line="240" w:lineRule="auto"/>
      </w:pPr>
      <w:r>
        <w:rPr>
          <w:rFonts w:eastAsia="Times New Roman"/>
        </w:rPr>
        <w:t xml:space="preserve">  </w:t>
      </w:r>
      <w:r>
        <w:t xml:space="preserve">Распределение</w:t>
      </w:r>
      <w:r>
        <w:rPr>
          <w:spacing w:val="1"/>
        </w:rPr>
        <w:t xml:space="preserve"> </w:t>
      </w:r>
      <w:r>
        <w:t xml:space="preserve">заданий</w:t>
      </w:r>
      <w:r>
        <w:rPr>
          <w:spacing w:val="1"/>
        </w:rPr>
        <w:t xml:space="preserve"> </w:t>
      </w:r>
      <w:r>
        <w:t xml:space="preserve">по</w:t>
      </w:r>
      <w:r>
        <w:rPr>
          <w:spacing w:val="1"/>
        </w:rPr>
        <w:t xml:space="preserve"> </w:t>
      </w:r>
      <w:r>
        <w:t xml:space="preserve">разделам</w:t>
      </w:r>
      <w:r>
        <w:rPr>
          <w:spacing w:val="1"/>
        </w:rPr>
        <w:t xml:space="preserve"> </w:t>
      </w:r>
      <w:r>
        <w:t xml:space="preserve">курса</w:t>
      </w:r>
      <w:r>
        <w:rPr>
          <w:spacing w:val="1"/>
        </w:rPr>
        <w:t xml:space="preserve"> </w:t>
      </w:r>
      <w:r>
        <w:t xml:space="preserve">информатики</w:t>
      </w:r>
      <w:r>
        <w:rPr>
          <w:spacing w:val="1"/>
        </w:rPr>
        <w:t xml:space="preserve"> </w:t>
      </w:r>
      <w:r>
        <w:t xml:space="preserve">и</w:t>
      </w:r>
      <w:r>
        <w:rPr>
          <w:spacing w:val="1"/>
        </w:rPr>
        <w:t xml:space="preserve"> </w:t>
      </w:r>
      <w:r>
        <w:t xml:space="preserve">ИКТ</w:t>
      </w:r>
      <w:r>
        <w:rPr>
          <w:spacing w:val="1"/>
        </w:rPr>
        <w:t xml:space="preserve"> </w:t>
      </w:r>
      <w:r>
        <w:t xml:space="preserve">представлено</w:t>
      </w:r>
      <w:r>
        <w:rPr>
          <w:spacing w:val="1"/>
        </w:rPr>
        <w:t xml:space="preserve"> </w:t>
      </w:r>
      <w:r>
        <w:t xml:space="preserve">в таблице.</w:t>
      </w:r>
      <w:r/>
    </w:p>
    <w:p>
      <w:pPr>
        <w:pStyle w:val="940"/>
        <w:ind w:right="509" w:firstLine="0"/>
        <w:jc w:val="right"/>
        <w:spacing w:before="121" w:after="0"/>
      </w:pPr>
      <w:r>
        <w:rPr>
          <w:i/>
        </w:rPr>
        <w:t xml:space="preserve">Таблица</w:t>
      </w:r>
      <w:r>
        <w:rPr>
          <w:i/>
          <w:spacing w:val="12"/>
        </w:rPr>
        <w:t xml:space="preserve"> </w:t>
      </w:r>
      <w:r/>
    </w:p>
    <w:p>
      <w:pPr>
        <w:pStyle w:val="940"/>
        <w:ind w:right="509" w:firstLine="0"/>
        <w:jc w:val="right"/>
        <w:spacing w:before="4" w:after="0" w:line="240" w:lineRule="auto"/>
      </w:pPr>
      <w:r>
        <w:rPr>
          <w:i/>
        </w:rPr>
        <w:t xml:space="preserve">Распределение</w:t>
      </w:r>
      <w:r>
        <w:rPr>
          <w:i/>
          <w:spacing w:val="15"/>
        </w:rPr>
        <w:t xml:space="preserve"> </w:t>
      </w:r>
      <w:r>
        <w:rPr>
          <w:i/>
        </w:rPr>
        <w:t xml:space="preserve">заданий</w:t>
      </w:r>
      <w:r>
        <w:rPr>
          <w:i/>
          <w:spacing w:val="18"/>
        </w:rPr>
        <w:t xml:space="preserve"> </w:t>
      </w:r>
      <w:r>
        <w:rPr>
          <w:i/>
        </w:rPr>
        <w:t xml:space="preserve">экзаменационной</w:t>
      </w:r>
      <w:r>
        <w:rPr>
          <w:i/>
          <w:spacing w:val="18"/>
        </w:rPr>
        <w:t xml:space="preserve"> </w:t>
      </w:r>
      <w:r>
        <w:rPr>
          <w:i/>
        </w:rPr>
        <w:t xml:space="preserve">работы </w:t>
      </w:r>
      <w:r>
        <w:rPr>
          <w:i/>
          <w:spacing w:val="-45"/>
        </w:rPr>
        <w:t xml:space="preserve"> </w:t>
      </w:r>
      <w:r>
        <w:rPr>
          <w:i/>
        </w:rPr>
        <w:t xml:space="preserve">по</w:t>
      </w:r>
      <w:r>
        <w:rPr>
          <w:i/>
          <w:spacing w:val="10"/>
        </w:rPr>
        <w:t xml:space="preserve"> </w:t>
      </w:r>
      <w:r>
        <w:rPr>
          <w:i/>
        </w:rPr>
        <w:t xml:space="preserve">содержательным</w:t>
      </w:r>
      <w:r>
        <w:rPr>
          <w:i/>
          <w:spacing w:val="11"/>
        </w:rPr>
        <w:t xml:space="preserve"> </w:t>
      </w:r>
      <w:r>
        <w:rPr>
          <w:i/>
        </w:rPr>
        <w:t xml:space="preserve">разделам</w:t>
      </w:r>
      <w:r>
        <w:rPr>
          <w:i/>
          <w:spacing w:val="10"/>
        </w:rPr>
        <w:t xml:space="preserve"> </w:t>
      </w:r>
      <w:r>
        <w:rPr>
          <w:i/>
        </w:rPr>
        <w:t xml:space="preserve">курса</w:t>
      </w:r>
      <w:r>
        <w:rPr>
          <w:i/>
          <w:spacing w:val="12"/>
        </w:rPr>
        <w:t xml:space="preserve"> </w:t>
      </w:r>
      <w:r>
        <w:rPr>
          <w:i/>
        </w:rPr>
        <w:t xml:space="preserve">информатики</w:t>
      </w:r>
      <w:r>
        <w:rPr>
          <w:i/>
          <w:spacing w:val="11"/>
        </w:rPr>
        <w:t xml:space="preserve"> </w:t>
      </w:r>
      <w:r>
        <w:rPr>
          <w:i/>
        </w:rPr>
        <w:t xml:space="preserve">и</w:t>
      </w:r>
      <w:r>
        <w:rPr>
          <w:i/>
          <w:spacing w:val="10"/>
        </w:rPr>
        <w:t xml:space="preserve"> </w:t>
      </w:r>
      <w:r>
        <w:rPr>
          <w:i/>
        </w:rPr>
        <w:t xml:space="preserve">ИКТ</w:t>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536"/>
        <w:gridCol w:w="3614"/>
        <w:gridCol w:w="1072"/>
        <w:gridCol w:w="938"/>
        <w:gridCol w:w="3499"/>
      </w:tblGrid>
      <w:tr>
        <w:trPr>
          <w:trHeight w:val="1139"/>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Содержательные</w:t>
            </w:r>
            <w:r>
              <w:rPr>
                <w:rFonts w:eastAsia="Times New Roman"/>
                <w:spacing w:val="21"/>
                <w:lang w:eastAsia="en-US"/>
              </w:rPr>
              <w:t xml:space="preserve"> </w:t>
            </w:r>
            <w:r>
              <w:rPr>
                <w:rFonts w:eastAsia="Times New Roman"/>
                <w:lang w:eastAsia="en-US"/>
              </w:rPr>
              <w:t xml:space="preserve">разделы</w:t>
            </w:r>
            <w:r/>
          </w:p>
        </w:tc>
        <w:tc>
          <w:tcPr>
            <w:tcBorders>
              <w:top w:val="single" w:color="000000" w:sz="4" w:space="0"/>
              <w:left w:val="single" w:color="000000" w:sz="4" w:space="0"/>
              <w:bottom w:val="single" w:color="000000" w:sz="4" w:space="0"/>
            </w:tcBorders>
            <w:tcW w:w="1072" w:type="dxa"/>
            <w:textDirection w:val="lrTb"/>
            <w:noWrap w:val="false"/>
          </w:tcPr>
          <w:p>
            <w:pPr>
              <w:pStyle w:val="940"/>
              <w:ind w:right="69" w:firstLine="0"/>
              <w:jc w:val="center"/>
              <w:widowControl w:val="off"/>
            </w:pPr>
            <w:r>
              <w:rPr>
                <w:rFonts w:eastAsia="Times New Roman"/>
                <w:lang w:eastAsia="en-US"/>
              </w:rPr>
              <w:t xml:space="preserve">Коли-</w:t>
            </w:r>
            <w:r>
              <w:rPr>
                <w:rFonts w:eastAsia="Times New Roman"/>
                <w:spacing w:val="1"/>
                <w:lang w:eastAsia="en-US"/>
              </w:rPr>
              <w:t xml:space="preserve"> </w:t>
            </w:r>
            <w:r>
              <w:rPr>
                <w:rFonts w:eastAsia="Times New Roman"/>
                <w:lang w:eastAsia="en-US"/>
              </w:rPr>
              <w:t xml:space="preserve">чество</w:t>
            </w:r>
            <w:r>
              <w:rPr>
                <w:rFonts w:eastAsia="Times New Roman"/>
                <w:spacing w:val="-37"/>
                <w:lang w:eastAsia="en-US"/>
              </w:rPr>
              <w:t xml:space="preserve"> </w:t>
            </w:r>
            <w:r>
              <w:rPr>
                <w:rFonts w:eastAsia="Times New Roman"/>
                <w:lang w:eastAsia="en-US"/>
              </w:rPr>
              <w:t xml:space="preserve">зада-</w:t>
            </w:r>
            <w:r>
              <w:rPr>
                <w:rFonts w:eastAsia="Times New Roman"/>
                <w:spacing w:val="1"/>
                <w:lang w:eastAsia="en-US"/>
              </w:rPr>
              <w:t xml:space="preserve"> </w:t>
            </w:r>
            <w:r>
              <w:rPr>
                <w:rFonts w:eastAsia="Times New Roman"/>
                <w:lang w:eastAsia="en-US"/>
              </w:rPr>
              <w:t xml:space="preserve">ний</w:t>
            </w:r>
            <w:r/>
          </w:p>
        </w:tc>
        <w:tc>
          <w:tcPr>
            <w:tcBorders>
              <w:top w:val="single" w:color="000000" w:sz="4" w:space="0"/>
              <w:left w:val="single" w:color="000000" w:sz="4" w:space="0"/>
              <w:bottom w:val="single" w:color="000000" w:sz="4" w:space="0"/>
            </w:tcBorders>
            <w:tcW w:w="938" w:type="dxa"/>
            <w:textDirection w:val="lrTb"/>
            <w:noWrap w:val="false"/>
          </w:tcPr>
          <w:p>
            <w:pPr>
              <w:pStyle w:val="940"/>
              <w:ind w:right="96" w:firstLine="0"/>
              <w:jc w:val="center"/>
              <w:widowControl w:val="off"/>
            </w:pPr>
            <w:r>
              <w:rPr>
                <w:rFonts w:eastAsia="Times New Roman"/>
                <w:lang w:eastAsia="en-US"/>
              </w:rPr>
              <w:t xml:space="preserve">Максимальный</w:t>
            </w:r>
            <w:r>
              <w:rPr>
                <w:rFonts w:eastAsia="Times New Roman"/>
                <w:spacing w:val="1"/>
                <w:lang w:eastAsia="en-US"/>
              </w:rPr>
              <w:t xml:space="preserve"> </w:t>
            </w:r>
            <w:r>
              <w:rPr>
                <w:rFonts w:eastAsia="Times New Roman"/>
                <w:lang w:eastAsia="en-US"/>
              </w:rPr>
              <w:t xml:space="preserve">первичный</w:t>
            </w:r>
            <w:r>
              <w:rPr>
                <w:rFonts w:eastAsia="Times New Roman"/>
                <w:spacing w:val="-37"/>
                <w:lang w:eastAsia="en-US"/>
              </w:rPr>
              <w:t xml:space="preserve"> </w:t>
            </w:r>
            <w:r>
              <w:rPr>
                <w:rFonts w:eastAsia="Times New Roman"/>
                <w:lang w:eastAsia="en-US"/>
              </w:rPr>
              <w:t xml:space="preserve">балл</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44" w:firstLine="0"/>
              <w:jc w:val="center"/>
              <w:widowControl w:val="off"/>
            </w:pPr>
            <w:r>
              <w:rPr>
                <w:rFonts w:eastAsia="Times New Roman"/>
                <w:lang w:eastAsia="en-US"/>
              </w:rPr>
              <w:t xml:space="preserve">Процент максимального</w:t>
            </w:r>
            <w:r>
              <w:rPr>
                <w:rFonts w:eastAsia="Times New Roman"/>
                <w:spacing w:val="1"/>
                <w:lang w:eastAsia="en-US"/>
              </w:rPr>
              <w:t xml:space="preserve"> </w:t>
            </w:r>
            <w:r>
              <w:rPr>
                <w:rFonts w:eastAsia="Times New Roman"/>
                <w:lang w:eastAsia="en-US"/>
              </w:rPr>
              <w:t xml:space="preserve">первичного балла за вы</w:t>
            </w:r>
            <w:r>
              <w:rPr>
                <w:rFonts w:eastAsia="Times New Roman"/>
                <w:lang w:eastAsia="en-US"/>
              </w:rPr>
              <w:t xml:space="preserve">полнение</w:t>
            </w:r>
            <w:r>
              <w:rPr>
                <w:rFonts w:eastAsia="Times New Roman"/>
                <w:spacing w:val="24"/>
                <w:lang w:eastAsia="en-US"/>
              </w:rPr>
              <w:t xml:space="preserve"> </w:t>
            </w:r>
            <w:r>
              <w:rPr>
                <w:rFonts w:eastAsia="Times New Roman"/>
                <w:lang w:eastAsia="en-US"/>
              </w:rPr>
              <w:t xml:space="preserve">заданий</w:t>
            </w:r>
            <w:r>
              <w:rPr>
                <w:rFonts w:eastAsia="Times New Roman"/>
                <w:spacing w:val="25"/>
                <w:lang w:eastAsia="en-US"/>
              </w:rPr>
              <w:t xml:space="preserve"> </w:t>
            </w:r>
            <w:r>
              <w:rPr>
                <w:rFonts w:eastAsia="Times New Roman"/>
                <w:lang w:eastAsia="en-US"/>
              </w:rPr>
              <w:t xml:space="preserve">данного</w:t>
            </w:r>
            <w:r>
              <w:rPr>
                <w:rFonts w:eastAsia="Times New Roman"/>
                <w:spacing w:val="-37"/>
                <w:lang w:eastAsia="en-US"/>
              </w:rPr>
              <w:t xml:space="preserve"> </w:t>
            </w:r>
            <w:r>
              <w:rPr>
                <w:rFonts w:eastAsia="Times New Roman"/>
                <w:lang w:eastAsia="en-US"/>
              </w:rPr>
              <w:t xml:space="preserve">раздела</w:t>
            </w:r>
            <w:r>
              <w:rPr>
                <w:rFonts w:eastAsia="Times New Roman"/>
                <w:spacing w:val="22"/>
                <w:lang w:eastAsia="en-US"/>
              </w:rPr>
              <w:t xml:space="preserve"> </w:t>
            </w:r>
            <w:r>
              <w:rPr>
                <w:rFonts w:eastAsia="Times New Roman"/>
                <w:lang w:eastAsia="en-US"/>
              </w:rPr>
              <w:t xml:space="preserve">от</w:t>
            </w:r>
            <w:r>
              <w:rPr>
                <w:rFonts w:eastAsia="Times New Roman"/>
                <w:spacing w:val="21"/>
                <w:lang w:eastAsia="en-US"/>
              </w:rPr>
              <w:t xml:space="preserve"> </w:t>
            </w:r>
            <w:r>
              <w:rPr>
                <w:rFonts w:eastAsia="Times New Roman"/>
                <w:lang w:eastAsia="en-US"/>
              </w:rPr>
              <w:t xml:space="preserve">максимального</w:t>
            </w:r>
            <w:r/>
          </w:p>
          <w:p>
            <w:pPr>
              <w:pStyle w:val="940"/>
              <w:ind w:right="118" w:firstLine="0"/>
              <w:jc w:val="center"/>
              <w:widowControl w:val="off"/>
            </w:pPr>
            <w:r>
              <w:rPr>
                <w:rFonts w:eastAsia="Times New Roman"/>
                <w:lang w:eastAsia="en-US"/>
              </w:rPr>
              <w:t xml:space="preserve">первичного</w:t>
            </w:r>
            <w:r>
              <w:rPr>
                <w:rFonts w:eastAsia="Times New Roman"/>
                <w:spacing w:val="10"/>
                <w:lang w:eastAsia="en-US"/>
              </w:rPr>
              <w:t xml:space="preserve"> </w:t>
            </w:r>
            <w:r>
              <w:rPr>
                <w:rFonts w:eastAsia="Times New Roman"/>
                <w:lang w:eastAsia="en-US"/>
              </w:rPr>
              <w:t xml:space="preserve">балла</w:t>
            </w:r>
            <w:r>
              <w:rPr>
                <w:rFonts w:eastAsia="Times New Roman"/>
                <w:spacing w:val="10"/>
                <w:lang w:eastAsia="en-US"/>
              </w:rPr>
              <w:t xml:space="preserve"> </w:t>
            </w:r>
            <w:r>
              <w:rPr>
                <w:rFonts w:eastAsia="Times New Roman"/>
                <w:lang w:eastAsia="en-US"/>
              </w:rPr>
              <w:t xml:space="preserve">за</w:t>
            </w:r>
            <w:r>
              <w:rPr>
                <w:rFonts w:eastAsia="Times New Roman"/>
                <w:spacing w:val="4"/>
                <w:lang w:eastAsia="en-US"/>
              </w:rPr>
              <w:t xml:space="preserve"> </w:t>
            </w:r>
            <w:r>
              <w:rPr>
                <w:rFonts w:eastAsia="Times New Roman"/>
                <w:lang w:eastAsia="en-US"/>
              </w:rPr>
              <w:t xml:space="preserve">всю</w:t>
            </w:r>
            <w:r>
              <w:rPr>
                <w:rFonts w:eastAsia="Times New Roman"/>
                <w:spacing w:val="-37"/>
                <w:lang w:eastAsia="en-US"/>
              </w:rPr>
              <w:t xml:space="preserve"> </w:t>
            </w:r>
            <w:r>
              <w:rPr>
                <w:rFonts w:eastAsia="Times New Roman"/>
                <w:lang w:eastAsia="en-US"/>
              </w:rPr>
              <w:t xml:space="preserve">работу,</w:t>
            </w:r>
            <w:r>
              <w:rPr>
                <w:rFonts w:eastAsia="Times New Roman"/>
                <w:spacing w:val="-6"/>
                <w:lang w:eastAsia="en-US"/>
              </w:rPr>
              <w:t xml:space="preserve"> </w:t>
            </w:r>
            <w:r>
              <w:rPr>
                <w:rFonts w:eastAsia="Times New Roman"/>
                <w:lang w:eastAsia="en-US"/>
              </w:rPr>
              <w:t xml:space="preserve">равного</w:t>
            </w:r>
            <w:r>
              <w:rPr>
                <w:rFonts w:eastAsia="Times New Roman"/>
                <w:spacing w:val="-4"/>
                <w:lang w:eastAsia="en-US"/>
              </w:rPr>
              <w:t xml:space="preserve"> </w:t>
            </w:r>
            <w:r>
              <w:rPr>
                <w:rFonts w:eastAsia="Times New Roman"/>
                <w:lang w:eastAsia="en-US"/>
              </w:rPr>
              <w:t xml:space="preserve">30</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Информация</w:t>
            </w:r>
            <w:r>
              <w:rPr>
                <w:rFonts w:eastAsia="Times New Roman"/>
                <w:spacing w:val="-9"/>
                <w:lang w:eastAsia="en-US"/>
              </w:rPr>
              <w:t xml:space="preserve"> </w:t>
            </w:r>
            <w:r>
              <w:rPr>
                <w:rFonts w:eastAsia="Times New Roman"/>
                <w:lang w:eastAsia="en-US"/>
              </w:rPr>
              <w:t xml:space="preserve">и</w:t>
            </w:r>
            <w:r>
              <w:rPr>
                <w:rFonts w:eastAsia="Times New Roman"/>
                <w:spacing w:val="-8"/>
                <w:lang w:eastAsia="en-US"/>
              </w:rPr>
              <w:t xml:space="preserve"> </w:t>
            </w:r>
            <w:r>
              <w:rPr>
                <w:rFonts w:eastAsia="Times New Roman"/>
                <w:lang w:eastAsia="en-US"/>
              </w:rPr>
              <w:t xml:space="preserve">её</w:t>
            </w:r>
            <w:r>
              <w:rPr>
                <w:rFonts w:eastAsia="Times New Roman"/>
                <w:spacing w:val="-9"/>
                <w:lang w:eastAsia="en-US"/>
              </w:rPr>
              <w:t xml:space="preserve"> </w:t>
            </w:r>
            <w:r>
              <w:rPr>
                <w:rFonts w:eastAsia="Times New Roman"/>
                <w:lang w:eastAsia="en-US"/>
              </w:rPr>
              <w:t xml:space="preserve">кодирование</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3</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3</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118" w:firstLine="0"/>
              <w:jc w:val="center"/>
              <w:widowControl w:val="off"/>
              <w:rPr>
                <w:rFonts w:eastAsia="Times New Roman"/>
                <w:lang w:eastAsia="en-US"/>
              </w:rPr>
            </w:pPr>
            <w:r>
              <w:rPr>
                <w:rFonts w:eastAsia="Times New Roman"/>
                <w:lang w:eastAsia="en-US"/>
              </w:rPr>
              <w:t xml:space="preserve">10</w:t>
            </w:r>
            <w:r/>
          </w:p>
        </w:tc>
      </w:tr>
      <w:tr>
        <w:trPr>
          <w:trHeight w:val="378"/>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Моделирование</w:t>
            </w:r>
            <w:r>
              <w:rPr>
                <w:rFonts w:eastAsia="Times New Roman"/>
                <w:spacing w:val="30"/>
                <w:lang w:eastAsia="en-US"/>
              </w:rPr>
              <w:t xml:space="preserve"> </w:t>
            </w:r>
            <w:r>
              <w:rPr>
                <w:rFonts w:eastAsia="Times New Roman"/>
                <w:lang w:eastAsia="en-US"/>
              </w:rPr>
              <w:t xml:space="preserve">и</w:t>
            </w:r>
            <w:r>
              <w:rPr>
                <w:rFonts w:eastAsia="Times New Roman"/>
                <w:spacing w:val="30"/>
                <w:lang w:eastAsia="en-US"/>
              </w:rPr>
              <w:t xml:space="preserve"> </w:t>
            </w:r>
            <w:r>
              <w:rPr>
                <w:rFonts w:eastAsia="Times New Roman"/>
                <w:lang w:eastAsia="en-US"/>
              </w:rPr>
              <w:t xml:space="preserve">компьютерный</w:t>
            </w:r>
            <w:r/>
          </w:p>
          <w:p>
            <w:pPr>
              <w:pStyle w:val="940"/>
              <w:widowControl w:val="off"/>
              <w:rPr>
                <w:rFonts w:eastAsia="Times New Roman"/>
                <w:lang w:eastAsia="en-US"/>
              </w:rPr>
            </w:pPr>
            <w:r>
              <w:rPr>
                <w:rFonts w:eastAsia="Times New Roman"/>
                <w:lang w:eastAsia="en-US"/>
              </w:rPr>
              <w:t xml:space="preserve">эксперимент</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jc w:val="center"/>
              <w:widowControl w:val="off"/>
              <w:rPr>
                <w:rFonts w:eastAsia="Times New Roman"/>
                <w:lang w:eastAsia="en-US"/>
              </w:rPr>
            </w:pPr>
            <w:r>
              <w:rPr>
                <w:rFonts w:eastAsia="Times New Roman"/>
                <w:lang w:eastAsia="en-US"/>
              </w:rPr>
              <w:t xml:space="preserve">7</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3</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Системы</w:t>
            </w:r>
            <w:r>
              <w:rPr>
                <w:rFonts w:eastAsia="Times New Roman"/>
                <w:spacing w:val="-10"/>
                <w:lang w:eastAsia="en-US"/>
              </w:rPr>
              <w:t xml:space="preserve"> </w:t>
            </w:r>
            <w:r>
              <w:rPr>
                <w:rFonts w:eastAsia="Times New Roman"/>
                <w:lang w:eastAsia="en-US"/>
              </w:rPr>
              <w:t xml:space="preserve">счисления</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jc w:val="center"/>
              <w:widowControl w:val="off"/>
              <w:rPr>
                <w:rFonts w:eastAsia="Times New Roman"/>
                <w:lang w:eastAsia="en-US"/>
              </w:rPr>
            </w:pPr>
            <w:r>
              <w:rPr>
                <w:rFonts w:eastAsia="Times New Roman"/>
                <w:lang w:eastAsia="en-US"/>
              </w:rPr>
              <w:t xml:space="preserve">3</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4</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spacing w:val="-1"/>
                <w:lang w:eastAsia="en-US"/>
              </w:rPr>
              <w:t xml:space="preserve">Логика</w:t>
            </w:r>
            <w:r>
              <w:rPr>
                <w:rFonts w:eastAsia="Times New Roman"/>
                <w:spacing w:val="-10"/>
                <w:lang w:eastAsia="en-US"/>
              </w:rPr>
              <w:t xml:space="preserve"> </w:t>
            </w:r>
            <w:r>
              <w:rPr>
                <w:rFonts w:eastAsia="Times New Roman"/>
                <w:lang w:eastAsia="en-US"/>
              </w:rPr>
              <w:t xml:space="preserve">и</w:t>
            </w:r>
            <w:r>
              <w:rPr>
                <w:rFonts w:eastAsia="Times New Roman"/>
                <w:spacing w:val="-9"/>
                <w:lang w:eastAsia="en-US"/>
              </w:rPr>
              <w:t xml:space="preserve"> </w:t>
            </w:r>
            <w:r>
              <w:rPr>
                <w:rFonts w:eastAsia="Times New Roman"/>
                <w:lang w:eastAsia="en-US"/>
              </w:rPr>
              <w:t xml:space="preserve">алгоритмы</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8</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9</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118" w:firstLine="0"/>
              <w:jc w:val="center"/>
              <w:widowControl w:val="off"/>
              <w:rPr>
                <w:rFonts w:eastAsia="Times New Roman"/>
                <w:lang w:eastAsia="en-US"/>
              </w:rPr>
            </w:pPr>
            <w:r>
              <w:rPr>
                <w:rFonts w:eastAsia="Times New Roman"/>
                <w:lang w:eastAsia="en-US"/>
              </w:rPr>
              <w:t xml:space="preserve">30</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5</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spacing w:val="-1"/>
                <w:lang w:eastAsia="en-US"/>
              </w:rPr>
              <w:t xml:space="preserve">Элементы</w:t>
            </w:r>
            <w:r>
              <w:rPr>
                <w:rFonts w:eastAsia="Times New Roman"/>
                <w:spacing w:val="-8"/>
                <w:lang w:eastAsia="en-US"/>
              </w:rPr>
              <w:t xml:space="preserve"> </w:t>
            </w:r>
            <w:r>
              <w:rPr>
                <w:rFonts w:eastAsia="Times New Roman"/>
                <w:spacing w:val="-1"/>
                <w:lang w:eastAsia="en-US"/>
              </w:rPr>
              <w:t xml:space="preserve">теории</w:t>
            </w:r>
            <w:r>
              <w:rPr>
                <w:rFonts w:eastAsia="Times New Roman"/>
                <w:spacing w:val="-8"/>
                <w:lang w:eastAsia="en-US"/>
              </w:rPr>
              <w:t xml:space="preserve"> </w:t>
            </w:r>
            <w:r>
              <w:rPr>
                <w:rFonts w:eastAsia="Times New Roman"/>
                <w:lang w:eastAsia="en-US"/>
              </w:rPr>
              <w:t xml:space="preserve">алгоритмов</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6</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7</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118" w:firstLine="0"/>
              <w:jc w:val="center"/>
              <w:widowControl w:val="off"/>
              <w:rPr>
                <w:rFonts w:eastAsia="Times New Roman"/>
                <w:lang w:eastAsia="en-US"/>
              </w:rPr>
            </w:pPr>
            <w:r>
              <w:rPr>
                <w:rFonts w:eastAsia="Times New Roman"/>
                <w:lang w:eastAsia="en-US"/>
              </w:rPr>
              <w:t xml:space="preserve">23</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6</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rPr>
                <w:rFonts w:eastAsia="Times New Roman"/>
                <w:lang w:eastAsia="en-US"/>
              </w:rPr>
            </w:pPr>
            <w:r>
              <w:rPr>
                <w:rFonts w:eastAsia="Times New Roman"/>
                <w:lang w:eastAsia="en-US"/>
              </w:rPr>
              <w:t xml:space="preserve">Программирование</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3</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118" w:firstLine="0"/>
              <w:jc w:val="center"/>
              <w:widowControl w:val="off"/>
              <w:rPr>
                <w:rFonts w:eastAsia="Times New Roman"/>
                <w:lang w:eastAsia="en-US"/>
              </w:rPr>
            </w:pPr>
            <w:r>
              <w:rPr>
                <w:rFonts w:eastAsia="Times New Roman"/>
                <w:lang w:eastAsia="en-US"/>
              </w:rPr>
              <w:t xml:space="preserve">10</w:t>
            </w:r>
            <w:r/>
          </w:p>
        </w:tc>
      </w:tr>
      <w:tr>
        <w:trPr>
          <w:trHeight w:val="37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7</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Архитектура</w:t>
            </w:r>
            <w:r>
              <w:rPr>
                <w:rFonts w:eastAsia="Times New Roman"/>
                <w:spacing w:val="8"/>
                <w:lang w:eastAsia="en-US"/>
              </w:rPr>
              <w:t xml:space="preserve"> </w:t>
            </w:r>
            <w:r>
              <w:rPr>
                <w:rFonts w:eastAsia="Times New Roman"/>
                <w:lang w:eastAsia="en-US"/>
              </w:rPr>
              <w:t xml:space="preserve">компьютеров</w:t>
            </w:r>
            <w:r>
              <w:rPr>
                <w:rFonts w:eastAsia="Times New Roman"/>
                <w:spacing w:val="7"/>
                <w:lang w:eastAsia="en-US"/>
              </w:rPr>
              <w:t xml:space="preserve"> </w:t>
            </w:r>
            <w:r>
              <w:rPr>
                <w:rFonts w:eastAsia="Times New Roman"/>
                <w:lang w:eastAsia="en-US"/>
              </w:rPr>
              <w:t xml:space="preserve">и</w:t>
            </w:r>
            <w:r>
              <w:rPr>
                <w:rFonts w:eastAsia="Times New Roman"/>
                <w:spacing w:val="7"/>
                <w:lang w:eastAsia="en-US"/>
              </w:rPr>
              <w:t xml:space="preserve"> </w:t>
            </w:r>
            <w:r>
              <w:rPr>
                <w:rFonts w:eastAsia="Times New Roman"/>
                <w:lang w:eastAsia="en-US"/>
              </w:rPr>
              <w:t xml:space="preserve">ком</w:t>
            </w:r>
            <w:r>
              <w:rPr>
                <w:rFonts w:eastAsia="Times New Roman"/>
                <w:spacing w:val="-1"/>
                <w:lang w:eastAsia="en-US"/>
              </w:rPr>
              <w:t xml:space="preserve">пьютерных</w:t>
            </w:r>
            <w:r>
              <w:rPr>
                <w:rFonts w:eastAsia="Times New Roman"/>
                <w:spacing w:val="-8"/>
                <w:lang w:eastAsia="en-US"/>
              </w:rPr>
              <w:t xml:space="preserve"> </w:t>
            </w:r>
            <w:r>
              <w:rPr>
                <w:rFonts w:eastAsia="Times New Roman"/>
                <w:lang w:eastAsia="en-US"/>
              </w:rPr>
              <w:t xml:space="preserve">сетей</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jc w:val="center"/>
              <w:widowControl w:val="off"/>
              <w:rPr>
                <w:rFonts w:eastAsia="Times New Roman"/>
                <w:lang w:eastAsia="en-US"/>
              </w:rPr>
            </w:pPr>
            <w:r>
              <w:rPr>
                <w:rFonts w:eastAsia="Times New Roman"/>
                <w:lang w:eastAsia="en-US"/>
              </w:rPr>
              <w:t xml:space="preserve">3</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8</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Обработка</w:t>
            </w:r>
            <w:r>
              <w:rPr>
                <w:rFonts w:eastAsia="Times New Roman"/>
                <w:spacing w:val="22"/>
                <w:lang w:eastAsia="en-US"/>
              </w:rPr>
              <w:t xml:space="preserve"> </w:t>
            </w:r>
            <w:r>
              <w:rPr>
                <w:rFonts w:eastAsia="Times New Roman"/>
                <w:lang w:eastAsia="en-US"/>
              </w:rPr>
              <w:t xml:space="preserve">числовой</w:t>
            </w:r>
            <w:r>
              <w:rPr>
                <w:rFonts w:eastAsia="Times New Roman"/>
                <w:spacing w:val="22"/>
                <w:lang w:eastAsia="en-US"/>
              </w:rPr>
              <w:t xml:space="preserve"> </w:t>
            </w: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jc w:val="center"/>
              <w:widowControl w:val="off"/>
              <w:rPr>
                <w:rFonts w:eastAsia="Times New Roman"/>
                <w:lang w:eastAsia="en-US"/>
              </w:rPr>
            </w:pPr>
            <w:r>
              <w:rPr>
                <w:rFonts w:eastAsia="Times New Roman"/>
                <w:lang w:eastAsia="en-US"/>
              </w:rPr>
              <w:t xml:space="preserve">7</w:t>
            </w:r>
            <w:r/>
          </w:p>
        </w:tc>
      </w:tr>
      <w:tr>
        <w:trPr>
          <w:trHeight w:val="378"/>
        </w:trPr>
        <w:tc>
          <w:tcPr>
            <w:tcBorders>
              <w:top w:val="single" w:color="000000" w:sz="4" w:space="0"/>
              <w:left w:val="single" w:color="000000" w:sz="4" w:space="0"/>
              <w:bottom w:val="single" w:color="000000" w:sz="4" w:space="0"/>
            </w:tcBorders>
            <w:tcW w:w="536" w:type="dxa"/>
            <w:textDirection w:val="lrTb"/>
            <w:noWrap w:val="false"/>
          </w:tcPr>
          <w:p>
            <w:pPr>
              <w:pStyle w:val="940"/>
              <w:jc w:val="center"/>
              <w:widowControl w:val="off"/>
              <w:rPr>
                <w:rFonts w:eastAsia="Times New Roman"/>
                <w:lang w:eastAsia="en-US"/>
              </w:rPr>
            </w:pPr>
            <w:r>
              <w:rPr>
                <w:rFonts w:eastAsia="Times New Roman"/>
                <w:lang w:eastAsia="en-US"/>
              </w:rPr>
              <w:t xml:space="preserve">9</w:t>
            </w:r>
            <w:r/>
          </w:p>
        </w:tc>
        <w:tc>
          <w:tcPr>
            <w:tcBorders>
              <w:top w:val="single" w:color="000000" w:sz="4" w:space="0"/>
              <w:left w:val="single" w:color="000000" w:sz="4" w:space="0"/>
              <w:bottom w:val="single" w:color="000000" w:sz="4" w:space="0"/>
            </w:tcBorders>
            <w:tcW w:w="3614" w:type="dxa"/>
            <w:textDirection w:val="lrTb"/>
            <w:noWrap w:val="false"/>
          </w:tcPr>
          <w:p>
            <w:pPr>
              <w:pStyle w:val="940"/>
              <w:widowControl w:val="off"/>
            </w:pPr>
            <w:r>
              <w:rPr>
                <w:rFonts w:eastAsia="Times New Roman"/>
                <w:lang w:eastAsia="en-US"/>
              </w:rPr>
              <w:t xml:space="preserve">Технологии</w:t>
            </w:r>
            <w:r>
              <w:rPr>
                <w:rFonts w:eastAsia="Times New Roman"/>
                <w:spacing w:val="35"/>
                <w:lang w:eastAsia="en-US"/>
              </w:rPr>
              <w:t xml:space="preserve"> </w:t>
            </w:r>
            <w:r>
              <w:rPr>
                <w:rFonts w:eastAsia="Times New Roman"/>
                <w:lang w:eastAsia="en-US"/>
              </w:rPr>
              <w:t xml:space="preserve">поиска и хранения </w:t>
            </w:r>
            <w:r/>
          </w:p>
          <w:p>
            <w:pPr>
              <w:pStyle w:val="940"/>
              <w:widowControl w:val="off"/>
              <w:rPr>
                <w:rFonts w:eastAsia="Times New Roman"/>
                <w:lang w:eastAsia="en-US"/>
              </w:rPr>
            </w:pP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jc w:val="center"/>
              <w:widowControl w:val="off"/>
              <w:rPr>
                <w:rFonts w:eastAsia="Times New Roman"/>
                <w:lang w:eastAsia="en-US"/>
              </w:rPr>
            </w:pPr>
            <w:r>
              <w:rPr>
                <w:rFonts w:eastAsia="Times New Roman"/>
                <w:lang w:eastAsia="en-US"/>
              </w:rPr>
              <w:t xml:space="preserve">7</w:t>
            </w:r>
            <w:r/>
          </w:p>
        </w:tc>
      </w:tr>
      <w:tr>
        <w:trPr>
          <w:trHeight w:val="187"/>
        </w:trPr>
        <w:tc>
          <w:tcPr>
            <w:tcBorders>
              <w:top w:val="single" w:color="000000" w:sz="4" w:space="0"/>
              <w:left w:val="single" w:color="000000" w:sz="4" w:space="0"/>
              <w:bottom w:val="single" w:color="000000" w:sz="4" w:space="0"/>
            </w:tcBorders>
            <w:tcW w:w="536" w:type="dxa"/>
            <w:textDirection w:val="lrTb"/>
            <w:noWrap w:val="false"/>
          </w:tcPr>
          <w:p>
            <w:pPr>
              <w:pStyle w:val="940"/>
              <w:widowControl w:val="off"/>
              <w:rPr>
                <w:rFonts w:eastAsia="Times New Roman"/>
                <w:lang w:eastAsia="en-US"/>
              </w:rPr>
            </w:pPr>
            <w:r>
              <w:rPr>
                <w:rFonts w:eastAsia="Times New Roman"/>
                <w:lang w:eastAsia="en-US"/>
              </w:rPr>
            </w:r>
            <w:r/>
          </w:p>
        </w:tc>
        <w:tc>
          <w:tcPr>
            <w:tcBorders>
              <w:top w:val="single" w:color="000000" w:sz="4" w:space="0"/>
              <w:left w:val="single" w:color="000000" w:sz="4" w:space="0"/>
              <w:bottom w:val="single" w:color="000000" w:sz="4" w:space="0"/>
            </w:tcBorders>
            <w:tcW w:w="3614" w:type="dxa"/>
            <w:textDirection w:val="lrTb"/>
            <w:noWrap w:val="false"/>
          </w:tcPr>
          <w:p>
            <w:pPr>
              <w:pStyle w:val="940"/>
              <w:ind w:right="65" w:firstLine="0"/>
              <w:jc w:val="right"/>
              <w:widowControl w:val="off"/>
              <w:rPr>
                <w:rFonts w:eastAsia="Times New Roman"/>
                <w:lang w:eastAsia="en-US"/>
              </w:rPr>
            </w:pPr>
            <w:r>
              <w:rPr>
                <w:rFonts w:eastAsia="Times New Roman"/>
                <w:lang w:eastAsia="en-US"/>
              </w:rPr>
              <w:t xml:space="preserve">Итого</w:t>
            </w:r>
            <w:r/>
          </w:p>
        </w:tc>
        <w:tc>
          <w:tcPr>
            <w:tcBorders>
              <w:top w:val="single" w:color="000000" w:sz="4" w:space="0"/>
              <w:left w:val="single" w:color="000000" w:sz="4" w:space="0"/>
              <w:bottom w:val="single" w:color="000000" w:sz="4" w:space="0"/>
            </w:tcBorders>
            <w:tcW w:w="1072" w:type="dxa"/>
            <w:textDirection w:val="lrTb"/>
            <w:noWrap w:val="false"/>
          </w:tcPr>
          <w:p>
            <w:pPr>
              <w:pStyle w:val="940"/>
              <w:widowControl w:val="off"/>
              <w:rPr>
                <w:rFonts w:eastAsia="Times New Roman"/>
                <w:lang w:eastAsia="en-US"/>
              </w:rPr>
            </w:pPr>
            <w:r>
              <w:rPr>
                <w:rFonts w:eastAsia="Times New Roman"/>
                <w:lang w:eastAsia="en-US"/>
              </w:rPr>
              <w:t xml:space="preserve">27</w:t>
            </w:r>
            <w:r/>
          </w:p>
        </w:tc>
        <w:tc>
          <w:tcPr>
            <w:tcBorders>
              <w:top w:val="single" w:color="000000" w:sz="4" w:space="0"/>
              <w:left w:val="single" w:color="000000" w:sz="4" w:space="0"/>
              <w:bottom w:val="single" w:color="000000" w:sz="4" w:space="0"/>
            </w:tcBorders>
            <w:tcW w:w="938" w:type="dxa"/>
            <w:textDirection w:val="lrTb"/>
            <w:noWrap w:val="false"/>
          </w:tcPr>
          <w:p>
            <w:pPr>
              <w:pStyle w:val="940"/>
              <w:widowControl w:val="off"/>
              <w:rPr>
                <w:rFonts w:eastAsia="Times New Roman"/>
                <w:lang w:eastAsia="en-US"/>
              </w:rPr>
            </w:pPr>
            <w:r>
              <w:rPr>
                <w:rFonts w:eastAsia="Times New Roman"/>
                <w:lang w:eastAsia="en-US"/>
              </w:rPr>
              <w:t xml:space="preserve">30</w:t>
            </w:r>
            <w:r/>
          </w:p>
        </w:tc>
        <w:tc>
          <w:tcPr>
            <w:tcBorders>
              <w:top w:val="single" w:color="000000" w:sz="4" w:space="0"/>
              <w:left w:val="single" w:color="000000" w:sz="4" w:space="0"/>
              <w:bottom w:val="single" w:color="000000" w:sz="4" w:space="0"/>
              <w:right w:val="single" w:color="000000" w:sz="4" w:space="0"/>
            </w:tcBorders>
            <w:tcW w:w="3499" w:type="dxa"/>
            <w:textDirection w:val="lrTb"/>
            <w:noWrap w:val="false"/>
          </w:tcPr>
          <w:p>
            <w:pPr>
              <w:pStyle w:val="940"/>
              <w:ind w:right="118" w:firstLine="0"/>
              <w:jc w:val="center"/>
              <w:widowControl w:val="off"/>
              <w:rPr>
                <w:rFonts w:eastAsia="Times New Roman"/>
                <w:lang w:eastAsia="en-US"/>
              </w:rPr>
            </w:pPr>
            <w:r>
              <w:rPr>
                <w:rFonts w:eastAsia="Times New Roman"/>
                <w:lang w:eastAsia="en-US"/>
              </w:rPr>
              <w:t xml:space="preserve">100</w:t>
            </w:r>
            <w:r/>
          </w:p>
        </w:tc>
      </w:tr>
    </w:tbl>
    <w:p>
      <w:pPr>
        <w:pStyle w:val="1393"/>
        <w:ind w:right="490" w:firstLine="0"/>
        <w:jc w:val="both"/>
        <w:spacing w:before="0" w:after="0" w:line="240" w:lineRule="auto"/>
      </w:pPr>
      <w:r/>
      <w:r/>
    </w:p>
    <w:p>
      <w:pPr>
        <w:pStyle w:val="1393"/>
        <w:ind w:right="490" w:firstLine="708"/>
        <w:jc w:val="both"/>
        <w:spacing w:before="0" w:after="0" w:line="240" w:lineRule="auto"/>
      </w:pPr>
      <w:r>
        <w:t xml:space="preserve">По</w:t>
      </w:r>
      <w:r>
        <w:rPr>
          <w:spacing w:val="61"/>
        </w:rPr>
        <w:t xml:space="preserve"> </w:t>
      </w:r>
      <w:r>
        <w:t xml:space="preserve">сравнению   с   2020   годом   произошли   изменения   в   оценивании   заданий</w:t>
      </w:r>
      <w:r>
        <w:rPr>
          <w:spacing w:val="-57"/>
        </w:rPr>
        <w:t xml:space="preserve"> </w:t>
      </w:r>
      <w:r>
        <w:t xml:space="preserve">и распределении баллов по заданиям, а также общем количестве баллов. Для сравнения</w:t>
      </w:r>
      <w:r>
        <w:rPr>
          <w:spacing w:val="1"/>
        </w:rPr>
        <w:t xml:space="preserve"> </w:t>
      </w:r>
      <w:r>
        <w:t xml:space="preserve">приведены</w:t>
      </w:r>
      <w:r>
        <w:rPr>
          <w:spacing w:val="-1"/>
        </w:rPr>
        <w:t xml:space="preserve"> </w:t>
      </w:r>
      <w:r>
        <w:t xml:space="preserve">данные</w:t>
      </w:r>
      <w:r>
        <w:rPr>
          <w:spacing w:val="-2"/>
        </w:rPr>
        <w:t xml:space="preserve"> </w:t>
      </w:r>
      <w:r>
        <w:t xml:space="preserve">за</w:t>
      </w:r>
      <w:r>
        <w:rPr>
          <w:spacing w:val="-1"/>
        </w:rPr>
        <w:t xml:space="preserve"> </w:t>
      </w:r>
      <w:r>
        <w:t xml:space="preserve">2020</w:t>
      </w:r>
      <w:r>
        <w:rPr>
          <w:spacing w:val="-1"/>
        </w:rPr>
        <w:t xml:space="preserve"> </w:t>
      </w:r>
      <w:r>
        <w:t xml:space="preserve">год,</w:t>
      </w:r>
      <w:r>
        <w:rPr>
          <w:spacing w:val="-1"/>
        </w:rPr>
        <w:t xml:space="preserve"> </w:t>
      </w:r>
      <w:r>
        <w:t xml:space="preserve">они</w:t>
      </w:r>
      <w:r>
        <w:rPr>
          <w:spacing w:val="-1"/>
        </w:rPr>
        <w:t xml:space="preserve"> </w:t>
      </w:r>
      <w:r>
        <w:t xml:space="preserve">указаны в</w:t>
      </w:r>
      <w:r>
        <w:rPr>
          <w:spacing w:val="-1"/>
        </w:rPr>
        <w:t xml:space="preserve"> </w:t>
      </w:r>
      <w:r>
        <w:t xml:space="preserve">скобках</w:t>
      </w:r>
      <w:r>
        <w:rPr>
          <w:spacing w:val="-1"/>
        </w:rPr>
        <w:t xml:space="preserve"> </w:t>
      </w:r>
      <w:r>
        <w:t xml:space="preserve">в</w:t>
      </w:r>
      <w:r>
        <w:rPr>
          <w:spacing w:val="-1"/>
        </w:rPr>
        <w:t xml:space="preserve"> </w:t>
      </w:r>
      <w:r>
        <w:t xml:space="preserve">таблице</w:t>
      </w:r>
      <w:r>
        <w:rPr>
          <w:spacing w:val="-1"/>
        </w:rPr>
        <w:t xml:space="preserve">.</w:t>
      </w:r>
      <w:r/>
    </w:p>
    <w:p>
      <w:pPr>
        <w:pStyle w:val="940"/>
        <w:ind w:right="509" w:firstLine="0"/>
        <w:jc w:val="right"/>
        <w:spacing w:before="121" w:after="0"/>
        <w:rPr>
          <w:rFonts w:eastAsia="Times New Roman"/>
          <w:i/>
        </w:rPr>
      </w:pPr>
      <w:r>
        <w:rPr>
          <w:rFonts w:eastAsia="Times New Roman"/>
          <w:i/>
        </w:rPr>
        <w:t xml:space="preserve">   </w:t>
      </w:r>
      <w:r/>
    </w:p>
    <w:p>
      <w:pPr>
        <w:pStyle w:val="940"/>
        <w:ind w:right="509" w:firstLine="0"/>
        <w:jc w:val="right"/>
        <w:spacing w:before="121" w:after="0"/>
        <w:rPr>
          <w:i/>
        </w:rPr>
      </w:pPr>
      <w:r>
        <w:rPr>
          <w:i/>
        </w:rPr>
      </w:r>
      <w:r/>
    </w:p>
    <w:p>
      <w:pPr>
        <w:pStyle w:val="940"/>
        <w:ind w:right="509" w:firstLine="0"/>
        <w:jc w:val="right"/>
        <w:spacing w:before="121" w:after="0"/>
        <w:rPr>
          <w:i/>
        </w:rPr>
      </w:pPr>
      <w:r>
        <w:rPr>
          <w:i/>
        </w:rPr>
      </w:r>
      <w:r/>
    </w:p>
    <w:p>
      <w:pPr>
        <w:pStyle w:val="940"/>
        <w:ind w:right="509" w:firstLine="0"/>
        <w:jc w:val="right"/>
        <w:spacing w:before="121" w:after="0"/>
      </w:pPr>
      <w:r>
        <w:rPr>
          <w:i/>
        </w:rPr>
        <w:t xml:space="preserve">Таблица</w:t>
      </w:r>
      <w:r>
        <w:rPr>
          <w:i/>
          <w:spacing w:val="12"/>
        </w:rPr>
        <w:t xml:space="preserve"> </w:t>
      </w:r>
      <w:r/>
    </w:p>
    <w:p>
      <w:pPr>
        <w:pStyle w:val="940"/>
        <w:jc w:val="right"/>
      </w:pPr>
      <w:r>
        <w:rPr>
          <w:i/>
        </w:rPr>
        <w:t xml:space="preserve">Распределение</w:t>
      </w:r>
      <w:r>
        <w:rPr>
          <w:i/>
          <w:spacing w:val="-3"/>
        </w:rPr>
        <w:t xml:space="preserve"> </w:t>
      </w:r>
      <w:r>
        <w:rPr>
          <w:i/>
        </w:rPr>
        <w:t xml:space="preserve">заданий</w:t>
      </w:r>
      <w:r>
        <w:rPr>
          <w:i/>
          <w:spacing w:val="-2"/>
        </w:rPr>
        <w:t xml:space="preserve"> </w:t>
      </w:r>
      <w:r>
        <w:rPr>
          <w:i/>
        </w:rPr>
        <w:t xml:space="preserve">по</w:t>
      </w:r>
      <w:r>
        <w:rPr>
          <w:i/>
          <w:spacing w:val="-1"/>
        </w:rPr>
        <w:t xml:space="preserve"> </w:t>
      </w:r>
      <w:r>
        <w:rPr>
          <w:i/>
        </w:rPr>
        <w:t xml:space="preserve">уровню</w:t>
      </w:r>
      <w:r>
        <w:rPr>
          <w:i/>
          <w:spacing w:val="-4"/>
        </w:rPr>
        <w:t xml:space="preserve"> </w:t>
      </w:r>
      <w:r>
        <w:t xml:space="preserve">сложности</w:t>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2624"/>
        <w:gridCol w:w="2507"/>
        <w:gridCol w:w="1956"/>
        <w:gridCol w:w="2572"/>
      </w:tblGrid>
      <w:tr>
        <w:trPr>
          <w:trHeight w:val="988"/>
        </w:trPr>
        <w:tc>
          <w:tcPr>
            <w:tcBorders>
              <w:top w:val="single" w:color="000000" w:sz="4" w:space="0"/>
              <w:left w:val="single" w:color="000000" w:sz="4" w:space="0"/>
              <w:bottom w:val="single" w:color="000000" w:sz="4" w:space="0"/>
            </w:tcBorders>
            <w:tcW w:w="2624" w:type="dxa"/>
            <w:textDirection w:val="lrTb"/>
            <w:noWrap w:val="false"/>
          </w:tcPr>
          <w:p>
            <w:pPr>
              <w:pStyle w:val="940"/>
              <w:ind w:right="471" w:firstLine="0"/>
              <w:widowControl w:val="off"/>
            </w:pPr>
            <w:r>
              <w:rPr>
                <w:rFonts w:eastAsia="Times New Roman"/>
                <w:szCs w:val="22"/>
                <w:lang w:eastAsia="en-US"/>
              </w:rPr>
              <w:t xml:space="preserve">Уровень</w:t>
            </w:r>
            <w:r>
              <w:rPr>
                <w:rFonts w:eastAsia="Times New Roman"/>
                <w:spacing w:val="-14"/>
                <w:szCs w:val="22"/>
                <w:lang w:eastAsia="en-US"/>
              </w:rPr>
              <w:t xml:space="preserve"> </w:t>
            </w:r>
            <w:r>
              <w:rPr>
                <w:rFonts w:eastAsia="Times New Roman"/>
                <w:szCs w:val="22"/>
                <w:lang w:eastAsia="en-US"/>
              </w:rPr>
              <w:t xml:space="preserve">сложности</w:t>
            </w:r>
            <w:r>
              <w:rPr>
                <w:rFonts w:eastAsia="Times New Roman"/>
                <w:spacing w:val="-57"/>
                <w:szCs w:val="22"/>
                <w:lang w:eastAsia="en-US"/>
              </w:rPr>
              <w:t xml:space="preserve"> </w:t>
            </w:r>
            <w:r>
              <w:rPr>
                <w:rFonts w:eastAsia="Times New Roman"/>
                <w:szCs w:val="22"/>
                <w:lang w:eastAsia="en-US"/>
              </w:rPr>
              <w:t xml:space="preserve">заданий</w:t>
            </w:r>
            <w:r/>
          </w:p>
        </w:tc>
        <w:tc>
          <w:tcPr>
            <w:tcBorders>
              <w:top w:val="single" w:color="000000" w:sz="4" w:space="0"/>
              <w:left w:val="single" w:color="000000" w:sz="4" w:space="0"/>
              <w:bottom w:val="single" w:color="000000" w:sz="4" w:space="0"/>
            </w:tcBorders>
            <w:tcW w:w="2507" w:type="dxa"/>
            <w:textDirection w:val="lrTb"/>
            <w:noWrap w:val="false"/>
          </w:tcPr>
          <w:p>
            <w:pPr>
              <w:pStyle w:val="940"/>
              <w:ind w:right="238" w:firstLine="0"/>
              <w:widowControl w:val="off"/>
            </w:pPr>
            <w:r>
              <w:rPr>
                <w:rFonts w:eastAsia="Times New Roman"/>
                <w:szCs w:val="22"/>
                <w:lang w:eastAsia="en-US"/>
              </w:rPr>
              <w:t xml:space="preserve">Количество заданий в</w:t>
            </w:r>
            <w:r>
              <w:rPr>
                <w:rFonts w:eastAsia="Times New Roman"/>
                <w:spacing w:val="-57"/>
                <w:szCs w:val="22"/>
                <w:lang w:eastAsia="en-US"/>
              </w:rPr>
              <w:t xml:space="preserve"> </w:t>
            </w:r>
            <w:r>
              <w:rPr>
                <w:rFonts w:eastAsia="Times New Roman"/>
                <w:szCs w:val="22"/>
                <w:lang w:eastAsia="en-US"/>
              </w:rPr>
              <w:t xml:space="preserve">2021</w:t>
            </w:r>
            <w:r>
              <w:rPr>
                <w:rFonts w:eastAsia="Times New Roman"/>
                <w:spacing w:val="-1"/>
                <w:szCs w:val="22"/>
                <w:lang w:eastAsia="en-US"/>
              </w:rPr>
              <w:t xml:space="preserve"> </w:t>
            </w:r>
            <w:r>
              <w:rPr>
                <w:rFonts w:eastAsia="Times New Roman"/>
                <w:szCs w:val="22"/>
                <w:lang w:eastAsia="en-US"/>
              </w:rPr>
              <w:t xml:space="preserve">г. (2020 г.)</w:t>
            </w:r>
            <w:r/>
          </w:p>
        </w:tc>
        <w:tc>
          <w:tcPr>
            <w:tcBorders>
              <w:top w:val="single" w:color="000000" w:sz="4" w:space="0"/>
              <w:left w:val="single" w:color="000000" w:sz="4" w:space="0"/>
              <w:bottom w:val="single" w:color="000000" w:sz="4" w:space="0"/>
            </w:tcBorders>
            <w:tcW w:w="1956" w:type="dxa"/>
            <w:textDirection w:val="lrTb"/>
            <w:noWrap w:val="false"/>
          </w:tcPr>
          <w:p>
            <w:pPr>
              <w:pStyle w:val="940"/>
              <w:ind w:right="251" w:firstLine="0"/>
              <w:widowControl w:val="off"/>
            </w:pPr>
            <w:r>
              <w:rPr>
                <w:rFonts w:eastAsia="Times New Roman"/>
                <w:szCs w:val="22"/>
                <w:lang w:eastAsia="en-US"/>
              </w:rPr>
              <w:t xml:space="preserve">Максимальный</w:t>
            </w:r>
            <w:r>
              <w:rPr>
                <w:rFonts w:eastAsia="Times New Roman"/>
                <w:spacing w:val="1"/>
                <w:szCs w:val="22"/>
                <w:lang w:eastAsia="en-US"/>
              </w:rPr>
              <w:t xml:space="preserve"> </w:t>
            </w:r>
            <w:r>
              <w:rPr>
                <w:rFonts w:eastAsia="Times New Roman"/>
                <w:szCs w:val="22"/>
                <w:lang w:eastAsia="en-US"/>
              </w:rPr>
              <w:t xml:space="preserve">первичный</w:t>
            </w:r>
            <w:r>
              <w:rPr>
                <w:rFonts w:eastAsia="Times New Roman"/>
                <w:spacing w:val="-12"/>
                <w:szCs w:val="22"/>
                <w:lang w:eastAsia="en-US"/>
              </w:rPr>
              <w:t xml:space="preserve"> </w:t>
            </w:r>
            <w:r>
              <w:rPr>
                <w:rFonts w:eastAsia="Times New Roman"/>
                <w:szCs w:val="22"/>
                <w:lang w:eastAsia="en-US"/>
              </w:rPr>
              <w:t xml:space="preserve">балл</w:t>
            </w:r>
            <w:r/>
          </w:p>
        </w:tc>
        <w:tc>
          <w:tcPr>
            <w:tcBorders>
              <w:top w:val="single" w:color="000000" w:sz="4" w:space="0"/>
              <w:left w:val="single" w:color="000000" w:sz="4" w:space="0"/>
              <w:bottom w:val="single" w:color="000000" w:sz="4" w:space="0"/>
              <w:right w:val="single" w:color="000000" w:sz="4" w:space="0"/>
            </w:tcBorders>
            <w:tcW w:w="2572" w:type="dxa"/>
            <w:textDirection w:val="lrTb"/>
            <w:noWrap w:val="false"/>
          </w:tcPr>
          <w:p>
            <w:pPr>
              <w:pStyle w:val="940"/>
              <w:ind w:right="426" w:firstLine="0"/>
              <w:widowControl w:val="off"/>
            </w:pPr>
            <w:r>
              <w:rPr>
                <w:rFonts w:eastAsia="Times New Roman"/>
                <w:szCs w:val="22"/>
                <w:lang w:eastAsia="en-US"/>
              </w:rPr>
              <w:t xml:space="preserve">Максимальный</w:t>
            </w:r>
            <w:r>
              <w:rPr>
                <w:rFonts w:eastAsia="Times New Roman"/>
                <w:spacing w:val="1"/>
                <w:szCs w:val="22"/>
                <w:lang w:eastAsia="en-US"/>
              </w:rPr>
              <w:t xml:space="preserve"> </w:t>
            </w:r>
            <w:r>
              <w:rPr>
                <w:rFonts w:eastAsia="Times New Roman"/>
                <w:szCs w:val="22"/>
                <w:lang w:eastAsia="en-US"/>
              </w:rPr>
              <w:t xml:space="preserve">первичный балл </w:t>
            </w:r>
            <w:r>
              <w:rPr>
                <w:rFonts w:eastAsia="Times New Roman"/>
                <w:spacing w:val="-57"/>
                <w:szCs w:val="22"/>
                <w:lang w:eastAsia="en-US"/>
              </w:rPr>
              <w:t xml:space="preserve"> </w:t>
            </w:r>
            <w:r>
              <w:rPr>
                <w:rFonts w:eastAsia="Times New Roman"/>
                <w:szCs w:val="22"/>
                <w:lang w:eastAsia="en-US"/>
              </w:rPr>
              <w:t xml:space="preserve">(в</w:t>
            </w:r>
            <w:r>
              <w:rPr>
                <w:rFonts w:eastAsia="Times New Roman"/>
                <w:spacing w:val="-3"/>
                <w:szCs w:val="22"/>
                <w:lang w:eastAsia="en-US"/>
              </w:rPr>
              <w:t xml:space="preserve">                              </w:t>
            </w:r>
            <w:r>
              <w:rPr>
                <w:rFonts w:eastAsia="Times New Roman"/>
                <w:szCs w:val="22"/>
                <w:lang w:eastAsia="en-US"/>
              </w:rPr>
              <w:t xml:space="preserve">%)</w:t>
            </w:r>
            <w:r/>
          </w:p>
        </w:tc>
      </w:tr>
      <w:tr>
        <w:trPr>
          <w:trHeight w:val="436"/>
        </w:trPr>
        <w:tc>
          <w:tcPr>
            <w:tcBorders>
              <w:top w:val="single" w:color="000000" w:sz="4" w:space="0"/>
              <w:left w:val="single" w:color="000000" w:sz="4" w:space="0"/>
              <w:bottom w:val="single" w:color="000000" w:sz="4" w:space="0"/>
            </w:tcBorders>
            <w:tcW w:w="2624" w:type="dxa"/>
            <w:vAlign w:val="center"/>
            <w:textDirection w:val="lrTb"/>
            <w:noWrap w:val="false"/>
          </w:tcPr>
          <w:p>
            <w:pPr>
              <w:pStyle w:val="940"/>
              <w:widowControl w:val="off"/>
              <w:rPr>
                <w:rFonts w:eastAsia="Times New Roman"/>
                <w:szCs w:val="22"/>
                <w:lang w:eastAsia="en-US"/>
              </w:rPr>
            </w:pPr>
            <w:r>
              <w:rPr>
                <w:rFonts w:eastAsia="Times New Roman"/>
                <w:szCs w:val="22"/>
                <w:lang w:eastAsia="en-US"/>
              </w:rPr>
              <w:t xml:space="preserve">Базовый</w:t>
            </w:r>
            <w:r/>
          </w:p>
        </w:tc>
        <w:tc>
          <w:tcPr>
            <w:tcBorders>
              <w:top w:val="single" w:color="000000" w:sz="4" w:space="0"/>
              <w:left w:val="single" w:color="000000" w:sz="4" w:space="0"/>
              <w:bottom w:val="single" w:color="000000" w:sz="4" w:space="0"/>
            </w:tcBorders>
            <w:tcW w:w="2507" w:type="dxa"/>
            <w:vAlign w:val="center"/>
            <w:textDirection w:val="lrTb"/>
            <w:noWrap w:val="false"/>
          </w:tcPr>
          <w:p>
            <w:pPr>
              <w:pStyle w:val="940"/>
              <w:ind w:right="980" w:firstLine="0"/>
              <w:jc w:val="center"/>
              <w:widowControl w:val="off"/>
              <w:rPr>
                <w:rFonts w:eastAsia="Times New Roman"/>
                <w:szCs w:val="22"/>
                <w:lang w:eastAsia="en-US"/>
              </w:rPr>
            </w:pPr>
            <w:r>
              <w:rPr>
                <w:rFonts w:eastAsia="Times New Roman"/>
                <w:szCs w:val="22"/>
                <w:lang w:eastAsia="en-US"/>
              </w:rPr>
              <w:t xml:space="preserve">11(12)</w:t>
            </w:r>
            <w:r/>
          </w:p>
        </w:tc>
        <w:tc>
          <w:tcPr>
            <w:tcBorders>
              <w:top w:val="single" w:color="000000" w:sz="4" w:space="0"/>
              <w:left w:val="single" w:color="000000" w:sz="4" w:space="0"/>
              <w:bottom w:val="single" w:color="000000" w:sz="4" w:space="0"/>
            </w:tcBorders>
            <w:tcW w:w="1956" w:type="dxa"/>
            <w:vAlign w:val="center"/>
            <w:textDirection w:val="lrTb"/>
            <w:noWrap w:val="false"/>
          </w:tcPr>
          <w:p>
            <w:pPr>
              <w:pStyle w:val="940"/>
              <w:ind w:right="706" w:firstLine="0"/>
              <w:jc w:val="center"/>
              <w:widowControl w:val="off"/>
              <w:rPr>
                <w:rFonts w:eastAsia="Times New Roman"/>
                <w:szCs w:val="22"/>
                <w:lang w:eastAsia="en-US"/>
              </w:rPr>
            </w:pPr>
            <w:r>
              <w:rPr>
                <w:rFonts w:eastAsia="Times New Roman"/>
                <w:szCs w:val="22"/>
                <w:lang w:eastAsia="en-US"/>
              </w:rPr>
              <w:t xml:space="preserve">11(12)</w:t>
            </w:r>
            <w:r/>
          </w:p>
        </w:tc>
        <w:tc>
          <w:tcPr>
            <w:tcBorders>
              <w:top w:val="single" w:color="000000" w:sz="4" w:space="0"/>
              <w:left w:val="single" w:color="000000" w:sz="4" w:space="0"/>
              <w:bottom w:val="single" w:color="000000" w:sz="4" w:space="0"/>
              <w:right w:val="single" w:color="000000" w:sz="4" w:space="0"/>
            </w:tcBorders>
            <w:tcW w:w="2572" w:type="dxa"/>
            <w:vAlign w:val="center"/>
            <w:textDirection w:val="lrTb"/>
            <w:noWrap w:val="false"/>
          </w:tcPr>
          <w:p>
            <w:pPr>
              <w:pStyle w:val="940"/>
              <w:ind w:right="921" w:firstLine="0"/>
              <w:jc w:val="center"/>
              <w:widowControl w:val="off"/>
              <w:rPr>
                <w:rFonts w:eastAsia="Times New Roman"/>
                <w:szCs w:val="22"/>
                <w:lang w:eastAsia="en-US"/>
              </w:rPr>
            </w:pPr>
            <w:r>
              <w:rPr>
                <w:rFonts w:eastAsia="Times New Roman"/>
                <w:szCs w:val="22"/>
                <w:lang w:eastAsia="en-US"/>
              </w:rPr>
              <w:t xml:space="preserve">37</w:t>
            </w:r>
            <w:r/>
          </w:p>
        </w:tc>
      </w:tr>
      <w:tr>
        <w:trPr>
          <w:trHeight w:val="436"/>
        </w:trPr>
        <w:tc>
          <w:tcPr>
            <w:tcBorders>
              <w:top w:val="single" w:color="000000" w:sz="4" w:space="0"/>
              <w:left w:val="single" w:color="000000" w:sz="4" w:space="0"/>
              <w:bottom w:val="single" w:color="000000" w:sz="4" w:space="0"/>
            </w:tcBorders>
            <w:tcW w:w="2624" w:type="dxa"/>
            <w:vAlign w:val="center"/>
            <w:textDirection w:val="lrTb"/>
            <w:noWrap w:val="false"/>
          </w:tcPr>
          <w:p>
            <w:pPr>
              <w:pStyle w:val="940"/>
              <w:widowControl w:val="off"/>
              <w:rPr>
                <w:rFonts w:eastAsia="Times New Roman"/>
                <w:szCs w:val="22"/>
                <w:lang w:eastAsia="en-US"/>
              </w:rPr>
            </w:pPr>
            <w:r>
              <w:rPr>
                <w:rFonts w:eastAsia="Times New Roman"/>
                <w:szCs w:val="22"/>
                <w:lang w:eastAsia="en-US"/>
              </w:rPr>
              <w:t xml:space="preserve">Повышенный</w:t>
            </w:r>
            <w:r/>
          </w:p>
        </w:tc>
        <w:tc>
          <w:tcPr>
            <w:tcBorders>
              <w:top w:val="single" w:color="000000" w:sz="4" w:space="0"/>
              <w:left w:val="single" w:color="000000" w:sz="4" w:space="0"/>
              <w:bottom w:val="single" w:color="000000" w:sz="4" w:space="0"/>
            </w:tcBorders>
            <w:tcW w:w="2507" w:type="dxa"/>
            <w:vAlign w:val="center"/>
            <w:textDirection w:val="lrTb"/>
            <w:noWrap w:val="false"/>
          </w:tcPr>
          <w:p>
            <w:pPr>
              <w:pStyle w:val="940"/>
              <w:ind w:right="980" w:firstLine="0"/>
              <w:jc w:val="center"/>
              <w:widowControl w:val="off"/>
              <w:rPr>
                <w:rFonts w:eastAsia="Times New Roman"/>
                <w:szCs w:val="22"/>
                <w:lang w:eastAsia="en-US"/>
              </w:rPr>
            </w:pPr>
            <w:r>
              <w:rPr>
                <w:rFonts w:eastAsia="Times New Roman"/>
                <w:szCs w:val="22"/>
                <w:lang w:eastAsia="en-US"/>
              </w:rPr>
              <w:t xml:space="preserve">11(11)</w:t>
            </w:r>
            <w:r/>
          </w:p>
        </w:tc>
        <w:tc>
          <w:tcPr>
            <w:tcBorders>
              <w:top w:val="single" w:color="000000" w:sz="4" w:space="0"/>
              <w:left w:val="single" w:color="000000" w:sz="4" w:space="0"/>
              <w:bottom w:val="single" w:color="000000" w:sz="4" w:space="0"/>
            </w:tcBorders>
            <w:tcW w:w="1956" w:type="dxa"/>
            <w:vAlign w:val="center"/>
            <w:textDirection w:val="lrTb"/>
            <w:noWrap w:val="false"/>
          </w:tcPr>
          <w:p>
            <w:pPr>
              <w:pStyle w:val="940"/>
              <w:ind w:right="706" w:firstLine="0"/>
              <w:jc w:val="center"/>
              <w:widowControl w:val="off"/>
              <w:rPr>
                <w:rFonts w:eastAsia="Times New Roman"/>
                <w:szCs w:val="22"/>
                <w:lang w:eastAsia="en-US"/>
              </w:rPr>
            </w:pPr>
            <w:r>
              <w:rPr>
                <w:rFonts w:eastAsia="Times New Roman"/>
                <w:szCs w:val="22"/>
                <w:lang w:eastAsia="en-US"/>
              </w:rPr>
              <w:t xml:space="preserve">11(13)</w:t>
            </w:r>
            <w:r/>
          </w:p>
        </w:tc>
        <w:tc>
          <w:tcPr>
            <w:tcBorders>
              <w:top w:val="single" w:color="000000" w:sz="4" w:space="0"/>
              <w:left w:val="single" w:color="000000" w:sz="4" w:space="0"/>
              <w:bottom w:val="single" w:color="000000" w:sz="4" w:space="0"/>
              <w:right w:val="single" w:color="000000" w:sz="4" w:space="0"/>
            </w:tcBorders>
            <w:tcW w:w="2572" w:type="dxa"/>
            <w:vAlign w:val="center"/>
            <w:textDirection w:val="lrTb"/>
            <w:noWrap w:val="false"/>
          </w:tcPr>
          <w:p>
            <w:pPr>
              <w:pStyle w:val="940"/>
              <w:ind w:right="921" w:firstLine="0"/>
              <w:jc w:val="center"/>
              <w:widowControl w:val="off"/>
              <w:rPr>
                <w:rFonts w:eastAsia="Times New Roman"/>
                <w:szCs w:val="22"/>
                <w:lang w:eastAsia="en-US"/>
              </w:rPr>
            </w:pPr>
            <w:r>
              <w:rPr>
                <w:rFonts w:eastAsia="Times New Roman"/>
                <w:szCs w:val="22"/>
                <w:lang w:eastAsia="en-US"/>
              </w:rPr>
              <w:t xml:space="preserve">37</w:t>
            </w:r>
            <w:r/>
          </w:p>
        </w:tc>
      </w:tr>
      <w:tr>
        <w:trPr>
          <w:trHeight w:val="436"/>
        </w:trPr>
        <w:tc>
          <w:tcPr>
            <w:tcBorders>
              <w:top w:val="single" w:color="000000" w:sz="4" w:space="0"/>
              <w:left w:val="single" w:color="000000" w:sz="4" w:space="0"/>
              <w:bottom w:val="single" w:color="000000" w:sz="4" w:space="0"/>
            </w:tcBorders>
            <w:tcW w:w="2624" w:type="dxa"/>
            <w:vAlign w:val="center"/>
            <w:textDirection w:val="lrTb"/>
            <w:noWrap w:val="false"/>
          </w:tcPr>
          <w:p>
            <w:pPr>
              <w:pStyle w:val="940"/>
              <w:widowControl w:val="off"/>
              <w:rPr>
                <w:rFonts w:eastAsia="Times New Roman"/>
                <w:szCs w:val="22"/>
                <w:lang w:eastAsia="en-US"/>
              </w:rPr>
            </w:pPr>
            <w:r>
              <w:rPr>
                <w:rFonts w:eastAsia="Times New Roman"/>
                <w:szCs w:val="22"/>
                <w:lang w:eastAsia="en-US"/>
              </w:rPr>
              <w:t xml:space="preserve">Высокий</w:t>
            </w:r>
            <w:r/>
          </w:p>
        </w:tc>
        <w:tc>
          <w:tcPr>
            <w:tcBorders>
              <w:top w:val="single" w:color="000000" w:sz="4" w:space="0"/>
              <w:left w:val="single" w:color="000000" w:sz="4" w:space="0"/>
              <w:bottom w:val="single" w:color="000000" w:sz="4" w:space="0"/>
            </w:tcBorders>
            <w:tcW w:w="2507" w:type="dxa"/>
            <w:vAlign w:val="center"/>
            <w:textDirection w:val="lrTb"/>
            <w:noWrap w:val="false"/>
          </w:tcPr>
          <w:p>
            <w:pPr>
              <w:pStyle w:val="940"/>
              <w:ind w:right="979" w:firstLine="0"/>
              <w:jc w:val="center"/>
              <w:widowControl w:val="off"/>
              <w:rPr>
                <w:rFonts w:eastAsia="Times New Roman"/>
                <w:szCs w:val="22"/>
                <w:lang w:eastAsia="en-US"/>
              </w:rPr>
            </w:pPr>
            <w:r>
              <w:rPr>
                <w:rFonts w:eastAsia="Times New Roman"/>
                <w:szCs w:val="22"/>
                <w:lang w:eastAsia="en-US"/>
              </w:rPr>
              <w:t xml:space="preserve">5(4)</w:t>
            </w:r>
            <w:r/>
          </w:p>
        </w:tc>
        <w:tc>
          <w:tcPr>
            <w:tcBorders>
              <w:top w:val="single" w:color="000000" w:sz="4" w:space="0"/>
              <w:left w:val="single" w:color="000000" w:sz="4" w:space="0"/>
              <w:bottom w:val="single" w:color="000000" w:sz="4" w:space="0"/>
            </w:tcBorders>
            <w:tcW w:w="1956" w:type="dxa"/>
            <w:vAlign w:val="center"/>
            <w:textDirection w:val="lrTb"/>
            <w:noWrap w:val="false"/>
          </w:tcPr>
          <w:p>
            <w:pPr>
              <w:pStyle w:val="940"/>
              <w:ind w:right="718" w:firstLine="0"/>
              <w:widowControl w:val="off"/>
            </w:pPr>
            <w:r>
              <w:rPr>
                <w:rFonts w:eastAsia="Times New Roman"/>
                <w:szCs w:val="22"/>
                <w:lang w:eastAsia="en-US"/>
              </w:rPr>
              <w:t xml:space="preserve">       </w:t>
            </w:r>
            <w:r>
              <w:rPr>
                <w:rFonts w:eastAsia="Times New Roman"/>
                <w:szCs w:val="22"/>
                <w:lang w:eastAsia="en-US"/>
              </w:rPr>
              <w:t xml:space="preserve">8</w:t>
            </w:r>
            <w:r>
              <w:rPr>
                <w:rFonts w:eastAsia="Times New Roman"/>
                <w:spacing w:val="-1"/>
                <w:szCs w:val="22"/>
                <w:lang w:eastAsia="en-US"/>
              </w:rPr>
              <w:t xml:space="preserve"> </w:t>
            </w:r>
            <w:r>
              <w:rPr>
                <w:rFonts w:eastAsia="Times New Roman"/>
                <w:szCs w:val="22"/>
                <w:lang w:eastAsia="en-US"/>
              </w:rPr>
              <w:t xml:space="preserve">(10)</w:t>
            </w:r>
            <w:r/>
          </w:p>
        </w:tc>
        <w:tc>
          <w:tcPr>
            <w:tcBorders>
              <w:top w:val="single" w:color="000000" w:sz="4" w:space="0"/>
              <w:left w:val="single" w:color="000000" w:sz="4" w:space="0"/>
              <w:bottom w:val="single" w:color="000000" w:sz="4" w:space="0"/>
              <w:right w:val="single" w:color="000000" w:sz="4" w:space="0"/>
            </w:tcBorders>
            <w:tcW w:w="2572" w:type="dxa"/>
            <w:vAlign w:val="center"/>
            <w:textDirection w:val="lrTb"/>
            <w:noWrap w:val="false"/>
          </w:tcPr>
          <w:p>
            <w:pPr>
              <w:pStyle w:val="940"/>
              <w:ind w:right="921" w:firstLine="0"/>
              <w:jc w:val="center"/>
              <w:widowControl w:val="off"/>
              <w:rPr>
                <w:rFonts w:eastAsia="Times New Roman"/>
                <w:szCs w:val="22"/>
                <w:lang w:eastAsia="en-US"/>
              </w:rPr>
            </w:pPr>
            <w:r>
              <w:rPr>
                <w:rFonts w:eastAsia="Times New Roman"/>
                <w:szCs w:val="22"/>
                <w:lang w:eastAsia="en-US"/>
              </w:rPr>
              <w:t xml:space="preserve">26</w:t>
            </w:r>
            <w:r/>
          </w:p>
        </w:tc>
      </w:tr>
      <w:tr>
        <w:trPr>
          <w:trHeight w:val="436"/>
        </w:trPr>
        <w:tc>
          <w:tcPr>
            <w:tcBorders>
              <w:top w:val="single" w:color="000000" w:sz="4" w:space="0"/>
              <w:left w:val="single" w:color="000000" w:sz="4" w:space="0"/>
              <w:bottom w:val="single" w:color="000000" w:sz="4" w:space="0"/>
            </w:tcBorders>
            <w:tcW w:w="2624" w:type="dxa"/>
            <w:vAlign w:val="center"/>
            <w:textDirection w:val="lrTb"/>
            <w:noWrap w:val="false"/>
          </w:tcPr>
          <w:p>
            <w:pPr>
              <w:pStyle w:val="940"/>
              <w:widowControl w:val="off"/>
              <w:rPr>
                <w:rFonts w:eastAsia="Times New Roman"/>
                <w:b/>
                <w:szCs w:val="22"/>
                <w:lang w:eastAsia="en-US"/>
              </w:rPr>
            </w:pPr>
            <w:r>
              <w:rPr>
                <w:rFonts w:eastAsia="Times New Roman"/>
                <w:b/>
                <w:szCs w:val="22"/>
                <w:lang w:eastAsia="en-US"/>
              </w:rPr>
              <w:t xml:space="preserve">Итого</w:t>
            </w:r>
            <w:r/>
          </w:p>
        </w:tc>
        <w:tc>
          <w:tcPr>
            <w:tcBorders>
              <w:top w:val="single" w:color="000000" w:sz="4" w:space="0"/>
              <w:left w:val="single" w:color="000000" w:sz="4" w:space="0"/>
              <w:bottom w:val="single" w:color="000000" w:sz="4" w:space="0"/>
            </w:tcBorders>
            <w:tcW w:w="2507" w:type="dxa"/>
            <w:vAlign w:val="center"/>
            <w:textDirection w:val="lrTb"/>
            <w:noWrap w:val="false"/>
          </w:tcPr>
          <w:p>
            <w:pPr>
              <w:pStyle w:val="940"/>
              <w:ind w:right="980" w:firstLine="0"/>
              <w:jc w:val="center"/>
              <w:widowControl w:val="off"/>
              <w:rPr>
                <w:rFonts w:eastAsia="Times New Roman"/>
                <w:b/>
                <w:szCs w:val="22"/>
                <w:lang w:eastAsia="en-US"/>
              </w:rPr>
            </w:pPr>
            <w:r>
              <w:rPr>
                <w:rFonts w:eastAsia="Times New Roman"/>
                <w:b/>
                <w:szCs w:val="22"/>
                <w:lang w:eastAsia="en-US"/>
              </w:rPr>
              <w:t xml:space="preserve">27(27)</w:t>
            </w:r>
            <w:r/>
          </w:p>
        </w:tc>
        <w:tc>
          <w:tcPr>
            <w:tcBorders>
              <w:top w:val="single" w:color="000000" w:sz="4" w:space="0"/>
              <w:left w:val="single" w:color="000000" w:sz="4" w:space="0"/>
              <w:bottom w:val="single" w:color="000000" w:sz="4" w:space="0"/>
            </w:tcBorders>
            <w:tcW w:w="1956" w:type="dxa"/>
            <w:vAlign w:val="center"/>
            <w:textDirection w:val="lrTb"/>
            <w:noWrap w:val="false"/>
          </w:tcPr>
          <w:p>
            <w:pPr>
              <w:pStyle w:val="940"/>
              <w:ind w:right="676" w:firstLine="0"/>
              <w:jc w:val="center"/>
              <w:widowControl w:val="off"/>
            </w:pPr>
            <w:r>
              <w:rPr>
                <w:rFonts w:eastAsia="Times New Roman"/>
                <w:b/>
                <w:szCs w:val="22"/>
                <w:lang w:eastAsia="en-US"/>
              </w:rPr>
              <w:t xml:space="preserve">30</w:t>
            </w:r>
            <w:r>
              <w:rPr>
                <w:rFonts w:eastAsia="Times New Roman"/>
                <w:b/>
                <w:spacing w:val="-1"/>
                <w:szCs w:val="22"/>
                <w:lang w:eastAsia="en-US"/>
              </w:rPr>
              <w:t xml:space="preserve"> </w:t>
            </w:r>
            <w:r>
              <w:rPr>
                <w:rFonts w:eastAsia="Times New Roman"/>
                <w:b/>
                <w:szCs w:val="22"/>
                <w:lang w:eastAsia="en-US"/>
              </w:rPr>
              <w:t xml:space="preserve">(35)</w:t>
            </w:r>
            <w:r/>
          </w:p>
        </w:tc>
        <w:tc>
          <w:tcPr>
            <w:tcBorders>
              <w:top w:val="single" w:color="000000" w:sz="4" w:space="0"/>
              <w:left w:val="single" w:color="000000" w:sz="4" w:space="0"/>
              <w:bottom w:val="single" w:color="000000" w:sz="4" w:space="0"/>
              <w:right w:val="single" w:color="000000" w:sz="4" w:space="0"/>
            </w:tcBorders>
            <w:tcW w:w="2572" w:type="dxa"/>
            <w:vAlign w:val="center"/>
            <w:textDirection w:val="lrTb"/>
            <w:noWrap w:val="false"/>
          </w:tcPr>
          <w:p>
            <w:pPr>
              <w:pStyle w:val="940"/>
              <w:ind w:right="921" w:firstLine="0"/>
              <w:jc w:val="center"/>
              <w:widowControl w:val="off"/>
              <w:rPr>
                <w:rFonts w:eastAsia="Times New Roman"/>
                <w:b/>
                <w:szCs w:val="22"/>
                <w:lang w:eastAsia="en-US"/>
              </w:rPr>
            </w:pPr>
            <w:r>
              <w:rPr>
                <w:rFonts w:eastAsia="Times New Roman"/>
                <w:b/>
                <w:szCs w:val="22"/>
                <w:lang w:eastAsia="en-US"/>
              </w:rPr>
              <w:t xml:space="preserve">100</w:t>
            </w:r>
            <w:r/>
          </w:p>
        </w:tc>
      </w:tr>
    </w:tbl>
    <w:p>
      <w:pPr>
        <w:pStyle w:val="940"/>
        <w:jc w:val="both"/>
      </w:pPr>
      <w:r/>
      <w:r/>
    </w:p>
    <w:p>
      <w:pPr>
        <w:pStyle w:val="940"/>
        <w:ind w:firstLine="708"/>
        <w:jc w:val="both"/>
      </w:pPr>
      <w:r>
        <w:t xml:space="preserve">Произошли изменения в оценивании заданий высокого уровня </w:t>
      </w:r>
      <w:r>
        <w:rPr>
          <w:spacing w:val="-57"/>
        </w:rPr>
        <w:t xml:space="preserve"> </w:t>
      </w:r>
      <w:r>
        <w:t xml:space="preserve">сложности</w:t>
      </w:r>
      <w:r/>
    </w:p>
    <w:p>
      <w:pPr>
        <w:pStyle w:val="940"/>
        <w:numPr>
          <w:ilvl w:val="0"/>
          <w:numId w:val="18"/>
        </w:numPr>
        <w:ind w:left="0" w:firstLine="0"/>
        <w:jc w:val="both"/>
        <w:widowControl w:val="off"/>
        <w:tabs>
          <w:tab w:val="clear" w:pos="708" w:leader="none"/>
          <w:tab w:val="left" w:pos="975" w:leader="none"/>
        </w:tabs>
      </w:pPr>
      <w:r>
        <w:rPr>
          <w:szCs w:val="22"/>
        </w:rPr>
        <w:t xml:space="preserve">задание</w:t>
      </w:r>
      <w:r>
        <w:rPr>
          <w:spacing w:val="28"/>
          <w:szCs w:val="22"/>
        </w:rPr>
        <w:t xml:space="preserve"> </w:t>
      </w:r>
      <w:r>
        <w:rPr>
          <w:szCs w:val="22"/>
        </w:rPr>
        <w:t xml:space="preserve">25</w:t>
      </w:r>
      <w:r>
        <w:rPr>
          <w:spacing w:val="31"/>
          <w:szCs w:val="22"/>
        </w:rPr>
        <w:t xml:space="preserve"> </w:t>
      </w:r>
      <w:r>
        <w:rPr>
          <w:szCs w:val="22"/>
        </w:rPr>
        <w:t xml:space="preserve">-</w:t>
      </w:r>
      <w:r>
        <w:rPr>
          <w:spacing w:val="28"/>
          <w:szCs w:val="22"/>
        </w:rPr>
        <w:t xml:space="preserve"> </w:t>
      </w:r>
      <w:r>
        <w:rPr>
          <w:szCs w:val="22"/>
        </w:rPr>
        <w:t xml:space="preserve">2</w:t>
      </w:r>
      <w:r>
        <w:rPr>
          <w:spacing w:val="29"/>
          <w:szCs w:val="22"/>
        </w:rPr>
        <w:t xml:space="preserve"> </w:t>
      </w:r>
      <w:r>
        <w:rPr>
          <w:szCs w:val="22"/>
        </w:rPr>
        <w:t xml:space="preserve">балла;</w:t>
      </w:r>
      <w:r>
        <w:rPr>
          <w:spacing w:val="29"/>
          <w:szCs w:val="22"/>
        </w:rPr>
        <w:t xml:space="preserve"> </w:t>
      </w:r>
      <w:r>
        <w:rPr>
          <w:szCs w:val="22"/>
        </w:rPr>
        <w:t xml:space="preserve">за</w:t>
      </w:r>
      <w:r>
        <w:rPr>
          <w:spacing w:val="28"/>
          <w:szCs w:val="22"/>
        </w:rPr>
        <w:t xml:space="preserve"> </w:t>
      </w:r>
      <w:r>
        <w:rPr>
          <w:szCs w:val="22"/>
        </w:rPr>
        <w:t xml:space="preserve">ошибочные</w:t>
      </w:r>
      <w:r>
        <w:rPr>
          <w:spacing w:val="29"/>
          <w:szCs w:val="22"/>
        </w:rPr>
        <w:t xml:space="preserve"> </w:t>
      </w:r>
      <w:r>
        <w:rPr>
          <w:szCs w:val="22"/>
        </w:rPr>
        <w:t xml:space="preserve">значения</w:t>
      </w:r>
      <w:r>
        <w:rPr>
          <w:spacing w:val="27"/>
          <w:szCs w:val="22"/>
        </w:rPr>
        <w:t xml:space="preserve"> </w:t>
      </w:r>
      <w:r>
        <w:rPr>
          <w:szCs w:val="22"/>
        </w:rPr>
        <w:t xml:space="preserve">только</w:t>
      </w:r>
      <w:r>
        <w:rPr>
          <w:spacing w:val="28"/>
          <w:szCs w:val="22"/>
        </w:rPr>
        <w:t xml:space="preserve"> </w:t>
      </w:r>
      <w:r>
        <w:rPr>
          <w:szCs w:val="22"/>
        </w:rPr>
        <w:t xml:space="preserve">в</w:t>
      </w:r>
      <w:r>
        <w:rPr>
          <w:spacing w:val="29"/>
          <w:szCs w:val="22"/>
        </w:rPr>
        <w:t xml:space="preserve"> </w:t>
      </w:r>
      <w:r>
        <w:rPr>
          <w:szCs w:val="22"/>
        </w:rPr>
        <w:t xml:space="preserve">одной</w:t>
      </w:r>
      <w:r>
        <w:rPr>
          <w:spacing w:val="30"/>
          <w:szCs w:val="22"/>
        </w:rPr>
        <w:t xml:space="preserve"> </w:t>
      </w:r>
      <w:r>
        <w:rPr>
          <w:szCs w:val="22"/>
        </w:rPr>
        <w:t xml:space="preserve">строке</w:t>
      </w:r>
      <w:r>
        <w:rPr>
          <w:spacing w:val="28"/>
          <w:szCs w:val="22"/>
        </w:rPr>
        <w:t xml:space="preserve"> </w:t>
      </w:r>
      <w:r>
        <w:rPr>
          <w:szCs w:val="22"/>
        </w:rPr>
        <w:t xml:space="preserve">ответа</w:t>
      </w:r>
      <w:r>
        <w:rPr>
          <w:spacing w:val="29"/>
          <w:szCs w:val="22"/>
        </w:rPr>
        <w:t xml:space="preserve"> </w:t>
      </w:r>
      <w:r>
        <w:rPr>
          <w:szCs w:val="22"/>
        </w:rPr>
        <w:t xml:space="preserve">ИЛИ</w:t>
      </w:r>
      <w:r>
        <w:rPr>
          <w:spacing w:val="-58"/>
          <w:szCs w:val="22"/>
        </w:rPr>
        <w:t xml:space="preserve"> </w:t>
      </w:r>
      <w:r>
        <w:rPr>
          <w:szCs w:val="22"/>
        </w:rPr>
        <w:t xml:space="preserve">за</w:t>
      </w:r>
      <w:r>
        <w:rPr>
          <w:spacing w:val="1"/>
          <w:szCs w:val="22"/>
        </w:rPr>
        <w:t xml:space="preserve"> </w:t>
      </w:r>
      <w:r>
        <w:rPr>
          <w:szCs w:val="22"/>
        </w:rPr>
        <w:t xml:space="preserve">отсутствие</w:t>
      </w:r>
      <w:r>
        <w:rPr>
          <w:spacing w:val="1"/>
          <w:szCs w:val="22"/>
        </w:rPr>
        <w:t xml:space="preserve"> </w:t>
      </w:r>
      <w:r>
        <w:rPr>
          <w:szCs w:val="22"/>
        </w:rPr>
        <w:t xml:space="preserve">не</w:t>
      </w:r>
      <w:r>
        <w:rPr>
          <w:spacing w:val="1"/>
          <w:szCs w:val="22"/>
        </w:rPr>
        <w:t xml:space="preserve"> </w:t>
      </w:r>
      <w:r>
        <w:rPr>
          <w:szCs w:val="22"/>
        </w:rPr>
        <w:t xml:space="preserve">более</w:t>
      </w:r>
      <w:r>
        <w:rPr>
          <w:spacing w:val="1"/>
          <w:szCs w:val="22"/>
        </w:rPr>
        <w:t xml:space="preserve"> </w:t>
      </w:r>
      <w:r>
        <w:rPr>
          <w:szCs w:val="22"/>
        </w:rPr>
        <w:t xml:space="preserve">одной</w:t>
      </w:r>
      <w:r>
        <w:rPr>
          <w:spacing w:val="1"/>
          <w:szCs w:val="22"/>
        </w:rPr>
        <w:t xml:space="preserve"> </w:t>
      </w:r>
      <w:r>
        <w:rPr>
          <w:szCs w:val="22"/>
        </w:rPr>
        <w:t xml:space="preserve">строки</w:t>
      </w:r>
      <w:r>
        <w:rPr>
          <w:spacing w:val="1"/>
          <w:szCs w:val="22"/>
        </w:rPr>
        <w:t xml:space="preserve"> </w:t>
      </w:r>
      <w:r>
        <w:rPr>
          <w:szCs w:val="22"/>
        </w:rPr>
        <w:t xml:space="preserve">ответа</w:t>
      </w:r>
      <w:r>
        <w:rPr>
          <w:spacing w:val="1"/>
          <w:szCs w:val="22"/>
        </w:rPr>
        <w:t xml:space="preserve"> </w:t>
      </w:r>
      <w:r>
        <w:rPr>
          <w:szCs w:val="22"/>
        </w:rPr>
        <w:t xml:space="preserve">ИЛИ</w:t>
      </w:r>
      <w:r>
        <w:rPr>
          <w:spacing w:val="1"/>
          <w:szCs w:val="22"/>
        </w:rPr>
        <w:t xml:space="preserve"> </w:t>
      </w:r>
      <w:r>
        <w:rPr>
          <w:szCs w:val="22"/>
        </w:rPr>
        <w:t xml:space="preserve">присутствие</w:t>
      </w:r>
      <w:r>
        <w:rPr>
          <w:spacing w:val="1"/>
          <w:szCs w:val="22"/>
        </w:rPr>
        <w:t xml:space="preserve"> </w:t>
      </w:r>
      <w:r>
        <w:rPr>
          <w:szCs w:val="22"/>
        </w:rPr>
        <w:t xml:space="preserve">не</w:t>
      </w:r>
      <w:r>
        <w:rPr>
          <w:spacing w:val="1"/>
          <w:szCs w:val="22"/>
        </w:rPr>
        <w:t xml:space="preserve"> </w:t>
      </w:r>
      <w:r>
        <w:rPr>
          <w:szCs w:val="22"/>
        </w:rPr>
        <w:t xml:space="preserve">более</w:t>
      </w:r>
      <w:r>
        <w:rPr>
          <w:spacing w:val="1"/>
          <w:szCs w:val="22"/>
        </w:rPr>
        <w:t xml:space="preserve"> </w:t>
      </w:r>
      <w:r>
        <w:rPr>
          <w:szCs w:val="22"/>
        </w:rPr>
        <w:t xml:space="preserve">одной</w:t>
      </w:r>
      <w:r>
        <w:rPr>
          <w:spacing w:val="-57"/>
          <w:szCs w:val="22"/>
        </w:rPr>
        <w:t xml:space="preserve"> </w:t>
      </w:r>
      <w:r>
        <w:rPr>
          <w:szCs w:val="22"/>
        </w:rPr>
        <w:t xml:space="preserve">лишней</w:t>
      </w:r>
      <w:r>
        <w:rPr>
          <w:spacing w:val="-1"/>
          <w:szCs w:val="22"/>
        </w:rPr>
        <w:t xml:space="preserve"> </w:t>
      </w:r>
      <w:r>
        <w:rPr>
          <w:szCs w:val="22"/>
        </w:rPr>
        <w:t xml:space="preserve">строки</w:t>
      </w:r>
      <w:r>
        <w:rPr>
          <w:spacing w:val="-1"/>
          <w:szCs w:val="22"/>
        </w:rPr>
        <w:t xml:space="preserve"> </w:t>
      </w:r>
      <w:r>
        <w:rPr>
          <w:szCs w:val="22"/>
        </w:rPr>
        <w:t xml:space="preserve">ответа</w:t>
      </w:r>
      <w:r>
        <w:rPr>
          <w:spacing w:val="1"/>
          <w:szCs w:val="22"/>
        </w:rPr>
        <w:t xml:space="preserve"> </w:t>
      </w:r>
      <w:r>
        <w:rPr>
          <w:szCs w:val="22"/>
        </w:rPr>
        <w:t xml:space="preserve">–</w:t>
      </w:r>
      <w:r>
        <w:rPr>
          <w:spacing w:val="-4"/>
          <w:szCs w:val="22"/>
        </w:rPr>
        <w:t xml:space="preserve"> </w:t>
      </w:r>
      <w:r>
        <w:rPr>
          <w:szCs w:val="22"/>
        </w:rPr>
        <w:t xml:space="preserve">ставится 1</w:t>
      </w:r>
      <w:r>
        <w:rPr>
          <w:spacing w:val="-1"/>
          <w:szCs w:val="22"/>
        </w:rPr>
        <w:t xml:space="preserve"> </w:t>
      </w:r>
      <w:r>
        <w:rPr>
          <w:szCs w:val="22"/>
        </w:rPr>
        <w:t xml:space="preserve">балл.</w:t>
      </w:r>
      <w:r>
        <w:rPr>
          <w:spacing w:val="-2"/>
          <w:szCs w:val="22"/>
        </w:rPr>
        <w:t xml:space="preserve"> </w:t>
      </w:r>
      <w:r>
        <w:rPr>
          <w:szCs w:val="22"/>
        </w:rPr>
        <w:t xml:space="preserve">В остальных</w:t>
      </w:r>
      <w:r>
        <w:rPr>
          <w:spacing w:val="-1"/>
          <w:szCs w:val="22"/>
        </w:rPr>
        <w:t xml:space="preserve"> </w:t>
      </w:r>
      <w:r>
        <w:rPr>
          <w:szCs w:val="22"/>
        </w:rPr>
        <w:t xml:space="preserve">случаях</w:t>
      </w:r>
      <w:r>
        <w:rPr>
          <w:spacing w:val="1"/>
          <w:szCs w:val="22"/>
        </w:rPr>
        <w:t xml:space="preserve"> </w:t>
      </w:r>
      <w:r>
        <w:rPr>
          <w:szCs w:val="22"/>
        </w:rPr>
        <w:t xml:space="preserve">–</w:t>
      </w:r>
      <w:r>
        <w:rPr>
          <w:spacing w:val="-1"/>
          <w:szCs w:val="22"/>
        </w:rPr>
        <w:t xml:space="preserve"> </w:t>
      </w:r>
      <w:r>
        <w:rPr>
          <w:szCs w:val="22"/>
        </w:rPr>
        <w:t xml:space="preserve">0</w:t>
      </w:r>
      <w:r>
        <w:rPr>
          <w:spacing w:val="-1"/>
          <w:szCs w:val="22"/>
        </w:rPr>
        <w:t xml:space="preserve"> </w:t>
      </w:r>
      <w:r>
        <w:rPr>
          <w:szCs w:val="22"/>
        </w:rPr>
        <w:t xml:space="preserve">баллов.</w:t>
      </w:r>
      <w:r/>
    </w:p>
    <w:p>
      <w:pPr>
        <w:pStyle w:val="940"/>
        <w:numPr>
          <w:ilvl w:val="0"/>
          <w:numId w:val="18"/>
        </w:numPr>
        <w:ind w:left="0" w:firstLine="0"/>
        <w:jc w:val="both"/>
        <w:widowControl w:val="off"/>
        <w:tabs>
          <w:tab w:val="clear" w:pos="708" w:leader="none"/>
          <w:tab w:val="left" w:pos="975" w:leader="none"/>
        </w:tabs>
      </w:pPr>
      <w:r>
        <w:rPr>
          <w:szCs w:val="22"/>
        </w:rPr>
        <w:t xml:space="preserve">задание 26 - 2 балла; если значения в ответе перепутаны местами ИЛИ в ответе</w:t>
      </w:r>
      <w:r>
        <w:rPr>
          <w:spacing w:val="1"/>
          <w:szCs w:val="22"/>
        </w:rPr>
        <w:t xml:space="preserve"> </w:t>
      </w:r>
      <w:r>
        <w:rPr>
          <w:szCs w:val="22"/>
        </w:rPr>
        <w:t xml:space="preserve">присутствует</w:t>
      </w:r>
      <w:r>
        <w:rPr>
          <w:spacing w:val="1"/>
          <w:szCs w:val="22"/>
        </w:rPr>
        <w:t xml:space="preserve"> </w:t>
      </w:r>
      <w:r>
        <w:rPr>
          <w:szCs w:val="22"/>
        </w:rPr>
        <w:t xml:space="preserve">только</w:t>
      </w:r>
      <w:r>
        <w:rPr>
          <w:spacing w:val="1"/>
          <w:szCs w:val="22"/>
        </w:rPr>
        <w:t xml:space="preserve"> </w:t>
      </w:r>
      <w:r>
        <w:rPr>
          <w:szCs w:val="22"/>
        </w:rPr>
        <w:t xml:space="preserve">одно</w:t>
      </w:r>
      <w:r>
        <w:rPr>
          <w:spacing w:val="1"/>
          <w:szCs w:val="22"/>
        </w:rPr>
        <w:t xml:space="preserve"> </w:t>
      </w:r>
      <w:r>
        <w:rPr>
          <w:szCs w:val="22"/>
        </w:rPr>
        <w:t xml:space="preserve">верное</w:t>
      </w:r>
      <w:r>
        <w:rPr>
          <w:spacing w:val="1"/>
          <w:szCs w:val="22"/>
        </w:rPr>
        <w:t xml:space="preserve"> </w:t>
      </w:r>
      <w:r>
        <w:rPr>
          <w:szCs w:val="22"/>
        </w:rPr>
        <w:t xml:space="preserve">значение</w:t>
      </w:r>
      <w:r>
        <w:rPr>
          <w:spacing w:val="1"/>
          <w:szCs w:val="22"/>
        </w:rPr>
        <w:t xml:space="preserve"> </w:t>
      </w:r>
      <w:r>
        <w:rPr>
          <w:szCs w:val="22"/>
        </w:rPr>
        <w:t xml:space="preserve">(второе</w:t>
      </w:r>
      <w:r>
        <w:rPr>
          <w:spacing w:val="1"/>
          <w:szCs w:val="22"/>
        </w:rPr>
        <w:t xml:space="preserve"> </w:t>
      </w:r>
      <w:r>
        <w:rPr>
          <w:szCs w:val="22"/>
        </w:rPr>
        <w:t xml:space="preserve">неверно</w:t>
      </w:r>
      <w:r>
        <w:rPr>
          <w:spacing w:val="1"/>
          <w:szCs w:val="22"/>
        </w:rPr>
        <w:t xml:space="preserve"> </w:t>
      </w:r>
      <w:r>
        <w:rPr>
          <w:szCs w:val="22"/>
        </w:rPr>
        <w:t xml:space="preserve">или</w:t>
      </w:r>
      <w:r>
        <w:rPr>
          <w:spacing w:val="1"/>
          <w:szCs w:val="22"/>
        </w:rPr>
        <w:t xml:space="preserve"> </w:t>
      </w:r>
      <w:r>
        <w:rPr>
          <w:szCs w:val="22"/>
        </w:rPr>
        <w:t xml:space="preserve">отсутствует)</w:t>
      </w:r>
      <w:r>
        <w:rPr>
          <w:spacing w:val="1"/>
          <w:szCs w:val="22"/>
        </w:rPr>
        <w:t xml:space="preserve"> </w:t>
      </w:r>
      <w:r>
        <w:rPr>
          <w:szCs w:val="22"/>
        </w:rPr>
        <w:t xml:space="preserve">–</w:t>
      </w:r>
      <w:r>
        <w:rPr>
          <w:spacing w:val="-57"/>
          <w:szCs w:val="22"/>
        </w:rPr>
        <w:t xml:space="preserve"> </w:t>
      </w:r>
      <w:r>
        <w:rPr>
          <w:szCs w:val="22"/>
        </w:rPr>
        <w:t xml:space="preserve">ставится</w:t>
      </w:r>
      <w:r>
        <w:rPr>
          <w:spacing w:val="-1"/>
          <w:szCs w:val="22"/>
        </w:rPr>
        <w:t xml:space="preserve"> </w:t>
      </w:r>
      <w:r>
        <w:rPr>
          <w:szCs w:val="22"/>
        </w:rPr>
        <w:t xml:space="preserve">1 балл.</w:t>
      </w:r>
      <w:r>
        <w:rPr>
          <w:spacing w:val="-1"/>
          <w:szCs w:val="22"/>
        </w:rPr>
        <w:t xml:space="preserve"> </w:t>
      </w:r>
      <w:r>
        <w:rPr>
          <w:szCs w:val="22"/>
        </w:rPr>
        <w:t xml:space="preserve">В остальных</w:t>
      </w:r>
      <w:r>
        <w:rPr>
          <w:spacing w:val="-1"/>
          <w:szCs w:val="22"/>
        </w:rPr>
        <w:t xml:space="preserve"> </w:t>
      </w:r>
      <w:r>
        <w:rPr>
          <w:szCs w:val="22"/>
        </w:rPr>
        <w:t xml:space="preserve">случаях</w:t>
      </w:r>
      <w:r>
        <w:rPr>
          <w:spacing w:val="1"/>
          <w:szCs w:val="22"/>
        </w:rPr>
        <w:t xml:space="preserve"> </w:t>
      </w:r>
      <w:r>
        <w:rPr>
          <w:szCs w:val="22"/>
        </w:rPr>
        <w:t xml:space="preserve">– 0 баллов.</w:t>
      </w:r>
      <w:r/>
    </w:p>
    <w:p>
      <w:pPr>
        <w:pStyle w:val="940"/>
        <w:numPr>
          <w:ilvl w:val="0"/>
          <w:numId w:val="18"/>
        </w:numPr>
        <w:ind w:left="0" w:firstLine="0"/>
        <w:jc w:val="both"/>
        <w:widowControl w:val="off"/>
        <w:tabs>
          <w:tab w:val="clear" w:pos="708" w:leader="none"/>
          <w:tab w:val="left" w:pos="975" w:leader="none"/>
        </w:tabs>
      </w:pPr>
      <w:r>
        <w:rPr>
          <w:szCs w:val="22"/>
        </w:rPr>
        <w:t xml:space="preserve">задание 27 - 2 балла; если значения в ответе перепутаны местами ИЛИ в ответе</w:t>
      </w:r>
      <w:r>
        <w:rPr>
          <w:spacing w:val="1"/>
          <w:szCs w:val="22"/>
        </w:rPr>
        <w:t xml:space="preserve"> </w:t>
      </w:r>
      <w:r>
        <w:rPr>
          <w:szCs w:val="22"/>
        </w:rPr>
        <w:t xml:space="preserve">присутствует</w:t>
      </w:r>
      <w:r>
        <w:rPr>
          <w:spacing w:val="1"/>
          <w:szCs w:val="22"/>
        </w:rPr>
        <w:t xml:space="preserve"> </w:t>
      </w:r>
      <w:r>
        <w:rPr>
          <w:szCs w:val="22"/>
        </w:rPr>
        <w:t xml:space="preserve">только</w:t>
      </w:r>
      <w:r>
        <w:rPr>
          <w:spacing w:val="1"/>
          <w:szCs w:val="22"/>
        </w:rPr>
        <w:t xml:space="preserve"> </w:t>
      </w:r>
      <w:r>
        <w:rPr>
          <w:szCs w:val="22"/>
        </w:rPr>
        <w:t xml:space="preserve">одно</w:t>
      </w:r>
      <w:r>
        <w:rPr>
          <w:spacing w:val="1"/>
          <w:szCs w:val="22"/>
        </w:rPr>
        <w:t xml:space="preserve"> </w:t>
      </w:r>
      <w:r>
        <w:rPr>
          <w:szCs w:val="22"/>
        </w:rPr>
        <w:t xml:space="preserve">верное</w:t>
      </w:r>
      <w:r>
        <w:rPr>
          <w:spacing w:val="1"/>
          <w:szCs w:val="22"/>
        </w:rPr>
        <w:t xml:space="preserve"> </w:t>
      </w:r>
      <w:r>
        <w:rPr>
          <w:szCs w:val="22"/>
        </w:rPr>
        <w:t xml:space="preserve">значение</w:t>
      </w:r>
      <w:r>
        <w:rPr>
          <w:spacing w:val="1"/>
          <w:szCs w:val="22"/>
        </w:rPr>
        <w:t xml:space="preserve"> </w:t>
      </w:r>
      <w:r>
        <w:rPr>
          <w:szCs w:val="22"/>
        </w:rPr>
        <w:t xml:space="preserve">(второе</w:t>
      </w:r>
      <w:r>
        <w:rPr>
          <w:spacing w:val="1"/>
          <w:szCs w:val="22"/>
        </w:rPr>
        <w:t xml:space="preserve"> </w:t>
      </w:r>
      <w:r>
        <w:rPr>
          <w:szCs w:val="22"/>
        </w:rPr>
        <w:t xml:space="preserve">неверно</w:t>
      </w:r>
      <w:r>
        <w:rPr>
          <w:spacing w:val="1"/>
          <w:szCs w:val="22"/>
        </w:rPr>
        <w:t xml:space="preserve"> </w:t>
      </w:r>
      <w:r>
        <w:rPr>
          <w:szCs w:val="22"/>
        </w:rPr>
        <w:t xml:space="preserve">или</w:t>
      </w:r>
      <w:r>
        <w:rPr>
          <w:spacing w:val="1"/>
          <w:szCs w:val="22"/>
        </w:rPr>
        <w:t xml:space="preserve"> </w:t>
      </w:r>
      <w:r>
        <w:rPr>
          <w:szCs w:val="22"/>
        </w:rPr>
        <w:t xml:space="preserve">отсутствует)</w:t>
      </w:r>
      <w:r>
        <w:rPr>
          <w:spacing w:val="1"/>
          <w:szCs w:val="22"/>
        </w:rPr>
        <w:t xml:space="preserve"> </w:t>
      </w:r>
      <w:r>
        <w:rPr>
          <w:szCs w:val="22"/>
        </w:rPr>
        <w:t xml:space="preserve">–</w:t>
      </w:r>
      <w:r>
        <w:rPr>
          <w:spacing w:val="-57"/>
          <w:szCs w:val="22"/>
        </w:rPr>
        <w:t xml:space="preserve"> </w:t>
      </w:r>
      <w:r>
        <w:rPr>
          <w:szCs w:val="22"/>
        </w:rPr>
        <w:t xml:space="preserve">ставится</w:t>
      </w:r>
      <w:r>
        <w:rPr>
          <w:spacing w:val="-1"/>
          <w:szCs w:val="22"/>
        </w:rPr>
        <w:t xml:space="preserve"> </w:t>
      </w:r>
      <w:r>
        <w:rPr>
          <w:szCs w:val="22"/>
        </w:rPr>
        <w:t xml:space="preserve">1 балл.</w:t>
      </w:r>
      <w:r>
        <w:rPr>
          <w:spacing w:val="-1"/>
          <w:szCs w:val="22"/>
        </w:rPr>
        <w:t xml:space="preserve"> </w:t>
      </w:r>
      <w:r>
        <w:rPr>
          <w:szCs w:val="22"/>
        </w:rPr>
        <w:t xml:space="preserve">В остальных случаях</w:t>
      </w:r>
      <w:r>
        <w:rPr>
          <w:spacing w:val="1"/>
          <w:szCs w:val="22"/>
        </w:rPr>
        <w:t xml:space="preserve"> </w:t>
      </w:r>
      <w:r>
        <w:rPr>
          <w:szCs w:val="22"/>
        </w:rPr>
        <w:t xml:space="preserve">–</w:t>
      </w:r>
      <w:r>
        <w:rPr>
          <w:spacing w:val="-1"/>
          <w:szCs w:val="22"/>
        </w:rPr>
        <w:t xml:space="preserve"> </w:t>
      </w:r>
      <w:r>
        <w:rPr>
          <w:szCs w:val="22"/>
        </w:rPr>
        <w:t xml:space="preserve">0 баллов.</w:t>
      </w:r>
      <w:r/>
    </w:p>
    <w:p>
      <w:pPr>
        <w:pStyle w:val="940"/>
        <w:ind w:firstLine="708"/>
        <w:jc w:val="both"/>
      </w:pPr>
      <w:r>
        <w:t xml:space="preserve">КИМ</w:t>
      </w:r>
      <w:r>
        <w:rPr>
          <w:spacing w:val="1"/>
        </w:rPr>
        <w:t xml:space="preserve"> </w:t>
      </w:r>
      <w:r>
        <w:t xml:space="preserve">содержат</w:t>
      </w:r>
      <w:r>
        <w:rPr>
          <w:spacing w:val="1"/>
        </w:rPr>
        <w:t xml:space="preserve"> </w:t>
      </w:r>
      <w:r>
        <w:t xml:space="preserve">11</w:t>
      </w:r>
      <w:r>
        <w:rPr>
          <w:spacing w:val="1"/>
        </w:rPr>
        <w:t xml:space="preserve"> </w:t>
      </w:r>
      <w:r>
        <w:t xml:space="preserve">заданий</w:t>
      </w:r>
      <w:r>
        <w:rPr>
          <w:spacing w:val="1"/>
        </w:rPr>
        <w:t xml:space="preserve"> </w:t>
      </w:r>
      <w:r>
        <w:t xml:space="preserve">базового</w:t>
      </w:r>
      <w:r>
        <w:rPr>
          <w:spacing w:val="1"/>
        </w:rPr>
        <w:t xml:space="preserve"> </w:t>
      </w:r>
      <w:r>
        <w:t xml:space="preserve">уровня</w:t>
      </w:r>
      <w:r>
        <w:rPr>
          <w:spacing w:val="1"/>
        </w:rPr>
        <w:t xml:space="preserve"> </w:t>
      </w:r>
      <w:r>
        <w:t xml:space="preserve">сложности,</w:t>
      </w:r>
      <w:r>
        <w:rPr>
          <w:spacing w:val="1"/>
        </w:rPr>
        <w:t xml:space="preserve"> </w:t>
      </w:r>
      <w:r>
        <w:t xml:space="preserve">11</w:t>
      </w:r>
      <w:r>
        <w:rPr>
          <w:spacing w:val="1"/>
        </w:rPr>
        <w:t xml:space="preserve"> </w:t>
      </w:r>
      <w:r>
        <w:t xml:space="preserve">заданий</w:t>
      </w:r>
      <w:r>
        <w:rPr>
          <w:spacing w:val="1"/>
        </w:rPr>
        <w:t xml:space="preserve"> </w:t>
      </w:r>
      <w:r>
        <w:t xml:space="preserve">повышенного</w:t>
      </w:r>
      <w:r>
        <w:rPr>
          <w:spacing w:val="3"/>
        </w:rPr>
        <w:t xml:space="preserve"> </w:t>
      </w:r>
      <w:r>
        <w:t xml:space="preserve">уровня</w:t>
      </w:r>
      <w:r>
        <w:rPr>
          <w:spacing w:val="2"/>
        </w:rPr>
        <w:t xml:space="preserve"> </w:t>
      </w:r>
      <w:r>
        <w:t xml:space="preserve">и</w:t>
      </w:r>
      <w:r>
        <w:rPr>
          <w:spacing w:val="2"/>
        </w:rPr>
        <w:t xml:space="preserve"> </w:t>
      </w:r>
      <w:r>
        <w:t xml:space="preserve">5</w:t>
      </w:r>
      <w:r>
        <w:rPr>
          <w:spacing w:val="2"/>
        </w:rPr>
        <w:t xml:space="preserve"> </w:t>
      </w:r>
      <w:r>
        <w:t xml:space="preserve">заданий</w:t>
      </w:r>
      <w:r>
        <w:rPr>
          <w:spacing w:val="2"/>
        </w:rPr>
        <w:t xml:space="preserve"> </w:t>
      </w:r>
      <w:r>
        <w:t xml:space="preserve">высокого</w:t>
      </w:r>
      <w:r>
        <w:rPr>
          <w:spacing w:val="3"/>
        </w:rPr>
        <w:t xml:space="preserve"> </w:t>
      </w:r>
      <w:r>
        <w:t xml:space="preserve">уровня</w:t>
      </w:r>
      <w:r>
        <w:rPr>
          <w:spacing w:val="2"/>
        </w:rPr>
        <w:t xml:space="preserve"> </w:t>
      </w:r>
      <w:r>
        <w:t xml:space="preserve">сложности.</w:t>
      </w:r>
      <w:r/>
    </w:p>
    <w:p>
      <w:pPr>
        <w:pStyle w:val="940"/>
        <w:ind w:firstLine="708"/>
        <w:jc w:val="both"/>
      </w:pPr>
      <w:r>
        <w:t xml:space="preserve">Предполагаемый процент выполнения заданий базового уровня – 60–90.</w:t>
      </w:r>
      <w:r>
        <w:rPr>
          <w:spacing w:val="1"/>
        </w:rPr>
        <w:t xml:space="preserve"> </w:t>
      </w:r>
      <w:r>
        <w:t xml:space="preserve">Предполагаемый процент выполнения заданий повышенного уровня – 40–60.</w:t>
      </w:r>
      <w:r>
        <w:rPr>
          <w:spacing w:val="1"/>
        </w:rPr>
        <w:t xml:space="preserve"> </w:t>
      </w:r>
      <w:r>
        <w:t xml:space="preserve">Предполагаемый</w:t>
      </w:r>
      <w:r>
        <w:rPr>
          <w:spacing w:val="8"/>
        </w:rPr>
        <w:t xml:space="preserve"> </w:t>
      </w:r>
      <w:r>
        <w:t xml:space="preserve">процент</w:t>
      </w:r>
      <w:r>
        <w:rPr>
          <w:spacing w:val="7"/>
        </w:rPr>
        <w:t xml:space="preserve"> </w:t>
      </w:r>
      <w:r>
        <w:t xml:space="preserve">выполнения</w:t>
      </w:r>
      <w:r>
        <w:rPr>
          <w:spacing w:val="9"/>
        </w:rPr>
        <w:t xml:space="preserve"> </w:t>
      </w:r>
      <w:r>
        <w:t xml:space="preserve">заданий</w:t>
      </w:r>
      <w:r>
        <w:rPr>
          <w:spacing w:val="7"/>
        </w:rPr>
        <w:t xml:space="preserve"> </w:t>
      </w:r>
      <w:r>
        <w:t xml:space="preserve">высокого</w:t>
      </w:r>
      <w:r>
        <w:rPr>
          <w:spacing w:val="8"/>
        </w:rPr>
        <w:t xml:space="preserve"> </w:t>
      </w:r>
      <w:r>
        <w:t xml:space="preserve">уровня</w:t>
      </w:r>
      <w:r>
        <w:rPr>
          <w:spacing w:val="8"/>
        </w:rPr>
        <w:t xml:space="preserve"> </w:t>
      </w:r>
      <w:r>
        <w:t xml:space="preserve">–</w:t>
      </w:r>
      <w:r>
        <w:rPr>
          <w:spacing w:val="7"/>
        </w:rPr>
        <w:t xml:space="preserve"> </w:t>
      </w:r>
      <w:r>
        <w:t xml:space="preserve">менее</w:t>
      </w:r>
      <w:r>
        <w:rPr>
          <w:spacing w:val="7"/>
        </w:rPr>
        <w:t xml:space="preserve"> </w:t>
      </w:r>
      <w:r>
        <w:t xml:space="preserve">40.</w:t>
      </w:r>
      <w:r/>
    </w:p>
    <w:p>
      <w:pPr>
        <w:pStyle w:val="940"/>
        <w:ind w:right="38" w:firstLine="0"/>
        <w:jc w:val="right"/>
        <w:spacing w:before="125" w:after="0"/>
      </w:pPr>
      <w:r>
        <w:rPr>
          <w:i/>
        </w:rPr>
        <w:t xml:space="preserve">Таблица</w:t>
      </w:r>
      <w:r>
        <w:rPr>
          <w:i/>
          <w:spacing w:val="12"/>
        </w:rPr>
        <w:t xml:space="preserve"> </w:t>
      </w:r>
      <w:r/>
    </w:p>
    <w:p>
      <w:pPr>
        <w:pStyle w:val="940"/>
        <w:ind w:right="39" w:firstLine="0"/>
        <w:jc w:val="right"/>
        <w:spacing w:before="4" w:after="0"/>
      </w:pPr>
      <w:r>
        <w:rPr>
          <w:i/>
        </w:rPr>
        <w:t xml:space="preserve">Распределение</w:t>
      </w:r>
      <w:r>
        <w:rPr>
          <w:i/>
          <w:spacing w:val="11"/>
        </w:rPr>
        <w:t xml:space="preserve"> </w:t>
      </w:r>
      <w:r>
        <w:rPr>
          <w:i/>
        </w:rPr>
        <w:t xml:space="preserve">заданий</w:t>
      </w:r>
      <w:r>
        <w:rPr>
          <w:i/>
          <w:spacing w:val="13"/>
        </w:rPr>
        <w:t xml:space="preserve"> </w:t>
      </w:r>
      <w:r>
        <w:rPr>
          <w:i/>
        </w:rPr>
        <w:t xml:space="preserve">по</w:t>
      </w:r>
      <w:r>
        <w:rPr>
          <w:i/>
          <w:spacing w:val="12"/>
        </w:rPr>
        <w:t xml:space="preserve"> </w:t>
      </w:r>
      <w:r>
        <w:rPr>
          <w:i/>
        </w:rPr>
        <w:t xml:space="preserve">уровням</w:t>
      </w:r>
      <w:r>
        <w:rPr>
          <w:i/>
          <w:spacing w:val="13"/>
        </w:rPr>
        <w:t xml:space="preserve"> </w:t>
      </w:r>
      <w:r>
        <w:t xml:space="preserve">сложности</w:t>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1741"/>
        <w:gridCol w:w="1473"/>
        <w:gridCol w:w="1741"/>
        <w:gridCol w:w="4704"/>
      </w:tblGrid>
      <w:tr>
        <w:trPr>
          <w:trHeight w:val="949"/>
        </w:trPr>
        <w:tc>
          <w:tcPr>
            <w:tcBorders>
              <w:top w:val="single" w:color="000000" w:sz="4" w:space="0"/>
              <w:left w:val="single" w:color="000000" w:sz="4" w:space="0"/>
              <w:bottom w:val="single" w:color="000000" w:sz="4" w:space="0"/>
            </w:tcBorders>
            <w:tcW w:w="1741" w:type="dxa"/>
            <w:textDirection w:val="lrTb"/>
            <w:noWrap w:val="false"/>
          </w:tcPr>
          <w:p>
            <w:pPr>
              <w:pStyle w:val="940"/>
              <w:ind w:right="179" w:firstLine="0"/>
              <w:jc w:val="center"/>
              <w:widowControl w:val="off"/>
            </w:pPr>
            <w:r>
              <w:rPr>
                <w:rFonts w:eastAsia="Times New Roman"/>
                <w:lang w:eastAsia="en-US"/>
              </w:rPr>
              <w:t xml:space="preserve">Уровень</w:t>
            </w:r>
            <w:r>
              <w:rPr>
                <w:rFonts w:eastAsia="Times New Roman"/>
                <w:spacing w:val="1"/>
                <w:lang w:eastAsia="en-US"/>
              </w:rPr>
              <w:t xml:space="preserve"> </w:t>
            </w:r>
            <w:r>
              <w:rPr>
                <w:rFonts w:eastAsia="Times New Roman"/>
                <w:lang w:eastAsia="en-US"/>
              </w:rPr>
              <w:t xml:space="preserve">сложности</w:t>
            </w:r>
            <w:r>
              <w:rPr>
                <w:rFonts w:eastAsia="Times New Roman"/>
                <w:spacing w:val="-37"/>
                <w:lang w:eastAsia="en-US"/>
              </w:rPr>
              <w:t xml:space="preserve"> </w:t>
            </w:r>
            <w:r>
              <w:rPr>
                <w:rFonts w:eastAsia="Times New Roman"/>
                <w:lang w:eastAsia="en-US"/>
              </w:rPr>
              <w:t xml:space="preserve">заданий</w:t>
            </w:r>
            <w:r/>
          </w:p>
        </w:tc>
        <w:tc>
          <w:tcPr>
            <w:tcBorders>
              <w:top w:val="single" w:color="000000" w:sz="4" w:space="0"/>
              <w:left w:val="single" w:color="000000" w:sz="4" w:space="0"/>
              <w:bottom w:val="single" w:color="000000" w:sz="4" w:space="0"/>
            </w:tcBorders>
            <w:tcW w:w="1473" w:type="dxa"/>
            <w:textDirection w:val="lrTb"/>
            <w:noWrap w:val="false"/>
          </w:tcPr>
          <w:p>
            <w:pPr>
              <w:pStyle w:val="940"/>
              <w:widowControl w:val="off"/>
            </w:pPr>
            <w:r>
              <w:rPr>
                <w:rFonts w:eastAsia="Times New Roman"/>
                <w:lang w:eastAsia="en-US"/>
              </w:rPr>
              <w:t xml:space="preserve">Количество</w:t>
            </w:r>
            <w:r>
              <w:rPr>
                <w:rFonts w:eastAsia="Times New Roman"/>
                <w:spacing w:val="-37"/>
                <w:lang w:eastAsia="en-US"/>
              </w:rPr>
              <w:t xml:space="preserve"> </w:t>
            </w:r>
            <w:r>
              <w:rPr>
                <w:rFonts w:eastAsia="Times New Roman"/>
                <w:lang w:eastAsia="en-US"/>
              </w:rPr>
              <w:t xml:space="preserve">заданий</w:t>
            </w:r>
            <w:r/>
          </w:p>
        </w:tc>
        <w:tc>
          <w:tcPr>
            <w:tcBorders>
              <w:top w:val="single" w:color="000000" w:sz="4" w:space="0"/>
              <w:left w:val="single" w:color="000000" w:sz="4" w:space="0"/>
              <w:bottom w:val="single" w:color="000000" w:sz="4" w:space="0"/>
            </w:tcBorders>
            <w:tcW w:w="1741" w:type="dxa"/>
            <w:textDirection w:val="lrTb"/>
            <w:noWrap w:val="false"/>
          </w:tcPr>
          <w:p>
            <w:pPr>
              <w:pStyle w:val="940"/>
              <w:ind w:right="67" w:firstLine="0"/>
              <w:jc w:val="center"/>
              <w:widowControl w:val="off"/>
            </w:pPr>
            <w:r>
              <w:rPr>
                <w:rFonts w:eastAsia="Times New Roman"/>
                <w:lang w:eastAsia="en-US"/>
              </w:rPr>
              <w:t xml:space="preserve">Максимальный</w:t>
            </w:r>
            <w:r>
              <w:rPr>
                <w:rFonts w:eastAsia="Times New Roman"/>
                <w:spacing w:val="-37"/>
                <w:lang w:eastAsia="en-US"/>
              </w:rPr>
              <w:t xml:space="preserve"> </w:t>
            </w:r>
            <w:r>
              <w:rPr>
                <w:rFonts w:eastAsia="Times New Roman"/>
                <w:lang w:eastAsia="en-US"/>
              </w:rPr>
              <w:t xml:space="preserve">первичный</w:t>
            </w:r>
            <w:r>
              <w:rPr>
                <w:rFonts w:eastAsia="Times New Roman"/>
                <w:spacing w:val="1"/>
                <w:lang w:eastAsia="en-US"/>
              </w:rPr>
              <w:t xml:space="preserve"> </w:t>
            </w:r>
            <w:r>
              <w:rPr>
                <w:rFonts w:eastAsia="Times New Roman"/>
                <w:lang w:eastAsia="en-US"/>
              </w:rPr>
              <w:t xml:space="preserve">балл</w:t>
            </w:r>
            <w:r/>
          </w:p>
        </w:tc>
        <w:tc>
          <w:tcPr>
            <w:tcBorders>
              <w:top w:val="single" w:color="000000" w:sz="4" w:space="0"/>
              <w:left w:val="single" w:color="000000" w:sz="4" w:space="0"/>
              <w:bottom w:val="single" w:color="000000" w:sz="4" w:space="0"/>
              <w:right w:val="single" w:color="000000" w:sz="4" w:space="0"/>
            </w:tcBorders>
            <w:tcW w:w="4704" w:type="dxa"/>
            <w:textDirection w:val="lrTb"/>
            <w:noWrap w:val="false"/>
          </w:tcPr>
          <w:p>
            <w:pPr>
              <w:pStyle w:val="940"/>
              <w:ind w:right="69" w:firstLine="0"/>
              <w:jc w:val="center"/>
              <w:widowControl w:val="off"/>
            </w:pPr>
            <w:r>
              <w:rPr>
                <w:rFonts w:eastAsia="Times New Roman"/>
                <w:lang w:eastAsia="en-US"/>
              </w:rPr>
              <w:t xml:space="preserve">Процент максимального первичного</w:t>
            </w:r>
            <w:r>
              <w:rPr>
                <w:rFonts w:eastAsia="Times New Roman"/>
                <w:spacing w:val="1"/>
                <w:lang w:eastAsia="en-US"/>
              </w:rPr>
              <w:t xml:space="preserve"> </w:t>
            </w:r>
            <w:r>
              <w:rPr>
                <w:rFonts w:eastAsia="Times New Roman"/>
                <w:lang w:eastAsia="en-US"/>
              </w:rPr>
              <w:t xml:space="preserve">балла за выполнение заданий данного</w:t>
            </w:r>
            <w:r>
              <w:rPr>
                <w:rFonts w:eastAsia="Times New Roman"/>
                <w:spacing w:val="1"/>
                <w:lang w:eastAsia="en-US"/>
              </w:rPr>
              <w:t xml:space="preserve"> </w:t>
            </w:r>
            <w:r>
              <w:rPr>
                <w:rFonts w:eastAsia="Times New Roman"/>
                <w:lang w:eastAsia="en-US"/>
              </w:rPr>
              <w:t xml:space="preserve">уровня сложности от максимального</w:t>
            </w:r>
            <w:r>
              <w:rPr>
                <w:rFonts w:eastAsia="Times New Roman"/>
                <w:spacing w:val="1"/>
                <w:lang w:eastAsia="en-US"/>
              </w:rPr>
              <w:t xml:space="preserve"> </w:t>
            </w:r>
            <w:r>
              <w:rPr>
                <w:rFonts w:eastAsia="Times New Roman"/>
                <w:spacing w:val="-1"/>
                <w:lang w:eastAsia="en-US"/>
              </w:rPr>
              <w:t xml:space="preserve">первичного</w:t>
            </w:r>
            <w:r>
              <w:rPr>
                <w:rFonts w:eastAsia="Times New Roman"/>
                <w:spacing w:val="-9"/>
                <w:lang w:eastAsia="en-US"/>
              </w:rPr>
              <w:t xml:space="preserve"> </w:t>
            </w:r>
            <w:r>
              <w:rPr>
                <w:rFonts w:eastAsia="Times New Roman"/>
                <w:spacing w:val="-1"/>
                <w:lang w:eastAsia="en-US"/>
              </w:rPr>
              <w:t xml:space="preserve">балла</w:t>
            </w:r>
            <w:r>
              <w:rPr>
                <w:rFonts w:eastAsia="Times New Roman"/>
                <w:spacing w:val="-9"/>
                <w:lang w:eastAsia="en-US"/>
              </w:rPr>
              <w:t xml:space="preserve"> </w:t>
            </w:r>
            <w:r>
              <w:rPr>
                <w:rFonts w:eastAsia="Times New Roman"/>
                <w:lang w:eastAsia="en-US"/>
              </w:rPr>
              <w:t xml:space="preserve">за</w:t>
            </w:r>
            <w:r>
              <w:rPr>
                <w:rFonts w:eastAsia="Times New Roman"/>
                <w:spacing w:val="-9"/>
                <w:lang w:eastAsia="en-US"/>
              </w:rPr>
              <w:t xml:space="preserve"> </w:t>
            </w:r>
            <w:r>
              <w:rPr>
                <w:rFonts w:eastAsia="Times New Roman"/>
                <w:lang w:eastAsia="en-US"/>
              </w:rPr>
              <w:t xml:space="preserve">всю</w:t>
            </w:r>
            <w:r>
              <w:rPr>
                <w:rFonts w:eastAsia="Times New Roman"/>
                <w:spacing w:val="-9"/>
                <w:lang w:eastAsia="en-US"/>
              </w:rPr>
              <w:t xml:space="preserve"> </w:t>
            </w:r>
            <w:r>
              <w:rPr>
                <w:rFonts w:eastAsia="Times New Roman"/>
                <w:lang w:eastAsia="en-US"/>
              </w:rPr>
              <w:t xml:space="preserve">работу,</w:t>
            </w:r>
            <w:r>
              <w:rPr>
                <w:rFonts w:eastAsia="Times New Roman"/>
                <w:spacing w:val="-9"/>
                <w:lang w:eastAsia="en-US"/>
              </w:rPr>
              <w:t xml:space="preserve"> </w:t>
            </w:r>
            <w:r>
              <w:rPr>
                <w:rFonts w:eastAsia="Times New Roman"/>
                <w:lang w:eastAsia="en-US"/>
              </w:rPr>
              <w:t xml:space="preserve">равного</w:t>
            </w:r>
            <w:r/>
          </w:p>
          <w:p>
            <w:pPr>
              <w:pStyle w:val="940"/>
              <w:ind w:right="69" w:firstLine="0"/>
              <w:jc w:val="center"/>
              <w:widowControl w:val="off"/>
              <w:rPr>
                <w:rFonts w:eastAsia="Times New Roman"/>
                <w:lang w:eastAsia="en-US"/>
              </w:rPr>
            </w:pPr>
            <w:r>
              <w:rPr>
                <w:rFonts w:eastAsia="Times New Roman"/>
                <w:lang w:eastAsia="en-US"/>
              </w:rPr>
              <w:t xml:space="preserve">30</w:t>
            </w:r>
            <w:r/>
          </w:p>
        </w:tc>
      </w:tr>
      <w:tr>
        <w:trPr>
          <w:trHeight w:val="187"/>
        </w:trPr>
        <w:tc>
          <w:tcPr>
            <w:tcBorders>
              <w:top w:val="single" w:color="000000" w:sz="4" w:space="0"/>
              <w:left w:val="single" w:color="000000" w:sz="4" w:space="0"/>
              <w:bottom w:val="single" w:color="000000" w:sz="4" w:space="0"/>
            </w:tcBorders>
            <w:tcW w:w="1741" w:type="dxa"/>
            <w:textDirection w:val="lrTb"/>
            <w:noWrap w:val="false"/>
          </w:tcPr>
          <w:p>
            <w:pPr>
              <w:pStyle w:val="940"/>
              <w:widowControl w:val="off"/>
              <w:rPr>
                <w:rFonts w:eastAsia="Times New Roman"/>
                <w:lang w:eastAsia="en-US"/>
              </w:rPr>
            </w:pPr>
            <w:r>
              <w:rPr>
                <w:rFonts w:eastAsia="Times New Roman"/>
                <w:lang w:eastAsia="en-US"/>
              </w:rPr>
              <w:t xml:space="preserve">Базовый</w:t>
            </w:r>
            <w:r/>
          </w:p>
        </w:tc>
        <w:tc>
          <w:tcPr>
            <w:tcBorders>
              <w:top w:val="single" w:color="000000" w:sz="4" w:space="0"/>
              <w:left w:val="single" w:color="000000" w:sz="4" w:space="0"/>
              <w:bottom w:val="single" w:color="000000" w:sz="4" w:space="0"/>
            </w:tcBorders>
            <w:tcW w:w="1473" w:type="dxa"/>
            <w:textDirection w:val="lrTb"/>
            <w:noWrap w:val="false"/>
          </w:tcPr>
          <w:p>
            <w:pPr>
              <w:pStyle w:val="940"/>
              <w:ind w:right="433" w:firstLine="0"/>
              <w:jc w:val="center"/>
              <w:widowControl w:val="off"/>
              <w:rPr>
                <w:rFonts w:eastAsia="Times New Roman"/>
                <w:lang w:eastAsia="en-US"/>
              </w:rPr>
            </w:pPr>
            <w:r>
              <w:rPr>
                <w:rFonts w:eastAsia="Times New Roman"/>
                <w:lang w:eastAsia="en-US"/>
              </w:rPr>
              <w:t xml:space="preserve">11</w:t>
            </w:r>
            <w:r/>
          </w:p>
        </w:tc>
        <w:tc>
          <w:tcPr>
            <w:tcBorders>
              <w:top w:val="single" w:color="000000" w:sz="4" w:space="0"/>
              <w:left w:val="single" w:color="000000" w:sz="4" w:space="0"/>
              <w:bottom w:val="single" w:color="000000" w:sz="4" w:space="0"/>
            </w:tcBorders>
            <w:tcW w:w="1741" w:type="dxa"/>
            <w:textDirection w:val="lrTb"/>
            <w:noWrap w:val="false"/>
          </w:tcPr>
          <w:p>
            <w:pPr>
              <w:pStyle w:val="940"/>
              <w:ind w:right="67" w:firstLine="0"/>
              <w:jc w:val="center"/>
              <w:widowControl w:val="off"/>
              <w:rPr>
                <w:rFonts w:eastAsia="Times New Roman"/>
                <w:lang w:eastAsia="en-US"/>
              </w:rPr>
            </w:pPr>
            <w:r>
              <w:rPr>
                <w:rFonts w:eastAsia="Times New Roman"/>
                <w:lang w:eastAsia="en-US"/>
              </w:rPr>
              <w:t xml:space="preserve">11</w:t>
            </w:r>
            <w:r/>
          </w:p>
        </w:tc>
        <w:tc>
          <w:tcPr>
            <w:tcBorders>
              <w:top w:val="single" w:color="000000" w:sz="4" w:space="0"/>
              <w:left w:val="single" w:color="000000" w:sz="4" w:space="0"/>
              <w:bottom w:val="single" w:color="000000" w:sz="4" w:space="0"/>
              <w:right w:val="single" w:color="000000" w:sz="4" w:space="0"/>
            </w:tcBorders>
            <w:tcW w:w="4704" w:type="dxa"/>
            <w:textDirection w:val="lrTb"/>
            <w:noWrap w:val="false"/>
          </w:tcPr>
          <w:p>
            <w:pPr>
              <w:pStyle w:val="940"/>
              <w:ind w:right="69" w:firstLine="0"/>
              <w:jc w:val="center"/>
              <w:widowControl w:val="off"/>
              <w:rPr>
                <w:rFonts w:eastAsia="Times New Roman"/>
                <w:lang w:eastAsia="en-US"/>
              </w:rPr>
            </w:pPr>
            <w:r>
              <w:rPr>
                <w:rFonts w:eastAsia="Times New Roman"/>
                <w:lang w:eastAsia="en-US"/>
              </w:rPr>
              <w:t xml:space="preserve">37</w:t>
            </w:r>
            <w:r/>
          </w:p>
        </w:tc>
      </w:tr>
      <w:tr>
        <w:trPr>
          <w:trHeight w:val="187"/>
        </w:trPr>
        <w:tc>
          <w:tcPr>
            <w:tcBorders>
              <w:top w:val="single" w:color="000000" w:sz="4" w:space="0"/>
              <w:left w:val="single" w:color="000000" w:sz="4" w:space="0"/>
              <w:bottom w:val="single" w:color="000000" w:sz="4" w:space="0"/>
            </w:tcBorders>
            <w:tcW w:w="1741" w:type="dxa"/>
            <w:textDirection w:val="lrTb"/>
            <w:noWrap w:val="false"/>
          </w:tcPr>
          <w:p>
            <w:pPr>
              <w:pStyle w:val="940"/>
              <w:widowControl w:val="off"/>
              <w:rPr>
                <w:rFonts w:eastAsia="Times New Roman"/>
                <w:lang w:eastAsia="en-US"/>
              </w:rPr>
            </w:pPr>
            <w:r>
              <w:rPr>
                <w:rFonts w:eastAsia="Times New Roman"/>
                <w:lang w:eastAsia="en-US"/>
              </w:rPr>
              <w:t xml:space="preserve">Повышенный</w:t>
            </w:r>
            <w:r/>
          </w:p>
        </w:tc>
        <w:tc>
          <w:tcPr>
            <w:tcBorders>
              <w:top w:val="single" w:color="000000" w:sz="4" w:space="0"/>
              <w:left w:val="single" w:color="000000" w:sz="4" w:space="0"/>
              <w:bottom w:val="single" w:color="000000" w:sz="4" w:space="0"/>
            </w:tcBorders>
            <w:tcW w:w="1473" w:type="dxa"/>
            <w:textDirection w:val="lrTb"/>
            <w:noWrap w:val="false"/>
          </w:tcPr>
          <w:p>
            <w:pPr>
              <w:pStyle w:val="940"/>
              <w:ind w:right="433" w:firstLine="0"/>
              <w:jc w:val="center"/>
              <w:widowControl w:val="off"/>
              <w:rPr>
                <w:rFonts w:eastAsia="Times New Roman"/>
                <w:lang w:eastAsia="en-US"/>
              </w:rPr>
            </w:pPr>
            <w:r>
              <w:rPr>
                <w:rFonts w:eastAsia="Times New Roman"/>
                <w:lang w:eastAsia="en-US"/>
              </w:rPr>
              <w:t xml:space="preserve">11</w:t>
            </w:r>
            <w:r/>
          </w:p>
        </w:tc>
        <w:tc>
          <w:tcPr>
            <w:tcBorders>
              <w:top w:val="single" w:color="000000" w:sz="4" w:space="0"/>
              <w:left w:val="single" w:color="000000" w:sz="4" w:space="0"/>
              <w:bottom w:val="single" w:color="000000" w:sz="4" w:space="0"/>
            </w:tcBorders>
            <w:tcW w:w="1741" w:type="dxa"/>
            <w:textDirection w:val="lrTb"/>
            <w:noWrap w:val="false"/>
          </w:tcPr>
          <w:p>
            <w:pPr>
              <w:pStyle w:val="940"/>
              <w:ind w:right="67" w:firstLine="0"/>
              <w:jc w:val="center"/>
              <w:widowControl w:val="off"/>
              <w:rPr>
                <w:rFonts w:eastAsia="Times New Roman"/>
                <w:lang w:eastAsia="en-US"/>
              </w:rPr>
            </w:pPr>
            <w:r>
              <w:rPr>
                <w:rFonts w:eastAsia="Times New Roman"/>
                <w:lang w:eastAsia="en-US"/>
              </w:rPr>
              <w:t xml:space="preserve">11</w:t>
            </w:r>
            <w:r/>
          </w:p>
        </w:tc>
        <w:tc>
          <w:tcPr>
            <w:tcBorders>
              <w:top w:val="single" w:color="000000" w:sz="4" w:space="0"/>
              <w:left w:val="single" w:color="000000" w:sz="4" w:space="0"/>
              <w:bottom w:val="single" w:color="000000" w:sz="4" w:space="0"/>
              <w:right w:val="single" w:color="000000" w:sz="4" w:space="0"/>
            </w:tcBorders>
            <w:tcW w:w="4704" w:type="dxa"/>
            <w:textDirection w:val="lrTb"/>
            <w:noWrap w:val="false"/>
          </w:tcPr>
          <w:p>
            <w:pPr>
              <w:pStyle w:val="940"/>
              <w:ind w:right="69" w:firstLine="0"/>
              <w:jc w:val="center"/>
              <w:widowControl w:val="off"/>
              <w:rPr>
                <w:rFonts w:eastAsia="Times New Roman"/>
                <w:lang w:eastAsia="en-US"/>
              </w:rPr>
            </w:pPr>
            <w:r>
              <w:rPr>
                <w:rFonts w:eastAsia="Times New Roman"/>
                <w:lang w:eastAsia="en-US"/>
              </w:rPr>
              <w:t xml:space="preserve">37</w:t>
            </w:r>
            <w:r/>
          </w:p>
        </w:tc>
      </w:tr>
      <w:tr>
        <w:trPr>
          <w:trHeight w:val="187"/>
        </w:trPr>
        <w:tc>
          <w:tcPr>
            <w:tcBorders>
              <w:top w:val="single" w:color="000000" w:sz="4" w:space="0"/>
              <w:left w:val="single" w:color="000000" w:sz="4" w:space="0"/>
              <w:bottom w:val="single" w:color="000000" w:sz="4" w:space="0"/>
            </w:tcBorders>
            <w:tcW w:w="1741" w:type="dxa"/>
            <w:textDirection w:val="lrTb"/>
            <w:noWrap w:val="false"/>
          </w:tcPr>
          <w:p>
            <w:pPr>
              <w:pStyle w:val="940"/>
              <w:widowControl w:val="off"/>
              <w:rPr>
                <w:rFonts w:eastAsia="Times New Roman"/>
                <w:lang w:eastAsia="en-US"/>
              </w:rPr>
            </w:pPr>
            <w:r>
              <w:rPr>
                <w:rFonts w:eastAsia="Times New Roman"/>
                <w:lang w:eastAsia="en-US"/>
              </w:rPr>
              <w:t xml:space="preserve">Высокий</w:t>
            </w:r>
            <w:r/>
          </w:p>
        </w:tc>
        <w:tc>
          <w:tcPr>
            <w:tcBorders>
              <w:top w:val="single" w:color="000000" w:sz="4" w:space="0"/>
              <w:left w:val="single" w:color="000000" w:sz="4" w:space="0"/>
              <w:bottom w:val="single" w:color="000000" w:sz="4" w:space="0"/>
            </w:tcBorders>
            <w:tcW w:w="1473" w:type="dxa"/>
            <w:textDirection w:val="lrTb"/>
            <w:noWrap w:val="false"/>
          </w:tcPr>
          <w:p>
            <w:pPr>
              <w:pStyle w:val="940"/>
              <w:jc w:val="center"/>
              <w:widowControl w:val="off"/>
              <w:rPr>
                <w:rFonts w:eastAsia="Times New Roman"/>
                <w:lang w:eastAsia="en-US"/>
              </w:rPr>
            </w:pPr>
            <w:r>
              <w:rPr>
                <w:rFonts w:eastAsia="Times New Roman"/>
                <w:lang w:eastAsia="en-US"/>
              </w:rPr>
              <w:t xml:space="preserve">5</w:t>
            </w:r>
            <w:r/>
          </w:p>
        </w:tc>
        <w:tc>
          <w:tcPr>
            <w:tcBorders>
              <w:top w:val="single" w:color="000000" w:sz="4" w:space="0"/>
              <w:left w:val="single" w:color="000000" w:sz="4" w:space="0"/>
              <w:bottom w:val="single" w:color="000000" w:sz="4" w:space="0"/>
            </w:tcBorders>
            <w:tcW w:w="1741" w:type="dxa"/>
            <w:textDirection w:val="lrTb"/>
            <w:noWrap w:val="false"/>
          </w:tcPr>
          <w:p>
            <w:pPr>
              <w:pStyle w:val="940"/>
              <w:jc w:val="center"/>
              <w:widowControl w:val="off"/>
              <w:rPr>
                <w:rFonts w:eastAsia="Times New Roman"/>
                <w:lang w:eastAsia="en-US"/>
              </w:rPr>
            </w:pPr>
            <w:r>
              <w:rPr>
                <w:rFonts w:eastAsia="Times New Roman"/>
                <w:lang w:eastAsia="en-US"/>
              </w:rPr>
              <w:t xml:space="preserve">8</w:t>
            </w:r>
            <w:r/>
          </w:p>
        </w:tc>
        <w:tc>
          <w:tcPr>
            <w:tcBorders>
              <w:top w:val="single" w:color="000000" w:sz="4" w:space="0"/>
              <w:left w:val="single" w:color="000000" w:sz="4" w:space="0"/>
              <w:bottom w:val="single" w:color="000000" w:sz="4" w:space="0"/>
              <w:right w:val="single" w:color="000000" w:sz="4" w:space="0"/>
            </w:tcBorders>
            <w:tcW w:w="4704" w:type="dxa"/>
            <w:textDirection w:val="lrTb"/>
            <w:noWrap w:val="false"/>
          </w:tcPr>
          <w:p>
            <w:pPr>
              <w:pStyle w:val="940"/>
              <w:ind w:right="69" w:firstLine="0"/>
              <w:jc w:val="center"/>
              <w:widowControl w:val="off"/>
              <w:rPr>
                <w:rFonts w:eastAsia="Times New Roman"/>
                <w:lang w:eastAsia="en-US"/>
              </w:rPr>
            </w:pPr>
            <w:r>
              <w:rPr>
                <w:rFonts w:eastAsia="Times New Roman"/>
                <w:lang w:eastAsia="en-US"/>
              </w:rPr>
              <w:t xml:space="preserve">26</w:t>
            </w:r>
            <w:r/>
          </w:p>
        </w:tc>
      </w:tr>
      <w:tr>
        <w:trPr>
          <w:trHeight w:val="187"/>
        </w:trPr>
        <w:tc>
          <w:tcPr>
            <w:tcBorders>
              <w:top w:val="single" w:color="000000" w:sz="4" w:space="0"/>
              <w:left w:val="single" w:color="000000" w:sz="4" w:space="0"/>
              <w:bottom w:val="single" w:color="000000" w:sz="4" w:space="0"/>
            </w:tcBorders>
            <w:tcW w:w="1741" w:type="dxa"/>
            <w:textDirection w:val="lrTb"/>
            <w:noWrap w:val="false"/>
          </w:tcPr>
          <w:p>
            <w:pPr>
              <w:pStyle w:val="940"/>
              <w:widowControl w:val="off"/>
              <w:rPr>
                <w:rFonts w:eastAsia="Times New Roman"/>
                <w:lang w:eastAsia="en-US"/>
              </w:rPr>
            </w:pPr>
            <w:r>
              <w:rPr>
                <w:rFonts w:eastAsia="Times New Roman"/>
                <w:lang w:eastAsia="en-US"/>
              </w:rPr>
              <w:t xml:space="preserve">Итого</w:t>
            </w:r>
            <w:r/>
          </w:p>
        </w:tc>
        <w:tc>
          <w:tcPr>
            <w:tcBorders>
              <w:top w:val="single" w:color="000000" w:sz="4" w:space="0"/>
              <w:left w:val="single" w:color="000000" w:sz="4" w:space="0"/>
              <w:bottom w:val="single" w:color="000000" w:sz="4" w:space="0"/>
            </w:tcBorders>
            <w:tcW w:w="1473" w:type="dxa"/>
            <w:textDirection w:val="lrTb"/>
            <w:noWrap w:val="false"/>
          </w:tcPr>
          <w:p>
            <w:pPr>
              <w:pStyle w:val="940"/>
              <w:ind w:right="433" w:firstLine="0"/>
              <w:jc w:val="center"/>
              <w:widowControl w:val="off"/>
              <w:rPr>
                <w:rFonts w:eastAsia="Times New Roman"/>
                <w:lang w:eastAsia="en-US"/>
              </w:rPr>
            </w:pPr>
            <w:r>
              <w:rPr>
                <w:rFonts w:eastAsia="Times New Roman"/>
                <w:lang w:eastAsia="en-US"/>
              </w:rPr>
              <w:t xml:space="preserve">27</w:t>
            </w:r>
            <w:r/>
          </w:p>
        </w:tc>
        <w:tc>
          <w:tcPr>
            <w:tcBorders>
              <w:top w:val="single" w:color="000000" w:sz="4" w:space="0"/>
              <w:left w:val="single" w:color="000000" w:sz="4" w:space="0"/>
              <w:bottom w:val="single" w:color="000000" w:sz="4" w:space="0"/>
            </w:tcBorders>
            <w:tcW w:w="1741" w:type="dxa"/>
            <w:textDirection w:val="lrTb"/>
            <w:noWrap w:val="false"/>
          </w:tcPr>
          <w:p>
            <w:pPr>
              <w:pStyle w:val="940"/>
              <w:ind w:right="67" w:firstLine="0"/>
              <w:jc w:val="center"/>
              <w:widowControl w:val="off"/>
              <w:rPr>
                <w:rFonts w:eastAsia="Times New Roman"/>
                <w:lang w:eastAsia="en-US"/>
              </w:rPr>
            </w:pPr>
            <w:r>
              <w:rPr>
                <w:rFonts w:eastAsia="Times New Roman"/>
                <w:lang w:eastAsia="en-US"/>
              </w:rPr>
              <w:t xml:space="preserve">30</w:t>
            </w:r>
            <w:r/>
          </w:p>
        </w:tc>
        <w:tc>
          <w:tcPr>
            <w:tcBorders>
              <w:top w:val="single" w:color="000000" w:sz="4" w:space="0"/>
              <w:left w:val="single" w:color="000000" w:sz="4" w:space="0"/>
              <w:bottom w:val="single" w:color="000000" w:sz="4" w:space="0"/>
              <w:right w:val="single" w:color="000000" w:sz="4" w:space="0"/>
            </w:tcBorders>
            <w:tcW w:w="4704" w:type="dxa"/>
            <w:textDirection w:val="lrTb"/>
            <w:noWrap w:val="false"/>
          </w:tcPr>
          <w:p>
            <w:pPr>
              <w:pStyle w:val="940"/>
              <w:ind w:right="69" w:firstLine="0"/>
              <w:jc w:val="center"/>
              <w:widowControl w:val="off"/>
              <w:rPr>
                <w:rFonts w:eastAsia="Times New Roman"/>
                <w:lang w:eastAsia="en-US"/>
              </w:rPr>
            </w:pPr>
            <w:r>
              <w:rPr>
                <w:rFonts w:eastAsia="Times New Roman"/>
                <w:lang w:eastAsia="en-US"/>
              </w:rPr>
              <w:t xml:space="preserve">100</w:t>
            </w:r>
            <w:r/>
          </w:p>
        </w:tc>
      </w:tr>
    </w:tbl>
    <w:p>
      <w:pPr>
        <w:pStyle w:val="940"/>
        <w:jc w:val="both"/>
      </w:pPr>
      <w:r/>
      <w:r/>
    </w:p>
    <w:p>
      <w:pPr>
        <w:pStyle w:val="940"/>
        <w:ind w:right="38" w:firstLine="0"/>
        <w:jc w:val="right"/>
        <w:spacing w:before="125" w:after="0"/>
      </w:pPr>
      <w:r>
        <w:rPr>
          <w:i/>
        </w:rPr>
        <w:t xml:space="preserve">Таблица</w:t>
      </w:r>
      <w:r>
        <w:rPr>
          <w:i/>
          <w:spacing w:val="12"/>
        </w:rPr>
        <w:t xml:space="preserve"> </w:t>
      </w:r>
      <w:r/>
    </w:p>
    <w:p>
      <w:pPr>
        <w:pStyle w:val="940"/>
        <w:jc w:val="right"/>
      </w:pPr>
      <w:r>
        <w:t xml:space="preserve">Структура экзаменационной работы</w:t>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671"/>
        <w:gridCol w:w="3746"/>
        <w:gridCol w:w="937"/>
        <w:gridCol w:w="803"/>
        <w:gridCol w:w="804"/>
        <w:gridCol w:w="803"/>
        <w:gridCol w:w="670"/>
        <w:gridCol w:w="1225"/>
      </w:tblGrid>
      <w:tr>
        <w:trPr>
          <w:trHeight w:val="1900"/>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137" w:firstLine="0"/>
              <w:jc w:val="center"/>
              <w:spacing w:before="1" w:after="0" w:line="242" w:lineRule="auto"/>
              <w:widowControl w:val="off"/>
            </w:pPr>
            <w:r>
              <w:rPr>
                <w:rFonts w:eastAsia="Times New Roman"/>
                <w:lang w:eastAsia="en-US"/>
              </w:rPr>
              <w:t xml:space="preserve">Проверяемые</w:t>
            </w:r>
            <w:r>
              <w:rPr>
                <w:rFonts w:eastAsia="Times New Roman"/>
                <w:spacing w:val="1"/>
                <w:lang w:eastAsia="en-US"/>
              </w:rPr>
              <w:t xml:space="preserve"> </w:t>
            </w:r>
            <w:r>
              <w:rPr>
                <w:rFonts w:eastAsia="Times New Roman"/>
                <w:lang w:eastAsia="en-US"/>
              </w:rPr>
              <w:t xml:space="preserve">элементы</w:t>
            </w:r>
            <w:r>
              <w:rPr>
                <w:rFonts w:eastAsia="Times New Roman"/>
                <w:spacing w:val="24"/>
                <w:lang w:eastAsia="en-US"/>
              </w:rPr>
              <w:t xml:space="preserve"> </w:t>
            </w:r>
            <w:r>
              <w:rPr>
                <w:rFonts w:eastAsia="Times New Roman"/>
                <w:lang w:eastAsia="en-US"/>
              </w:rPr>
              <w:t xml:space="preserve">содержания</w:t>
            </w:r>
            <w:r/>
          </w:p>
        </w:tc>
        <w:tc>
          <w:tcPr>
            <w:tcBorders>
              <w:top w:val="single" w:color="000000" w:sz="4" w:space="0"/>
              <w:left w:val="single" w:color="000000" w:sz="4" w:space="0"/>
              <w:bottom w:val="single" w:color="000000" w:sz="4" w:space="0"/>
            </w:tcBorders>
            <w:tcW w:w="937" w:type="dxa"/>
            <w:textDirection w:val="lrTb"/>
            <w:noWrap w:val="false"/>
          </w:tcPr>
          <w:p>
            <w:pPr>
              <w:pStyle w:val="940"/>
              <w:ind w:right="45" w:firstLine="0"/>
              <w:jc w:val="center"/>
              <w:spacing w:before="1" w:after="0" w:line="242" w:lineRule="auto"/>
              <w:widowControl w:val="off"/>
            </w:pPr>
            <w:r>
              <w:rPr>
                <w:rFonts w:eastAsia="Times New Roman"/>
                <w:lang w:eastAsia="en-US"/>
              </w:rPr>
              <w:t xml:space="preserve">Коды</w:t>
            </w:r>
            <w:r>
              <w:rPr>
                <w:rFonts w:eastAsia="Times New Roman"/>
                <w:spacing w:val="1"/>
                <w:lang w:eastAsia="en-US"/>
              </w:rPr>
              <w:t xml:space="preserve"> </w:t>
            </w:r>
            <w:r>
              <w:rPr>
                <w:rFonts w:eastAsia="Times New Roman"/>
                <w:lang w:eastAsia="en-US"/>
              </w:rPr>
              <w:t xml:space="preserve">прове-</w:t>
            </w:r>
            <w:r>
              <w:rPr>
                <w:rFonts w:eastAsia="Times New Roman"/>
                <w:spacing w:val="1"/>
                <w:lang w:eastAsia="en-US"/>
              </w:rPr>
              <w:t xml:space="preserve"> </w:t>
            </w:r>
            <w:r>
              <w:rPr>
                <w:rFonts w:eastAsia="Times New Roman"/>
                <w:lang w:eastAsia="en-US"/>
              </w:rPr>
              <w:t xml:space="preserve">ряемых</w:t>
            </w:r>
            <w:r>
              <w:rPr>
                <w:rFonts w:eastAsia="Times New Roman"/>
                <w:spacing w:val="1"/>
                <w:lang w:eastAsia="en-US"/>
              </w:rPr>
              <w:t xml:space="preserve"> </w:t>
            </w:r>
            <w:r>
              <w:rPr>
                <w:rFonts w:eastAsia="Times New Roman"/>
                <w:lang w:eastAsia="en-US"/>
              </w:rPr>
              <w:t xml:space="preserve">элемен-</w:t>
            </w:r>
            <w:r>
              <w:rPr>
                <w:rFonts w:eastAsia="Times New Roman"/>
                <w:spacing w:val="1"/>
                <w:lang w:eastAsia="en-US"/>
              </w:rPr>
              <w:t xml:space="preserve"> </w:t>
            </w:r>
            <w:r>
              <w:rPr>
                <w:rFonts w:eastAsia="Times New Roman"/>
                <w:lang w:eastAsia="en-US"/>
              </w:rPr>
              <w:t xml:space="preserve">тов со-</w:t>
            </w:r>
            <w:r>
              <w:rPr>
                <w:rFonts w:eastAsia="Times New Roman"/>
                <w:spacing w:val="1"/>
                <w:lang w:eastAsia="en-US"/>
              </w:rPr>
              <w:t xml:space="preserve"> </w:t>
            </w:r>
            <w:r>
              <w:rPr>
                <w:rFonts w:eastAsia="Times New Roman"/>
                <w:lang w:eastAsia="en-US"/>
              </w:rPr>
              <w:t xml:space="preserve">держания</w:t>
            </w:r>
            <w:r>
              <w:rPr>
                <w:rFonts w:eastAsia="Times New Roman"/>
                <w:spacing w:val="-37"/>
                <w:lang w:eastAsia="en-US"/>
              </w:rPr>
              <w:t xml:space="preserve">  </w:t>
            </w:r>
            <w:r>
              <w:rPr>
                <w:rFonts w:eastAsia="Times New Roman"/>
                <w:lang w:eastAsia="en-US"/>
              </w:rPr>
              <w:t xml:space="preserve">(по коди-</w:t>
            </w:r>
            <w:r>
              <w:rPr>
                <w:rFonts w:eastAsia="Times New Roman"/>
                <w:spacing w:val="-39"/>
                <w:lang w:eastAsia="en-US"/>
              </w:rPr>
              <w:t xml:space="preserve"> </w:t>
            </w:r>
            <w:r>
              <w:rPr>
                <w:rFonts w:eastAsia="Times New Roman"/>
                <w:lang w:eastAsia="en-US"/>
              </w:rPr>
              <w:t xml:space="preserve">фика-</w:t>
            </w:r>
            <w:r>
              <w:rPr>
                <w:rFonts w:eastAsia="Times New Roman"/>
                <w:spacing w:val="1"/>
                <w:lang w:eastAsia="en-US"/>
              </w:rPr>
              <w:t xml:space="preserve"> </w:t>
            </w:r>
            <w:r>
              <w:rPr>
                <w:rFonts w:eastAsia="Times New Roman"/>
                <w:lang w:eastAsia="en-US"/>
              </w:rPr>
              <w:t xml:space="preserve">тору)</w:t>
            </w:r>
            <w:r/>
          </w:p>
        </w:tc>
        <w:tc>
          <w:tcPr>
            <w:tcBorders>
              <w:top w:val="single" w:color="000000" w:sz="4" w:space="0"/>
              <w:left w:val="single" w:color="000000" w:sz="4" w:space="0"/>
              <w:bottom w:val="single" w:color="000000" w:sz="4" w:space="0"/>
            </w:tcBorders>
            <w:tcW w:w="803" w:type="dxa"/>
            <w:textDirection w:val="lrTb"/>
            <w:noWrap w:val="false"/>
          </w:tcPr>
          <w:p>
            <w:pPr>
              <w:pStyle w:val="940"/>
              <w:ind w:right="50" w:firstLine="0"/>
              <w:jc w:val="center"/>
              <w:spacing w:before="1" w:after="0" w:line="242" w:lineRule="auto"/>
              <w:widowControl w:val="off"/>
            </w:pPr>
            <w:r>
              <w:rPr>
                <w:rFonts w:eastAsia="Times New Roman"/>
                <w:lang w:eastAsia="en-US"/>
              </w:rPr>
              <w:t xml:space="preserve">Коды</w:t>
            </w:r>
            <w:r>
              <w:rPr>
                <w:rFonts w:eastAsia="Times New Roman"/>
                <w:spacing w:val="1"/>
                <w:lang w:eastAsia="en-US"/>
              </w:rPr>
              <w:t xml:space="preserve"> </w:t>
            </w:r>
            <w:r>
              <w:rPr>
                <w:rFonts w:eastAsia="Times New Roman"/>
                <w:lang w:eastAsia="en-US"/>
              </w:rPr>
              <w:t xml:space="preserve">проверяемых</w:t>
            </w:r>
            <w:r>
              <w:rPr>
                <w:rFonts w:eastAsia="Times New Roman"/>
                <w:spacing w:val="1"/>
                <w:lang w:eastAsia="en-US"/>
              </w:rPr>
              <w:t xml:space="preserve"> </w:t>
            </w:r>
            <w:r>
              <w:rPr>
                <w:rFonts w:eastAsia="Times New Roman"/>
                <w:lang w:eastAsia="en-US"/>
              </w:rPr>
              <w:t xml:space="preserve">требований к</w:t>
            </w:r>
            <w:r>
              <w:rPr>
                <w:rFonts w:eastAsia="Times New Roman"/>
                <w:spacing w:val="1"/>
                <w:lang w:eastAsia="en-US"/>
              </w:rPr>
              <w:t xml:space="preserve"> </w:t>
            </w:r>
            <w:r>
              <w:rPr>
                <w:rFonts w:eastAsia="Times New Roman"/>
                <w:lang w:eastAsia="en-US"/>
              </w:rPr>
              <w:t xml:space="preserve">уровню</w:t>
            </w:r>
            <w:r>
              <w:rPr>
                <w:rFonts w:eastAsia="Times New Roman"/>
                <w:spacing w:val="1"/>
                <w:lang w:eastAsia="en-US"/>
              </w:rPr>
              <w:t xml:space="preserve"> </w:t>
            </w:r>
            <w:r>
              <w:rPr>
                <w:rFonts w:eastAsia="Times New Roman"/>
                <w:lang w:eastAsia="en-US"/>
              </w:rPr>
              <w:t xml:space="preserve">подго-</w:t>
            </w:r>
            <w:r>
              <w:rPr>
                <w:rFonts w:eastAsia="Times New Roman"/>
                <w:spacing w:val="1"/>
                <w:lang w:eastAsia="en-US"/>
              </w:rPr>
              <w:t xml:space="preserve"> </w:t>
            </w:r>
            <w:r>
              <w:rPr>
                <w:rFonts w:eastAsia="Times New Roman"/>
                <w:spacing w:val="-3"/>
                <w:lang w:eastAsia="en-US"/>
              </w:rPr>
              <w:t xml:space="preserve">товки</w:t>
            </w:r>
            <w:r>
              <w:rPr>
                <w:rFonts w:eastAsia="Times New Roman"/>
                <w:spacing w:val="-7"/>
                <w:lang w:eastAsia="en-US"/>
              </w:rPr>
              <w:t xml:space="preserve"> </w:t>
            </w:r>
            <w:r>
              <w:rPr>
                <w:rFonts w:eastAsia="Times New Roman"/>
                <w:spacing w:val="-2"/>
                <w:lang w:eastAsia="en-US"/>
              </w:rPr>
              <w:t xml:space="preserve">(по</w:t>
            </w:r>
            <w:r/>
          </w:p>
          <w:p>
            <w:pPr>
              <w:pStyle w:val="940"/>
              <w:ind w:right="49" w:firstLine="0"/>
              <w:jc w:val="center"/>
              <w:spacing w:line="190" w:lineRule="atLeast"/>
              <w:widowControl w:val="off"/>
            </w:pPr>
            <w:r>
              <w:rPr>
                <w:rFonts w:eastAsia="Times New Roman"/>
                <w:lang w:eastAsia="en-US"/>
              </w:rPr>
              <w:t xml:space="preserve">кодифи</w:t>
            </w:r>
            <w:r>
              <w:rPr>
                <w:rFonts w:eastAsia="Times New Roman"/>
                <w:lang w:eastAsia="en-US"/>
              </w:rPr>
              <w:t xml:space="preserve">катору)</w:t>
            </w:r>
            <w:r/>
          </w:p>
        </w:tc>
        <w:tc>
          <w:tcPr>
            <w:tcBorders>
              <w:top w:val="single" w:color="000000" w:sz="4" w:space="0"/>
              <w:left w:val="single" w:color="000000" w:sz="4" w:space="0"/>
              <w:bottom w:val="single" w:color="000000" w:sz="4" w:space="0"/>
            </w:tcBorders>
            <w:tcW w:w="804" w:type="dxa"/>
            <w:textDirection w:val="lrTb"/>
            <w:noWrap w:val="false"/>
          </w:tcPr>
          <w:p>
            <w:pPr>
              <w:pStyle w:val="940"/>
              <w:ind w:right="85" w:firstLine="0"/>
              <w:jc w:val="center"/>
              <w:spacing w:before="1" w:after="0" w:line="242" w:lineRule="auto"/>
              <w:widowControl w:val="off"/>
            </w:pPr>
            <w:r>
              <w:rPr>
                <w:rFonts w:eastAsia="Times New Roman"/>
                <w:lang w:eastAsia="en-US"/>
              </w:rPr>
              <w:t xml:space="preserve">Уровень</w:t>
            </w:r>
            <w:r>
              <w:rPr>
                <w:rFonts w:eastAsia="Times New Roman"/>
                <w:spacing w:val="-37"/>
                <w:lang w:eastAsia="en-US"/>
              </w:rPr>
              <w:t xml:space="preserve"> </w:t>
            </w:r>
            <w:r>
              <w:rPr>
                <w:rFonts w:eastAsia="Times New Roman"/>
                <w:lang w:eastAsia="en-US"/>
              </w:rPr>
              <w:t xml:space="preserve">слож-</w:t>
            </w:r>
            <w:r>
              <w:rPr>
                <w:rFonts w:eastAsia="Times New Roman"/>
                <w:spacing w:val="1"/>
                <w:lang w:eastAsia="en-US"/>
              </w:rPr>
              <w:t xml:space="preserve"> </w:t>
            </w:r>
            <w:r>
              <w:rPr>
                <w:rFonts w:eastAsia="Times New Roman"/>
                <w:lang w:eastAsia="en-US"/>
              </w:rPr>
              <w:t xml:space="preserve">ности</w:t>
            </w:r>
            <w:r>
              <w:rPr>
                <w:rFonts w:eastAsia="Times New Roman"/>
                <w:spacing w:val="1"/>
                <w:lang w:eastAsia="en-US"/>
              </w:rPr>
              <w:t xml:space="preserve"> </w:t>
            </w:r>
            <w:r>
              <w:rPr>
                <w:rFonts w:eastAsia="Times New Roman"/>
                <w:lang w:eastAsia="en-US"/>
              </w:rPr>
              <w:t xml:space="preserve">задания</w:t>
            </w:r>
            <w:r/>
          </w:p>
        </w:tc>
        <w:tc>
          <w:tcPr>
            <w:tcBorders>
              <w:top w:val="single" w:color="000000" w:sz="4" w:space="0"/>
              <w:left w:val="single" w:color="000000" w:sz="4" w:space="0"/>
              <w:bottom w:val="single" w:color="000000" w:sz="4" w:space="0"/>
            </w:tcBorders>
            <w:tcW w:w="803" w:type="dxa"/>
            <w:textDirection w:val="lrTb"/>
            <w:noWrap w:val="false"/>
          </w:tcPr>
          <w:p>
            <w:pPr>
              <w:pStyle w:val="940"/>
              <w:ind w:right="37" w:firstLine="0"/>
              <w:jc w:val="center"/>
              <w:spacing w:before="1" w:after="0" w:line="242" w:lineRule="auto"/>
              <w:widowControl w:val="off"/>
            </w:pPr>
            <w:r>
              <w:rPr>
                <w:rFonts w:eastAsia="Times New Roman"/>
                <w:lang w:eastAsia="en-US"/>
              </w:rPr>
              <w:t xml:space="preserve">Требуется</w:t>
            </w:r>
            <w:r>
              <w:rPr>
                <w:rFonts w:eastAsia="Times New Roman"/>
                <w:spacing w:val="1"/>
                <w:lang w:eastAsia="en-US"/>
              </w:rPr>
              <w:t xml:space="preserve"> </w:t>
            </w:r>
            <w:r>
              <w:rPr>
                <w:rFonts w:eastAsia="Times New Roman"/>
                <w:lang w:eastAsia="en-US"/>
              </w:rPr>
              <w:t xml:space="preserve">использова-</w:t>
            </w:r>
            <w:r>
              <w:rPr>
                <w:rFonts w:eastAsia="Times New Roman"/>
                <w:spacing w:val="-39"/>
                <w:lang w:eastAsia="en-US"/>
              </w:rPr>
              <w:t xml:space="preserve"> </w:t>
            </w:r>
            <w:r>
              <w:rPr>
                <w:rFonts w:eastAsia="Times New Roman"/>
                <w:lang w:eastAsia="en-US"/>
              </w:rPr>
              <w:t xml:space="preserve">ние специализирован-</w:t>
            </w:r>
            <w:r>
              <w:rPr>
                <w:rFonts w:eastAsia="Times New Roman"/>
                <w:spacing w:val="1"/>
                <w:lang w:eastAsia="en-US"/>
              </w:rPr>
              <w:t xml:space="preserve"> </w:t>
            </w:r>
            <w:r>
              <w:rPr>
                <w:rFonts w:eastAsia="Times New Roman"/>
                <w:lang w:eastAsia="en-US"/>
              </w:rPr>
              <w:t xml:space="preserve">ного про-</w:t>
            </w:r>
            <w:r>
              <w:rPr>
                <w:rFonts w:eastAsia="Times New Roman"/>
                <w:spacing w:val="1"/>
                <w:lang w:eastAsia="en-US"/>
              </w:rPr>
              <w:t xml:space="preserve"> </w:t>
            </w:r>
            <w:r>
              <w:rPr>
                <w:rFonts w:eastAsia="Times New Roman"/>
                <w:lang w:eastAsia="en-US"/>
              </w:rPr>
              <w:t xml:space="preserve">граммного</w:t>
            </w:r>
            <w:r>
              <w:rPr>
                <w:rFonts w:eastAsia="Times New Roman"/>
                <w:spacing w:val="1"/>
                <w:lang w:eastAsia="en-US"/>
              </w:rPr>
              <w:t xml:space="preserve"> </w:t>
            </w:r>
            <w:r>
              <w:rPr>
                <w:rFonts w:eastAsia="Times New Roman"/>
                <w:lang w:eastAsia="en-US"/>
              </w:rPr>
              <w:t xml:space="preserve">обеспечения</w:t>
            </w:r>
            <w:r/>
          </w:p>
        </w:tc>
        <w:tc>
          <w:tcPr>
            <w:tcBorders>
              <w:top w:val="single" w:color="000000" w:sz="4" w:space="0"/>
              <w:left w:val="single" w:color="000000" w:sz="4" w:space="0"/>
              <w:bottom w:val="single" w:color="000000" w:sz="4" w:space="0"/>
            </w:tcBorders>
            <w:tcW w:w="670" w:type="dxa"/>
            <w:textDirection w:val="lrTb"/>
            <w:noWrap w:val="false"/>
          </w:tcPr>
          <w:p>
            <w:pPr>
              <w:pStyle w:val="940"/>
              <w:ind w:right="42" w:firstLine="0"/>
              <w:jc w:val="center"/>
              <w:spacing w:before="1" w:after="0" w:line="242" w:lineRule="auto"/>
              <w:widowControl w:val="off"/>
            </w:pPr>
            <w:r>
              <w:rPr>
                <w:rFonts w:eastAsia="Times New Roman"/>
                <w:lang w:eastAsia="en-US"/>
              </w:rPr>
              <w:t xml:space="preserve">Макс.</w:t>
            </w:r>
            <w:r>
              <w:rPr>
                <w:rFonts w:eastAsia="Times New Roman"/>
                <w:spacing w:val="1"/>
                <w:lang w:eastAsia="en-US"/>
              </w:rPr>
              <w:t xml:space="preserve"> </w:t>
            </w:r>
            <w:r>
              <w:rPr>
                <w:rFonts w:eastAsia="Times New Roman"/>
                <w:spacing w:val="-2"/>
                <w:lang w:eastAsia="en-US"/>
              </w:rPr>
              <w:t xml:space="preserve">балл за</w:t>
            </w:r>
            <w:r>
              <w:rPr>
                <w:rFonts w:eastAsia="Times New Roman"/>
                <w:spacing w:val="-39"/>
                <w:lang w:eastAsia="en-US"/>
              </w:rPr>
              <w:t xml:space="preserve"> </w:t>
            </w:r>
            <w:r>
              <w:rPr>
                <w:rFonts w:eastAsia="Times New Roman"/>
                <w:spacing w:val="-2"/>
                <w:lang w:eastAsia="en-US"/>
              </w:rPr>
              <w:t xml:space="preserve">выпол</w:t>
            </w:r>
            <w:r>
              <w:rPr>
                <w:rFonts w:eastAsia="Times New Roman"/>
                <w:lang w:eastAsia="en-US"/>
              </w:rPr>
              <w:t xml:space="preserve">нение</w:t>
            </w:r>
            <w:r>
              <w:rPr>
                <w:rFonts w:eastAsia="Times New Roman"/>
                <w:spacing w:val="1"/>
                <w:lang w:eastAsia="en-US"/>
              </w:rPr>
              <w:t xml:space="preserve"> </w:t>
            </w:r>
            <w:r>
              <w:rPr>
                <w:rFonts w:eastAsia="Times New Roman"/>
                <w:lang w:eastAsia="en-US"/>
              </w:rPr>
              <w:t xml:space="preserve">зада-</w:t>
            </w:r>
            <w:r>
              <w:rPr>
                <w:rFonts w:eastAsia="Times New Roman"/>
                <w:spacing w:val="1"/>
                <w:lang w:eastAsia="en-US"/>
              </w:rPr>
              <w:t xml:space="preserve"> </w:t>
            </w:r>
            <w:r>
              <w:rPr>
                <w:rFonts w:eastAsia="Times New Roman"/>
                <w:lang w:eastAsia="en-US"/>
              </w:rPr>
              <w:t xml:space="preserve">ния</w:t>
            </w:r>
            <w:r/>
          </w:p>
        </w:tc>
        <w:tc>
          <w:tcPr>
            <w:tcBorders>
              <w:top w:val="single" w:color="000000" w:sz="4" w:space="0"/>
              <w:left w:val="single" w:color="000000" w:sz="4" w:space="0"/>
              <w:bottom w:val="single" w:color="000000" w:sz="4" w:space="0"/>
              <w:right w:val="single" w:color="000000" w:sz="4" w:space="0"/>
            </w:tcBorders>
            <w:tcW w:w="1225" w:type="dxa"/>
            <w:textDirection w:val="lrTb"/>
            <w:noWrap w:val="false"/>
          </w:tcPr>
          <w:p>
            <w:pPr>
              <w:pStyle w:val="940"/>
              <w:ind w:right="53" w:firstLine="0"/>
              <w:jc w:val="center"/>
              <w:spacing w:before="1" w:after="0" w:line="242" w:lineRule="auto"/>
              <w:widowControl w:val="off"/>
            </w:pPr>
            <w:r>
              <w:rPr>
                <w:rFonts w:eastAsia="Times New Roman"/>
                <w:lang w:eastAsia="en-US"/>
              </w:rPr>
              <w:t xml:space="preserve">Пример-</w:t>
            </w:r>
            <w:r>
              <w:rPr>
                <w:rFonts w:eastAsia="Times New Roman"/>
                <w:spacing w:val="1"/>
                <w:lang w:eastAsia="en-US"/>
              </w:rPr>
              <w:t xml:space="preserve"> </w:t>
            </w:r>
            <w:r>
              <w:rPr>
                <w:rFonts w:eastAsia="Times New Roman"/>
                <w:lang w:eastAsia="en-US"/>
              </w:rPr>
              <w:t xml:space="preserve">ное</w:t>
            </w:r>
            <w:r>
              <w:rPr>
                <w:rFonts w:eastAsia="Times New Roman"/>
                <w:spacing w:val="3"/>
                <w:lang w:eastAsia="en-US"/>
              </w:rPr>
              <w:t xml:space="preserve"> </w:t>
            </w:r>
            <w:r>
              <w:rPr>
                <w:rFonts w:eastAsia="Times New Roman"/>
                <w:spacing w:val="-3"/>
                <w:lang w:eastAsia="en-US"/>
              </w:rPr>
              <w:t xml:space="preserve">время вы-</w:t>
            </w:r>
            <w:r>
              <w:rPr>
                <w:rFonts w:eastAsia="Times New Roman"/>
                <w:spacing w:val="-39"/>
                <w:lang w:eastAsia="en-US"/>
              </w:rPr>
              <w:t xml:space="preserve"> </w:t>
            </w:r>
            <w:r>
              <w:rPr>
                <w:rFonts w:eastAsia="Times New Roman"/>
                <w:lang w:eastAsia="en-US"/>
              </w:rPr>
              <w:t xml:space="preserve">полнения</w:t>
            </w:r>
            <w:r>
              <w:rPr>
                <w:rFonts w:eastAsia="Times New Roman"/>
                <w:spacing w:val="-39"/>
                <w:lang w:eastAsia="en-US"/>
              </w:rPr>
              <w:t xml:space="preserve"> </w:t>
            </w:r>
            <w:r>
              <w:rPr>
                <w:rFonts w:eastAsia="Times New Roman"/>
                <w:lang w:eastAsia="en-US"/>
              </w:rPr>
              <w:t xml:space="preserve">задания</w:t>
            </w:r>
            <w:r>
              <w:rPr>
                <w:rFonts w:eastAsia="Times New Roman"/>
                <w:spacing w:val="1"/>
                <w:lang w:eastAsia="en-US"/>
              </w:rPr>
              <w:t xml:space="preserve"> </w:t>
            </w:r>
            <w:r>
              <w:rPr>
                <w:rFonts w:eastAsia="Times New Roman"/>
                <w:lang w:eastAsia="en-US"/>
              </w:rPr>
              <w:t xml:space="preserve">(мин.)</w:t>
            </w:r>
            <w:r/>
          </w:p>
        </w:tc>
      </w:tr>
      <w:tr>
        <w:trPr>
          <w:trHeight w:val="948"/>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2"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представлять</w:t>
            </w:r>
            <w:r>
              <w:rPr>
                <w:rFonts w:eastAsia="Times New Roman"/>
                <w:spacing w:val="1"/>
                <w:lang w:eastAsia="en-US"/>
              </w:rPr>
              <w:t xml:space="preserve"> </w:t>
            </w:r>
            <w:r>
              <w:rPr>
                <w:rFonts w:eastAsia="Times New Roman"/>
                <w:lang w:eastAsia="en-US"/>
              </w:rPr>
              <w:t xml:space="preserve">и</w:t>
            </w:r>
            <w:r>
              <w:rPr>
                <w:rFonts w:eastAsia="Times New Roman"/>
                <w:spacing w:val="1"/>
                <w:lang w:eastAsia="en-US"/>
              </w:rPr>
              <w:t xml:space="preserve"> </w:t>
            </w:r>
            <w:r>
              <w:rPr>
                <w:rFonts w:eastAsia="Times New Roman"/>
                <w:lang w:eastAsia="en-US"/>
              </w:rPr>
              <w:t xml:space="preserve">считывать данные в разных типах информационных моделей (схемы,</w:t>
            </w:r>
            <w:r>
              <w:rPr>
                <w:rFonts w:eastAsia="Times New Roman"/>
                <w:spacing w:val="1"/>
                <w:lang w:eastAsia="en-US"/>
              </w:rPr>
              <w:t xml:space="preserve"> </w:t>
            </w:r>
            <w:r>
              <w:rPr>
                <w:rFonts w:eastAsia="Times New Roman"/>
                <w:lang w:eastAsia="en-US"/>
              </w:rPr>
              <w:t xml:space="preserve">карты,</w:t>
            </w:r>
            <w:r>
              <w:rPr>
                <w:rFonts w:eastAsia="Times New Roman"/>
                <w:spacing w:val="18"/>
                <w:lang w:eastAsia="en-US"/>
              </w:rPr>
              <w:t xml:space="preserve"> </w:t>
            </w:r>
            <w:r>
              <w:rPr>
                <w:rFonts w:eastAsia="Times New Roman"/>
                <w:lang w:eastAsia="en-US"/>
              </w:rPr>
              <w:t xml:space="preserve">таблицы,</w:t>
            </w:r>
            <w:r>
              <w:rPr>
                <w:rFonts w:eastAsia="Times New Roman"/>
                <w:spacing w:val="19"/>
                <w:lang w:eastAsia="en-US"/>
              </w:rPr>
              <w:t xml:space="preserve"> </w:t>
            </w:r>
            <w:r>
              <w:rPr>
                <w:rFonts w:eastAsia="Times New Roman"/>
                <w:lang w:eastAsia="en-US"/>
              </w:rPr>
              <w:t xml:space="preserve">графики</w:t>
            </w:r>
            <w:r>
              <w:rPr>
                <w:rFonts w:eastAsia="Times New Roman"/>
                <w:spacing w:val="18"/>
                <w:lang w:eastAsia="en-US"/>
              </w:rPr>
              <w:t xml:space="preserve"> </w:t>
            </w:r>
            <w:r>
              <w:rPr>
                <w:rFonts w:eastAsia="Times New Roman"/>
                <w:lang w:eastAsia="en-US"/>
              </w:rPr>
              <w:t xml:space="preserve">и</w:t>
            </w:r>
            <w:r>
              <w:rPr>
                <w:rFonts w:eastAsia="Times New Roman"/>
                <w:spacing w:val="19"/>
                <w:lang w:eastAsia="en-US"/>
              </w:rPr>
              <w:t xml:space="preserve"> </w:t>
            </w:r>
            <w:r>
              <w:rPr>
                <w:rFonts w:eastAsia="Times New Roman"/>
                <w:lang w:eastAsia="en-US"/>
              </w:rPr>
              <w:t xml:space="preserve">формулы)</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1.3.1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1.2.2</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8"/>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23"/>
                <w:lang w:eastAsia="en-US"/>
              </w:rPr>
              <w:t xml:space="preserve"> </w:t>
            </w:r>
            <w:r>
              <w:rPr>
                <w:rFonts w:eastAsia="Times New Roman"/>
                <w:lang w:eastAsia="en-US"/>
              </w:rPr>
              <w:t xml:space="preserve">строить</w:t>
            </w:r>
            <w:r>
              <w:rPr>
                <w:rFonts w:eastAsia="Times New Roman"/>
                <w:spacing w:val="22"/>
                <w:lang w:eastAsia="en-US"/>
              </w:rPr>
              <w:t xml:space="preserve"> </w:t>
            </w:r>
            <w:r>
              <w:rPr>
                <w:rFonts w:eastAsia="Times New Roman"/>
                <w:lang w:eastAsia="en-US"/>
              </w:rPr>
              <w:t xml:space="preserve">таблицы</w:t>
            </w:r>
            <w:r>
              <w:rPr>
                <w:rFonts w:eastAsia="Times New Roman"/>
                <w:spacing w:val="23"/>
                <w:lang w:eastAsia="en-US"/>
              </w:rPr>
              <w:t xml:space="preserve"> </w:t>
            </w:r>
            <w:r>
              <w:rPr>
                <w:rFonts w:eastAsia="Times New Roman"/>
                <w:lang w:eastAsia="en-US"/>
              </w:rPr>
              <w:t xml:space="preserve">истинности</w:t>
            </w:r>
            <w:r>
              <w:rPr>
                <w:rFonts w:eastAsia="Times New Roman"/>
                <w:spacing w:val="-8"/>
                <w:lang w:eastAsia="en-US"/>
              </w:rPr>
              <w:t xml:space="preserve"> </w:t>
            </w:r>
            <w:r>
              <w:rPr>
                <w:rFonts w:eastAsia="Times New Roman"/>
                <w:lang w:eastAsia="en-US"/>
              </w:rPr>
              <w:t xml:space="preserve">и</w:t>
            </w:r>
            <w:r>
              <w:rPr>
                <w:rFonts w:eastAsia="Times New Roman"/>
                <w:spacing w:val="-8"/>
                <w:lang w:eastAsia="en-US"/>
              </w:rPr>
              <w:t xml:space="preserve"> </w:t>
            </w:r>
            <w:r>
              <w:rPr>
                <w:rFonts w:eastAsia="Times New Roman"/>
                <w:lang w:eastAsia="en-US"/>
              </w:rPr>
              <w:t xml:space="preserve">логические</w:t>
            </w:r>
            <w:r>
              <w:rPr>
                <w:rFonts w:eastAsia="Times New Roman"/>
                <w:spacing w:val="-8"/>
                <w:lang w:eastAsia="en-US"/>
              </w:rPr>
              <w:t xml:space="preserve"> </w:t>
            </w:r>
            <w:r>
              <w:rPr>
                <w:rFonts w:eastAsia="Times New Roman"/>
                <w:lang w:eastAsia="en-US"/>
              </w:rPr>
              <w:t xml:space="preserve">схемы</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1.1.6</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567"/>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3" w:firstLine="0"/>
              <w:widowControl w:val="off"/>
            </w:pPr>
            <w:r>
              <w:rPr>
                <w:rFonts w:eastAsia="Times New Roman"/>
                <w:lang w:eastAsia="en-US"/>
              </w:rPr>
              <w:t xml:space="preserve">Знание</w:t>
            </w:r>
            <w:r>
              <w:rPr>
                <w:rFonts w:eastAsia="Times New Roman"/>
                <w:spacing w:val="5"/>
                <w:lang w:eastAsia="en-US"/>
              </w:rPr>
              <w:t xml:space="preserve"> </w:t>
            </w:r>
            <w:r>
              <w:rPr>
                <w:rFonts w:eastAsia="Times New Roman"/>
                <w:lang w:eastAsia="en-US"/>
              </w:rPr>
              <w:t xml:space="preserve">о</w:t>
            </w:r>
            <w:r>
              <w:rPr>
                <w:rFonts w:eastAsia="Times New Roman"/>
                <w:spacing w:val="5"/>
                <w:lang w:eastAsia="en-US"/>
              </w:rPr>
              <w:t xml:space="preserve"> </w:t>
            </w:r>
            <w:r>
              <w:rPr>
                <w:rFonts w:eastAsia="Times New Roman"/>
                <w:lang w:eastAsia="en-US"/>
              </w:rPr>
              <w:t xml:space="preserve">технологии</w:t>
            </w:r>
            <w:r>
              <w:rPr>
                <w:rFonts w:eastAsia="Times New Roman"/>
                <w:spacing w:val="5"/>
                <w:lang w:eastAsia="en-US"/>
              </w:rPr>
              <w:t xml:space="preserve"> </w:t>
            </w:r>
            <w:r>
              <w:rPr>
                <w:rFonts w:eastAsia="Times New Roman"/>
                <w:lang w:eastAsia="en-US"/>
              </w:rPr>
              <w:t xml:space="preserve">хранения,</w:t>
            </w:r>
            <w:r>
              <w:rPr>
                <w:rFonts w:eastAsia="Times New Roman"/>
                <w:spacing w:val="-39"/>
                <w:lang w:eastAsia="en-US"/>
              </w:rPr>
              <w:t xml:space="preserve"> </w:t>
            </w:r>
            <w:r>
              <w:rPr>
                <w:rFonts w:eastAsia="Times New Roman"/>
                <w:lang w:eastAsia="en-US"/>
              </w:rPr>
              <w:t xml:space="preserve">поиска </w:t>
            </w:r>
            <w:r>
              <w:rPr>
                <w:rFonts w:eastAsia="Times New Roman"/>
                <w:spacing w:val="8"/>
                <w:lang w:eastAsia="en-US"/>
              </w:rPr>
              <w:t xml:space="preserve"> </w:t>
            </w:r>
            <w:r>
              <w:rPr>
                <w:rFonts w:eastAsia="Times New Roman"/>
                <w:lang w:eastAsia="en-US"/>
              </w:rPr>
              <w:t xml:space="preserve">и </w:t>
            </w:r>
            <w:r>
              <w:rPr>
                <w:rFonts w:eastAsia="Times New Roman"/>
                <w:spacing w:val="7"/>
                <w:lang w:eastAsia="en-US"/>
              </w:rPr>
              <w:t xml:space="preserve"> </w:t>
            </w:r>
            <w:r>
              <w:rPr>
                <w:rFonts w:eastAsia="Times New Roman"/>
                <w:lang w:eastAsia="en-US"/>
              </w:rPr>
              <w:t xml:space="preserve">сортировки информа</w:t>
            </w:r>
            <w:r>
              <w:rPr>
                <w:rFonts w:eastAsia="Times New Roman"/>
                <w:spacing w:val="-1"/>
                <w:lang w:eastAsia="en-US"/>
              </w:rPr>
              <w:t xml:space="preserve">ции</w:t>
            </w:r>
            <w:r>
              <w:rPr>
                <w:rFonts w:eastAsia="Times New Roman"/>
                <w:spacing w:val="-9"/>
                <w:lang w:eastAsia="en-US"/>
              </w:rPr>
              <w:t xml:space="preserve"> </w:t>
            </w:r>
            <w:r>
              <w:rPr>
                <w:rFonts w:eastAsia="Times New Roman"/>
                <w:spacing w:val="-1"/>
                <w:lang w:eastAsia="en-US"/>
              </w:rPr>
              <w:t xml:space="preserve">в</w:t>
            </w:r>
            <w:r>
              <w:rPr>
                <w:rFonts w:eastAsia="Times New Roman"/>
                <w:spacing w:val="-8"/>
                <w:lang w:eastAsia="en-US"/>
              </w:rPr>
              <w:t xml:space="preserve"> </w:t>
            </w:r>
            <w:r>
              <w:rPr>
                <w:rFonts w:eastAsia="Times New Roman"/>
                <w:spacing w:val="-1"/>
                <w:lang w:eastAsia="en-US"/>
              </w:rPr>
              <w:t xml:space="preserve">реляционных</w:t>
            </w:r>
            <w:r>
              <w:rPr>
                <w:rFonts w:eastAsia="Times New Roman"/>
                <w:spacing w:val="-8"/>
                <w:lang w:eastAsia="en-US"/>
              </w:rPr>
              <w:t xml:space="preserve"> </w:t>
            </w:r>
            <w:r>
              <w:rPr>
                <w:rFonts w:eastAsia="Times New Roman"/>
                <w:lang w:eastAsia="en-US"/>
              </w:rPr>
              <w:t xml:space="preserve">базах</w:t>
            </w:r>
            <w:r>
              <w:rPr>
                <w:rFonts w:eastAsia="Times New Roman"/>
                <w:spacing w:val="-9"/>
                <w:lang w:eastAsia="en-US"/>
              </w:rPr>
              <w:t xml:space="preserve"> </w:t>
            </w:r>
            <w:r>
              <w:rPr>
                <w:rFonts w:eastAsia="Times New Roman"/>
                <w:lang w:eastAsia="en-US"/>
              </w:rPr>
              <w:t xml:space="preserve">данных</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3.5.1.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2.2</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4</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29" w:firstLine="0"/>
              <w:widowControl w:val="off"/>
            </w:pPr>
            <w:r>
              <w:rPr>
                <w:rFonts w:eastAsia="Times New Roman"/>
                <w:lang w:eastAsia="en-US"/>
              </w:rPr>
              <w:t xml:space="preserve">Умение </w:t>
            </w:r>
            <w:r>
              <w:rPr>
                <w:rFonts w:eastAsia="Times New Roman"/>
                <w:spacing w:val="11"/>
                <w:lang w:eastAsia="en-US"/>
              </w:rPr>
              <w:t xml:space="preserve"> </w:t>
            </w:r>
            <w:r>
              <w:rPr>
                <w:rFonts w:eastAsia="Times New Roman"/>
                <w:lang w:eastAsia="en-US"/>
              </w:rPr>
              <w:t xml:space="preserve">кодировать </w:t>
            </w:r>
            <w:r>
              <w:rPr>
                <w:rFonts w:eastAsia="Times New Roman"/>
                <w:spacing w:val="11"/>
                <w:lang w:eastAsia="en-US"/>
              </w:rPr>
              <w:t xml:space="preserve"> </w:t>
            </w:r>
            <w:r>
              <w:rPr>
                <w:rFonts w:eastAsia="Times New Roman"/>
                <w:lang w:eastAsia="en-US"/>
              </w:rPr>
              <w:t xml:space="preserve">и </w:t>
            </w:r>
            <w:r>
              <w:rPr>
                <w:rFonts w:eastAsia="Times New Roman"/>
                <w:spacing w:val="12"/>
                <w:lang w:eastAsia="en-US"/>
              </w:rPr>
              <w:t xml:space="preserve"> </w:t>
            </w:r>
            <w:r>
              <w:rPr>
                <w:rFonts w:eastAsia="Times New Roman"/>
                <w:lang w:eastAsia="en-US"/>
              </w:rPr>
              <w:t xml:space="preserve">декодировать</w:t>
            </w:r>
            <w:r>
              <w:rPr>
                <w:rFonts w:eastAsia="Times New Roman"/>
                <w:spacing w:val="-11"/>
                <w:lang w:eastAsia="en-US"/>
              </w:rPr>
              <w:t xml:space="preserve"> </w:t>
            </w:r>
            <w:r>
              <w:rPr>
                <w:rFonts w:eastAsia="Times New Roman"/>
                <w:lang w:eastAsia="en-US"/>
              </w:rPr>
              <w:t xml:space="preserve">информацию</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1.1.2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1.2.2</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w:t>
            </w:r>
            <w:r/>
          </w:p>
        </w:tc>
      </w:tr>
      <w:tr>
        <w:trPr>
          <w:trHeight w:val="1139"/>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5</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142" w:firstLine="0"/>
              <w:widowControl w:val="off"/>
            </w:pPr>
            <w:r>
              <w:rPr>
                <w:rFonts w:eastAsia="Times New Roman"/>
                <w:lang w:eastAsia="en-US"/>
              </w:rPr>
              <w:t xml:space="preserve">Формальное исполнение алгоритма, записанного на естественном</w:t>
            </w:r>
            <w:r>
              <w:rPr>
                <w:rFonts w:eastAsia="Times New Roman"/>
                <w:spacing w:val="1"/>
                <w:lang w:eastAsia="en-US"/>
              </w:rPr>
              <w:t xml:space="preserve"> </w:t>
            </w:r>
            <w:r>
              <w:rPr>
                <w:rFonts w:eastAsia="Times New Roman"/>
                <w:lang w:eastAsia="en-US"/>
              </w:rPr>
              <w:t xml:space="preserve">языке, или умение создавать линейный алгоритм для формального</w:t>
            </w:r>
            <w:r>
              <w:rPr>
                <w:rFonts w:eastAsia="Times New Roman"/>
                <w:spacing w:val="12"/>
                <w:lang w:eastAsia="en-US"/>
              </w:rPr>
              <w:t xml:space="preserve"> </w:t>
            </w:r>
            <w:r>
              <w:rPr>
                <w:rFonts w:eastAsia="Times New Roman"/>
                <w:lang w:eastAsia="en-US"/>
              </w:rPr>
              <w:t xml:space="preserve">исполнителя</w:t>
            </w:r>
            <w:r>
              <w:rPr>
                <w:rFonts w:eastAsia="Times New Roman"/>
                <w:spacing w:val="13"/>
                <w:lang w:eastAsia="en-US"/>
              </w:rPr>
              <w:t xml:space="preserve"> </w:t>
            </w:r>
            <w:r>
              <w:rPr>
                <w:rFonts w:eastAsia="Times New Roman"/>
                <w:lang w:eastAsia="en-US"/>
              </w:rPr>
              <w:t xml:space="preserve">с</w:t>
            </w:r>
            <w:r>
              <w:rPr>
                <w:rFonts w:eastAsia="Times New Roman"/>
                <w:spacing w:val="12"/>
                <w:lang w:eastAsia="en-US"/>
              </w:rPr>
              <w:t xml:space="preserve"> </w:t>
            </w:r>
            <w:r>
              <w:rPr>
                <w:rFonts w:eastAsia="Times New Roman"/>
                <w:lang w:eastAsia="en-US"/>
              </w:rPr>
              <w:t xml:space="preserve">ограниченным</w:t>
            </w:r>
            <w:r>
              <w:rPr>
                <w:rFonts w:eastAsia="Times New Roman"/>
                <w:lang w:eastAsia="en-US"/>
              </w:rPr>
              <w:t xml:space="preserve"> </w:t>
            </w:r>
            <w:r>
              <w:rPr>
                <w:rFonts w:eastAsia="Times New Roman"/>
                <w:spacing w:val="-1"/>
                <w:lang w:eastAsia="en-US"/>
              </w:rPr>
              <w:t xml:space="preserve">набором</w:t>
            </w:r>
            <w:r>
              <w:rPr>
                <w:rFonts w:eastAsia="Times New Roman"/>
                <w:spacing w:val="-8"/>
                <w:lang w:eastAsia="en-US"/>
              </w:rPr>
              <w:t xml:space="preserve"> </w:t>
            </w:r>
            <w:r>
              <w:rPr>
                <w:rFonts w:eastAsia="Times New Roman"/>
                <w:lang w:eastAsia="en-US"/>
              </w:rPr>
              <w:t xml:space="preserve">команд</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4</w:t>
            </w:r>
            <w:r/>
          </w:p>
        </w:tc>
      </w:tr>
      <w:tr>
        <w:trPr>
          <w:trHeight w:val="759"/>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6</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142" w:firstLine="0"/>
              <w:widowControl w:val="off"/>
            </w:pPr>
            <w:r>
              <w:rPr>
                <w:rFonts w:eastAsia="Times New Roman"/>
                <w:lang w:eastAsia="en-US"/>
              </w:rPr>
              <w:t xml:space="preserve">Знание</w:t>
            </w:r>
            <w:r>
              <w:rPr>
                <w:rFonts w:eastAsia="Times New Roman"/>
                <w:spacing w:val="1"/>
                <w:lang w:eastAsia="en-US"/>
              </w:rPr>
              <w:t xml:space="preserve"> </w:t>
            </w:r>
            <w:r>
              <w:rPr>
                <w:rFonts w:eastAsia="Times New Roman"/>
                <w:lang w:eastAsia="en-US"/>
              </w:rPr>
              <w:t xml:space="preserve">основных</w:t>
            </w:r>
            <w:r>
              <w:rPr>
                <w:rFonts w:eastAsia="Times New Roman"/>
                <w:spacing w:val="1"/>
                <w:lang w:eastAsia="en-US"/>
              </w:rPr>
              <w:t xml:space="preserve"> </w:t>
            </w:r>
            <w:r>
              <w:rPr>
                <w:rFonts w:eastAsia="Times New Roman"/>
                <w:lang w:eastAsia="en-US"/>
              </w:rPr>
              <w:t xml:space="preserve">конструкций</w:t>
            </w:r>
            <w:r>
              <w:rPr>
                <w:rFonts w:eastAsia="Times New Roman"/>
                <w:spacing w:val="-39"/>
                <w:lang w:eastAsia="en-US"/>
              </w:rPr>
              <w:t xml:space="preserve"> </w:t>
            </w:r>
            <w:r>
              <w:rPr>
                <w:rFonts w:eastAsia="Times New Roman"/>
                <w:spacing w:val="-1"/>
                <w:lang w:eastAsia="en-US"/>
              </w:rPr>
              <w:t xml:space="preserve">языка программирования, </w:t>
            </w:r>
            <w:r>
              <w:rPr>
                <w:rFonts w:eastAsia="Times New Roman"/>
                <w:lang w:eastAsia="en-US"/>
              </w:rPr>
              <w:t xml:space="preserve">понятия</w:t>
            </w:r>
            <w:r>
              <w:rPr>
                <w:rFonts w:eastAsia="Times New Roman"/>
                <w:spacing w:val="-39"/>
                <w:lang w:eastAsia="en-US"/>
              </w:rPr>
              <w:t xml:space="preserve"> </w:t>
            </w:r>
            <w:r>
              <w:rPr>
                <w:rFonts w:eastAsia="Times New Roman"/>
                <w:lang w:eastAsia="en-US"/>
              </w:rPr>
              <w:t xml:space="preserve">переменной,</w:t>
            </w:r>
            <w:r>
              <w:rPr>
                <w:rFonts w:eastAsia="Times New Roman"/>
                <w:spacing w:val="20"/>
                <w:lang w:eastAsia="en-US"/>
              </w:rPr>
              <w:t xml:space="preserve"> </w:t>
            </w:r>
            <w:r>
              <w:rPr>
                <w:rFonts w:eastAsia="Times New Roman"/>
                <w:lang w:eastAsia="en-US"/>
              </w:rPr>
              <w:t xml:space="preserve">оператора</w:t>
            </w:r>
            <w:r>
              <w:rPr>
                <w:rFonts w:eastAsia="Times New Roman"/>
                <w:spacing w:val="20"/>
                <w:lang w:eastAsia="en-US"/>
              </w:rPr>
              <w:t xml:space="preserve"> </w:t>
            </w:r>
            <w:r>
              <w:rPr>
                <w:rFonts w:eastAsia="Times New Roman"/>
                <w:lang w:eastAsia="en-US"/>
              </w:rPr>
              <w:t xml:space="preserve">присваивания</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1.7.2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1.1.4</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4</w:t>
            </w:r>
            <w:r/>
          </w:p>
        </w:tc>
      </w:tr>
      <w:tr>
        <w:trPr>
          <w:trHeight w:val="758"/>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7</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4" w:firstLine="0"/>
              <w:widowControl w:val="off"/>
            </w:pPr>
            <w:r>
              <w:rPr>
                <w:rFonts w:eastAsia="Times New Roman"/>
                <w:lang w:eastAsia="en-US"/>
              </w:rPr>
              <w:t xml:space="preserve">Умение определять объём памяти,</w:t>
            </w:r>
            <w:r>
              <w:rPr>
                <w:rFonts w:eastAsia="Times New Roman"/>
                <w:spacing w:val="1"/>
                <w:lang w:eastAsia="en-US"/>
              </w:rPr>
              <w:t xml:space="preserve"> </w:t>
            </w:r>
            <w:r>
              <w:rPr>
                <w:rFonts w:eastAsia="Times New Roman"/>
                <w:lang w:eastAsia="en-US"/>
              </w:rPr>
              <w:t xml:space="preserve">необходимый</w:t>
            </w:r>
            <w:r>
              <w:rPr>
                <w:rFonts w:eastAsia="Times New Roman"/>
                <w:spacing w:val="1"/>
                <w:lang w:eastAsia="en-US"/>
              </w:rPr>
              <w:t xml:space="preserve"> </w:t>
            </w:r>
            <w:r>
              <w:rPr>
                <w:rFonts w:eastAsia="Times New Roman"/>
                <w:lang w:eastAsia="en-US"/>
              </w:rPr>
              <w:t xml:space="preserve">для</w:t>
            </w:r>
            <w:r>
              <w:rPr>
                <w:rFonts w:eastAsia="Times New Roman"/>
                <w:spacing w:val="1"/>
                <w:lang w:eastAsia="en-US"/>
              </w:rPr>
              <w:t xml:space="preserve"> </w:t>
            </w:r>
            <w:r>
              <w:rPr>
                <w:rFonts w:eastAsia="Times New Roman"/>
                <w:lang w:eastAsia="en-US"/>
              </w:rPr>
              <w:t xml:space="preserve">хранения</w:t>
            </w:r>
            <w:r>
              <w:rPr>
                <w:rFonts w:eastAsia="Times New Roman"/>
                <w:spacing w:val="1"/>
                <w:lang w:eastAsia="en-US"/>
              </w:rPr>
              <w:t xml:space="preserve"> </w:t>
            </w:r>
            <w:r>
              <w:rPr>
                <w:rFonts w:eastAsia="Times New Roman"/>
                <w:lang w:eastAsia="en-US"/>
              </w:rPr>
              <w:t xml:space="preserve">графической</w:t>
            </w:r>
            <w:r>
              <w:rPr>
                <w:rFonts w:eastAsia="Times New Roman"/>
                <w:spacing w:val="32"/>
                <w:lang w:eastAsia="en-US"/>
              </w:rPr>
              <w:t xml:space="preserve"> </w:t>
            </w:r>
            <w:r>
              <w:rPr>
                <w:rFonts w:eastAsia="Times New Roman"/>
                <w:lang w:eastAsia="en-US"/>
              </w:rPr>
              <w:t xml:space="preserve">и</w:t>
            </w:r>
            <w:r>
              <w:rPr>
                <w:rFonts w:eastAsia="Times New Roman"/>
                <w:spacing w:val="32"/>
                <w:lang w:eastAsia="en-US"/>
              </w:rPr>
              <w:t xml:space="preserve"> </w:t>
            </w:r>
            <w:r>
              <w:rPr>
                <w:rFonts w:eastAsia="Times New Roman"/>
                <w:lang w:eastAsia="en-US"/>
              </w:rPr>
              <w:t xml:space="preserve">звуковой</w:t>
            </w:r>
            <w:r>
              <w:rPr>
                <w:rFonts w:eastAsia="Times New Roman"/>
                <w:spacing w:val="31"/>
                <w:lang w:eastAsia="en-US"/>
              </w:rPr>
              <w:t xml:space="preserve"> </w:t>
            </w: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3.3.1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1.3.2</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5</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8</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Знание</w:t>
            </w:r>
            <w:r>
              <w:rPr>
                <w:rFonts w:eastAsia="Times New Roman"/>
                <w:spacing w:val="18"/>
                <w:lang w:eastAsia="en-US"/>
              </w:rPr>
              <w:t xml:space="preserve"> </w:t>
            </w:r>
            <w:r>
              <w:rPr>
                <w:rFonts w:eastAsia="Times New Roman"/>
                <w:lang w:eastAsia="en-US"/>
              </w:rPr>
              <w:t xml:space="preserve">о</w:t>
            </w:r>
            <w:r>
              <w:rPr>
                <w:rFonts w:eastAsia="Times New Roman"/>
                <w:spacing w:val="18"/>
                <w:lang w:eastAsia="en-US"/>
              </w:rPr>
              <w:t xml:space="preserve"> </w:t>
            </w:r>
            <w:r>
              <w:rPr>
                <w:rFonts w:eastAsia="Times New Roman"/>
                <w:lang w:eastAsia="en-US"/>
              </w:rPr>
              <w:t xml:space="preserve">методах</w:t>
            </w:r>
            <w:r>
              <w:rPr>
                <w:rFonts w:eastAsia="Times New Roman"/>
                <w:spacing w:val="19"/>
                <w:lang w:eastAsia="en-US"/>
              </w:rPr>
              <w:t xml:space="preserve"> </w:t>
            </w:r>
            <w:r>
              <w:rPr>
                <w:rFonts w:eastAsia="Times New Roman"/>
                <w:lang w:eastAsia="en-US"/>
              </w:rPr>
              <w:t xml:space="preserve">измерения</w:t>
            </w:r>
            <w:r>
              <w:rPr>
                <w:rFonts w:eastAsia="Times New Roman"/>
                <w:spacing w:val="18"/>
                <w:lang w:eastAsia="en-US"/>
              </w:rPr>
              <w:t xml:space="preserve"> </w:t>
            </w:r>
            <w:r>
              <w:rPr>
                <w:rFonts w:eastAsia="Times New Roman"/>
                <w:lang w:eastAsia="en-US"/>
              </w:rPr>
              <w:t xml:space="preserve">ко</w:t>
            </w:r>
            <w:r>
              <w:rPr>
                <w:rFonts w:eastAsia="Times New Roman"/>
                <w:spacing w:val="-1"/>
                <w:lang w:eastAsia="en-US"/>
              </w:rPr>
              <w:t xml:space="preserve">личества</w:t>
            </w:r>
            <w:r>
              <w:rPr>
                <w:rFonts w:eastAsia="Times New Roman"/>
                <w:spacing w:val="-10"/>
                <w:lang w:eastAsia="en-US"/>
              </w:rPr>
              <w:t xml:space="preserve"> </w:t>
            </w: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1.3.1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4</w:t>
            </w:r>
            <w:r/>
          </w:p>
        </w:tc>
      </w:tr>
      <w:tr>
        <w:trPr>
          <w:trHeight w:val="567"/>
        </w:trPr>
        <w:tc>
          <w:tcPr>
            <w:tcBorders>
              <w:top w:val="single" w:color="000000" w:sz="4" w:space="0"/>
              <w:left w:val="single" w:color="000000" w:sz="4" w:space="0"/>
              <w:bottom w:val="single" w:color="000000" w:sz="4" w:space="0"/>
            </w:tcBorders>
            <w:tcW w:w="671" w:type="dxa"/>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9</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33"/>
                <w:lang w:eastAsia="en-US"/>
              </w:rPr>
              <w:t xml:space="preserve"> </w:t>
            </w:r>
            <w:r>
              <w:rPr>
                <w:rFonts w:eastAsia="Times New Roman"/>
                <w:lang w:eastAsia="en-US"/>
              </w:rPr>
              <w:t xml:space="preserve">обрабатывать</w:t>
            </w:r>
            <w:r>
              <w:rPr>
                <w:rFonts w:eastAsia="Times New Roman"/>
                <w:spacing w:val="35"/>
                <w:lang w:eastAsia="en-US"/>
              </w:rPr>
              <w:t xml:space="preserve"> </w:t>
            </w:r>
            <w:r>
              <w:rPr>
                <w:rFonts w:eastAsia="Times New Roman"/>
                <w:lang w:eastAsia="en-US"/>
              </w:rPr>
              <w:t xml:space="preserve">числовую</w:t>
            </w:r>
            <w:r/>
          </w:p>
          <w:p>
            <w:pPr>
              <w:pStyle w:val="940"/>
              <w:ind w:right="64" w:firstLine="0"/>
              <w:widowControl w:val="off"/>
            </w:pPr>
            <w:r>
              <w:rPr>
                <w:rFonts w:eastAsia="Times New Roman"/>
                <w:lang w:eastAsia="en-US"/>
              </w:rPr>
              <w:t xml:space="preserve">информацию</w:t>
            </w:r>
            <w:r>
              <w:rPr>
                <w:rFonts w:eastAsia="Times New Roman"/>
                <w:spacing w:val="4"/>
                <w:lang w:eastAsia="en-US"/>
              </w:rPr>
              <w:t xml:space="preserve"> </w:t>
            </w:r>
            <w:r>
              <w:rPr>
                <w:rFonts w:eastAsia="Times New Roman"/>
                <w:lang w:eastAsia="en-US"/>
              </w:rPr>
              <w:t xml:space="preserve">в</w:t>
            </w:r>
            <w:r>
              <w:rPr>
                <w:rFonts w:eastAsia="Times New Roman"/>
                <w:spacing w:val="3"/>
                <w:lang w:eastAsia="en-US"/>
              </w:rPr>
              <w:t xml:space="preserve"> </w:t>
            </w:r>
            <w:r>
              <w:rPr>
                <w:rFonts w:eastAsia="Times New Roman"/>
                <w:lang w:eastAsia="en-US"/>
              </w:rPr>
              <w:t xml:space="preserve">электронных</w:t>
            </w:r>
            <w:r>
              <w:rPr>
                <w:rFonts w:eastAsia="Times New Roman"/>
                <w:spacing w:val="3"/>
                <w:lang w:eastAsia="en-US"/>
              </w:rPr>
              <w:t xml:space="preserve"> </w:t>
            </w:r>
            <w:r>
              <w:rPr>
                <w:rFonts w:eastAsia="Times New Roman"/>
                <w:lang w:eastAsia="en-US"/>
              </w:rPr>
              <w:t xml:space="preserve">таблицах</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3.4.1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1.1.1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6</w:t>
            </w:r>
            <w:r/>
          </w:p>
        </w:tc>
      </w:tr>
      <w:tr>
        <w:trPr>
          <w:trHeight w:val="568"/>
        </w:trPr>
        <w:tc>
          <w:tcPr>
            <w:tcBorders>
              <w:top w:val="single" w:color="000000" w:sz="4" w:space="0"/>
              <w:left w:val="single" w:color="000000" w:sz="4" w:space="0"/>
              <w:bottom w:val="single" w:color="000000" w:sz="4" w:space="0"/>
            </w:tcBorders>
            <w:tcW w:w="671" w:type="dxa"/>
            <w:textDirection w:val="lrTb"/>
            <w:noWrap w:val="false"/>
          </w:tcPr>
          <w:p>
            <w:pPr>
              <w:pStyle w:val="940"/>
              <w:ind w:right="83" w:firstLine="0"/>
              <w:jc w:val="center"/>
              <w:spacing w:before="1" w:after="0"/>
              <w:widowControl w:val="off"/>
              <w:rPr>
                <w:rFonts w:eastAsia="Times New Roman"/>
                <w:lang w:eastAsia="en-US"/>
              </w:rPr>
            </w:pPr>
            <w:r>
              <w:rPr>
                <w:rFonts w:eastAsia="Times New Roman"/>
                <w:lang w:eastAsia="en-US"/>
              </w:rPr>
              <w:t xml:space="preserve">10</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57" w:firstLine="0"/>
              <w:widowControl w:val="off"/>
            </w:pPr>
            <w:r>
              <w:rPr>
                <w:rFonts w:eastAsia="Times New Roman"/>
                <w:lang w:eastAsia="en-US"/>
              </w:rPr>
              <w:t xml:space="preserve">Информационный</w:t>
            </w:r>
            <w:r>
              <w:rPr>
                <w:rFonts w:eastAsia="Times New Roman"/>
                <w:spacing w:val="21"/>
                <w:lang w:eastAsia="en-US"/>
              </w:rPr>
              <w:t xml:space="preserve"> </w:t>
            </w:r>
            <w:r>
              <w:rPr>
                <w:rFonts w:eastAsia="Times New Roman"/>
                <w:lang w:eastAsia="en-US"/>
              </w:rPr>
              <w:t xml:space="preserve">поиск</w:t>
            </w:r>
            <w:r>
              <w:rPr>
                <w:rFonts w:eastAsia="Times New Roman"/>
                <w:spacing w:val="22"/>
                <w:lang w:eastAsia="en-US"/>
              </w:rPr>
              <w:t xml:space="preserve"> </w:t>
            </w:r>
            <w:r>
              <w:rPr>
                <w:rFonts w:eastAsia="Times New Roman"/>
                <w:lang w:eastAsia="en-US"/>
              </w:rPr>
              <w:t xml:space="preserve">средствами</w:t>
            </w:r>
            <w:r>
              <w:rPr>
                <w:rFonts w:eastAsia="Times New Roman"/>
                <w:spacing w:val="4"/>
                <w:lang w:eastAsia="en-US"/>
              </w:rPr>
              <w:t xml:space="preserve"> </w:t>
            </w:r>
            <w:r>
              <w:rPr>
                <w:rFonts w:eastAsia="Times New Roman"/>
                <w:lang w:eastAsia="en-US"/>
              </w:rPr>
              <w:t xml:space="preserve">операционной</w:t>
            </w:r>
            <w:r>
              <w:rPr>
                <w:rFonts w:eastAsia="Times New Roman"/>
                <w:spacing w:val="5"/>
                <w:lang w:eastAsia="en-US"/>
              </w:rPr>
              <w:t xml:space="preserve"> </w:t>
            </w:r>
            <w:r>
              <w:rPr>
                <w:rFonts w:eastAsia="Times New Roman"/>
                <w:lang w:eastAsia="en-US"/>
              </w:rPr>
              <w:t xml:space="preserve">системы</w:t>
            </w:r>
            <w:r>
              <w:rPr>
                <w:rFonts w:eastAsia="Times New Roman"/>
                <w:spacing w:val="4"/>
                <w:lang w:eastAsia="en-US"/>
              </w:rPr>
              <w:t xml:space="preserve"> </w:t>
            </w:r>
            <w:r>
              <w:rPr>
                <w:rFonts w:eastAsia="Times New Roman"/>
                <w:lang w:eastAsia="en-US"/>
              </w:rPr>
              <w:t xml:space="preserve">или</w:t>
            </w:r>
            <w:r>
              <w:rPr>
                <w:rFonts w:eastAsia="Times New Roman"/>
                <w:lang w:eastAsia="en-US"/>
              </w:rPr>
              <w:t xml:space="preserve"> текстового</w:t>
            </w:r>
            <w:r>
              <w:rPr>
                <w:rFonts w:eastAsia="Times New Roman"/>
                <w:spacing w:val="21"/>
                <w:lang w:eastAsia="en-US"/>
              </w:rPr>
              <w:t xml:space="preserve"> </w:t>
            </w:r>
            <w:r>
              <w:rPr>
                <w:rFonts w:eastAsia="Times New Roman"/>
                <w:lang w:eastAsia="en-US"/>
              </w:rPr>
              <w:t xml:space="preserve">процессора</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3.5.2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83" w:firstLine="0"/>
              <w:jc w:val="center"/>
              <w:spacing w:before="1" w:after="0"/>
              <w:widowControl w:val="off"/>
              <w:rPr>
                <w:rFonts w:eastAsia="Times New Roman"/>
                <w:lang w:eastAsia="en-US"/>
              </w:rPr>
            </w:pPr>
            <w:r>
              <w:rPr>
                <w:rFonts w:eastAsia="Times New Roman"/>
                <w:lang w:eastAsia="en-US"/>
              </w:rPr>
              <w:t xml:space="preserve">11</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30"/>
                <w:lang w:eastAsia="en-US"/>
              </w:rPr>
              <w:t xml:space="preserve"> </w:t>
            </w:r>
            <w:r>
              <w:rPr>
                <w:rFonts w:eastAsia="Times New Roman"/>
                <w:lang w:eastAsia="en-US"/>
              </w:rPr>
              <w:t xml:space="preserve">подсчитывать</w:t>
            </w:r>
            <w:r>
              <w:rPr>
                <w:rFonts w:eastAsia="Times New Roman"/>
                <w:spacing w:val="31"/>
                <w:lang w:eastAsia="en-US"/>
              </w:rPr>
              <w:t xml:space="preserve"> </w:t>
            </w:r>
            <w:r>
              <w:rPr>
                <w:rFonts w:eastAsia="Times New Roman"/>
                <w:lang w:eastAsia="en-US"/>
              </w:rPr>
              <w:t xml:space="preserve">информа</w:t>
            </w:r>
            <w:r>
              <w:rPr>
                <w:rFonts w:eastAsia="Times New Roman"/>
                <w:spacing w:val="-1"/>
                <w:lang w:eastAsia="en-US"/>
              </w:rPr>
              <w:t xml:space="preserve">ционный</w:t>
            </w:r>
            <w:r>
              <w:rPr>
                <w:rFonts w:eastAsia="Times New Roman"/>
                <w:spacing w:val="-9"/>
                <w:lang w:eastAsia="en-US"/>
              </w:rPr>
              <w:t xml:space="preserve"> </w:t>
            </w:r>
            <w:r>
              <w:rPr>
                <w:rFonts w:eastAsia="Times New Roman"/>
                <w:lang w:eastAsia="en-US"/>
              </w:rPr>
              <w:t xml:space="preserve">объём</w:t>
            </w:r>
            <w:r>
              <w:rPr>
                <w:rFonts w:eastAsia="Times New Roman"/>
                <w:spacing w:val="-9"/>
                <w:lang w:eastAsia="en-US"/>
              </w:rPr>
              <w:t xml:space="preserve"> </w:t>
            </w:r>
            <w:r>
              <w:rPr>
                <w:rFonts w:eastAsia="Times New Roman"/>
                <w:lang w:eastAsia="en-US"/>
              </w:rPr>
              <w:t xml:space="preserve">сообщения</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1.3.1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12</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12"/>
                <w:lang w:eastAsia="en-US"/>
              </w:rPr>
              <w:t xml:space="preserve"> </w:t>
            </w:r>
            <w:r>
              <w:rPr>
                <w:rFonts w:eastAsia="Times New Roman"/>
                <w:lang w:eastAsia="en-US"/>
              </w:rPr>
              <w:t xml:space="preserve">исполнить</w:t>
            </w:r>
            <w:r>
              <w:rPr>
                <w:rFonts w:eastAsia="Times New Roman"/>
                <w:spacing w:val="13"/>
                <w:lang w:eastAsia="en-US"/>
              </w:rPr>
              <w:t xml:space="preserve"> </w:t>
            </w:r>
            <w:r>
              <w:rPr>
                <w:rFonts w:eastAsia="Times New Roman"/>
                <w:lang w:eastAsia="en-US"/>
              </w:rPr>
              <w:t xml:space="preserve">алгоритм</w:t>
            </w:r>
            <w:r>
              <w:rPr>
                <w:rFonts w:eastAsia="Times New Roman"/>
                <w:spacing w:val="14"/>
                <w:lang w:eastAsia="en-US"/>
              </w:rPr>
              <w:t xml:space="preserve"> </w:t>
            </w:r>
            <w:r>
              <w:rPr>
                <w:rFonts w:eastAsia="Times New Roman"/>
                <w:lang w:eastAsia="en-US"/>
              </w:rPr>
              <w:t xml:space="preserve">для</w:t>
            </w:r>
            <w:r>
              <w:rPr>
                <w:rFonts w:eastAsia="Times New Roman"/>
                <w:spacing w:val="-39"/>
                <w:lang w:eastAsia="en-US"/>
              </w:rPr>
              <w:t xml:space="preserve"> </w:t>
            </w:r>
            <w:r>
              <w:rPr>
                <w:rFonts w:eastAsia="Times New Roman"/>
                <w:lang w:eastAsia="en-US"/>
              </w:rPr>
              <w:t xml:space="preserve">конкретного</w:t>
            </w:r>
            <w:r>
              <w:rPr>
                <w:rFonts w:eastAsia="Times New Roman"/>
                <w:spacing w:val="12"/>
                <w:lang w:eastAsia="en-US"/>
              </w:rPr>
              <w:t xml:space="preserve"> </w:t>
            </w:r>
            <w:r>
              <w:rPr>
                <w:rFonts w:eastAsia="Times New Roman"/>
                <w:lang w:eastAsia="en-US"/>
              </w:rPr>
              <w:t xml:space="preserve">исполнителя</w:t>
            </w:r>
            <w:r>
              <w:rPr>
                <w:rFonts w:eastAsia="Times New Roman"/>
                <w:spacing w:val="13"/>
                <w:lang w:eastAsia="en-US"/>
              </w:rPr>
              <w:t xml:space="preserve"> </w:t>
            </w:r>
            <w:r>
              <w:rPr>
                <w:rFonts w:eastAsia="Times New Roman"/>
                <w:lang w:eastAsia="en-US"/>
              </w:rPr>
              <w:t xml:space="preserve">с</w:t>
            </w:r>
            <w:r>
              <w:rPr>
                <w:rFonts w:eastAsia="Times New Roman"/>
                <w:spacing w:val="12"/>
                <w:lang w:eastAsia="en-US"/>
              </w:rPr>
              <w:t xml:space="preserve"> </w:t>
            </w:r>
            <w:r>
              <w:rPr>
                <w:rFonts w:eastAsia="Times New Roman"/>
                <w:lang w:eastAsia="en-US"/>
              </w:rPr>
              <w:t xml:space="preserve">фик</w:t>
            </w:r>
            <w:r>
              <w:rPr>
                <w:rFonts w:eastAsia="Times New Roman"/>
                <w:lang w:eastAsia="en-US"/>
              </w:rPr>
              <w:t xml:space="preserve">сированным</w:t>
            </w:r>
            <w:r>
              <w:rPr>
                <w:rFonts w:eastAsia="Times New Roman"/>
                <w:spacing w:val="18"/>
                <w:lang w:eastAsia="en-US"/>
              </w:rPr>
              <w:t xml:space="preserve"> </w:t>
            </w:r>
            <w:r>
              <w:rPr>
                <w:rFonts w:eastAsia="Times New Roman"/>
                <w:lang w:eastAsia="en-US"/>
              </w:rPr>
              <w:t xml:space="preserve">набором</w:t>
            </w:r>
            <w:r>
              <w:rPr>
                <w:rFonts w:eastAsia="Times New Roman"/>
                <w:spacing w:val="19"/>
                <w:lang w:eastAsia="en-US"/>
              </w:rPr>
              <w:t xml:space="preserve"> </w:t>
            </w:r>
            <w:r>
              <w:rPr>
                <w:rFonts w:eastAsia="Times New Roman"/>
                <w:lang w:eastAsia="en-US"/>
              </w:rPr>
              <w:t xml:space="preserve">команд</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1.2.2</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6</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13</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представлять</w:t>
            </w:r>
            <w:r>
              <w:rPr>
                <w:rFonts w:eastAsia="Times New Roman"/>
                <w:spacing w:val="1"/>
                <w:lang w:eastAsia="en-US"/>
              </w:rPr>
              <w:t xml:space="preserve"> </w:t>
            </w:r>
            <w:r>
              <w:rPr>
                <w:rFonts w:eastAsia="Times New Roman"/>
                <w:lang w:eastAsia="en-US"/>
              </w:rPr>
              <w:t xml:space="preserve">и</w:t>
            </w:r>
            <w:r>
              <w:rPr>
                <w:rFonts w:eastAsia="Times New Roman"/>
                <w:spacing w:val="1"/>
                <w:lang w:eastAsia="en-US"/>
              </w:rPr>
              <w:t xml:space="preserve"> </w:t>
            </w:r>
            <w:r>
              <w:rPr>
                <w:rFonts w:eastAsia="Times New Roman"/>
                <w:lang w:eastAsia="en-US"/>
              </w:rPr>
              <w:t xml:space="preserve">считывать данные в разных типах информационных моделей (схемы,</w:t>
            </w:r>
            <w:r>
              <w:rPr>
                <w:rFonts w:eastAsia="Times New Roman"/>
                <w:spacing w:val="1"/>
                <w:lang w:eastAsia="en-US"/>
              </w:rPr>
              <w:t xml:space="preserve"> </w:t>
            </w:r>
            <w:r>
              <w:rPr>
                <w:rFonts w:eastAsia="Times New Roman"/>
                <w:lang w:eastAsia="en-US"/>
              </w:rPr>
              <w:t xml:space="preserve">карты,</w:t>
            </w:r>
            <w:r>
              <w:rPr>
                <w:rFonts w:eastAsia="Times New Roman"/>
                <w:spacing w:val="18"/>
                <w:lang w:eastAsia="en-US"/>
              </w:rPr>
              <w:t xml:space="preserve"> </w:t>
            </w:r>
            <w:r>
              <w:rPr>
                <w:rFonts w:eastAsia="Times New Roman"/>
                <w:lang w:eastAsia="en-US"/>
              </w:rPr>
              <w:t xml:space="preserve">таблицы,</w:t>
            </w:r>
            <w:r>
              <w:rPr>
                <w:rFonts w:eastAsia="Times New Roman"/>
                <w:spacing w:val="19"/>
                <w:lang w:eastAsia="en-US"/>
              </w:rPr>
              <w:t xml:space="preserve"> </w:t>
            </w:r>
            <w:r>
              <w:rPr>
                <w:rFonts w:eastAsia="Times New Roman"/>
                <w:lang w:eastAsia="en-US"/>
              </w:rPr>
              <w:t xml:space="preserve">графики</w:t>
            </w:r>
            <w:r>
              <w:rPr>
                <w:rFonts w:eastAsia="Times New Roman"/>
                <w:spacing w:val="18"/>
                <w:lang w:eastAsia="en-US"/>
              </w:rPr>
              <w:t xml:space="preserve"> </w:t>
            </w:r>
            <w:r>
              <w:rPr>
                <w:rFonts w:eastAsia="Times New Roman"/>
                <w:lang w:eastAsia="en-US"/>
              </w:rPr>
              <w:t xml:space="preserve">и</w:t>
            </w:r>
            <w:r>
              <w:rPr>
                <w:rFonts w:eastAsia="Times New Roman"/>
                <w:spacing w:val="19"/>
                <w:lang w:eastAsia="en-US"/>
              </w:rPr>
              <w:t xml:space="preserve"> </w:t>
            </w:r>
            <w:r>
              <w:rPr>
                <w:rFonts w:eastAsia="Times New Roman"/>
                <w:lang w:eastAsia="en-US"/>
              </w:rPr>
              <w:t xml:space="preserve">формулы)</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1.3.1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1.2.1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14</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29" w:firstLine="0"/>
              <w:widowControl w:val="off"/>
              <w:tabs>
                <w:tab w:val="clear" w:pos="708" w:leader="none"/>
                <w:tab w:val="left" w:pos="849" w:leader="none"/>
                <w:tab w:val="left" w:pos="2062" w:leader="none"/>
              </w:tabs>
            </w:pPr>
            <w:r>
              <w:rPr>
                <w:rFonts w:eastAsia="Times New Roman"/>
                <w:lang w:eastAsia="en-US"/>
              </w:rPr>
              <w:t xml:space="preserve">Знание</w:t>
              <w:tab/>
              <w:t xml:space="preserve">позиционных систем</w:t>
            </w:r>
            <w:r>
              <w:rPr>
                <w:rFonts w:eastAsia="Times New Roman"/>
                <w:lang w:eastAsia="en-US"/>
              </w:rPr>
              <w:t xml:space="preserve"> </w:t>
            </w:r>
            <w:r>
              <w:rPr>
                <w:rFonts w:eastAsia="Times New Roman"/>
                <w:lang w:eastAsia="en-US"/>
              </w:rPr>
              <w:t xml:space="preserve">счисления</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1.4.1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15</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29" w:firstLine="0"/>
              <w:widowControl w:val="off"/>
            </w:pPr>
            <w:r>
              <w:rPr>
                <w:rFonts w:eastAsia="Times New Roman"/>
                <w:lang w:eastAsia="en-US"/>
              </w:rPr>
              <w:t xml:space="preserve">Знание</w:t>
            </w:r>
            <w:r>
              <w:rPr>
                <w:rFonts w:eastAsia="Times New Roman"/>
                <w:spacing w:val="5"/>
                <w:lang w:eastAsia="en-US"/>
              </w:rPr>
              <w:t xml:space="preserve"> </w:t>
            </w:r>
            <w:r>
              <w:rPr>
                <w:rFonts w:eastAsia="Times New Roman"/>
                <w:lang w:eastAsia="en-US"/>
              </w:rPr>
              <w:t xml:space="preserve">основных</w:t>
            </w:r>
            <w:r>
              <w:rPr>
                <w:rFonts w:eastAsia="Times New Roman"/>
                <w:spacing w:val="6"/>
                <w:lang w:eastAsia="en-US"/>
              </w:rPr>
              <w:t xml:space="preserve"> </w:t>
            </w:r>
            <w:r>
              <w:rPr>
                <w:rFonts w:eastAsia="Times New Roman"/>
                <w:lang w:eastAsia="en-US"/>
              </w:rPr>
              <w:t xml:space="preserve">понятий</w:t>
            </w:r>
            <w:r>
              <w:rPr>
                <w:rFonts w:eastAsia="Times New Roman"/>
                <w:spacing w:val="6"/>
                <w:lang w:eastAsia="en-US"/>
              </w:rPr>
              <w:t xml:space="preserve"> </w:t>
            </w:r>
            <w:r>
              <w:rPr>
                <w:rFonts w:eastAsia="Times New Roman"/>
                <w:lang w:eastAsia="en-US"/>
              </w:rPr>
              <w:t xml:space="preserve">и</w:t>
            </w:r>
            <w:r>
              <w:rPr>
                <w:rFonts w:eastAsia="Times New Roman"/>
                <w:spacing w:val="6"/>
                <w:lang w:eastAsia="en-US"/>
              </w:rPr>
              <w:t xml:space="preserve"> </w:t>
            </w:r>
            <w:r>
              <w:rPr>
                <w:rFonts w:eastAsia="Times New Roman"/>
                <w:lang w:eastAsia="en-US"/>
              </w:rPr>
              <w:t xml:space="preserve">законов</w:t>
            </w:r>
            <w:r>
              <w:rPr>
                <w:rFonts w:eastAsia="Times New Roman"/>
                <w:spacing w:val="-11"/>
                <w:lang w:eastAsia="en-US"/>
              </w:rPr>
              <w:t xml:space="preserve"> </w:t>
            </w:r>
            <w:r>
              <w:rPr>
                <w:rFonts w:eastAsia="Times New Roman"/>
                <w:lang w:eastAsia="en-US"/>
              </w:rPr>
              <w:t xml:space="preserve">математической</w:t>
            </w:r>
            <w:r>
              <w:rPr>
                <w:rFonts w:eastAsia="Times New Roman"/>
                <w:spacing w:val="-10"/>
                <w:lang w:eastAsia="en-US"/>
              </w:rPr>
              <w:t xml:space="preserve"> </w:t>
            </w:r>
            <w:r>
              <w:rPr>
                <w:rFonts w:eastAsia="Times New Roman"/>
                <w:lang w:eastAsia="en-US"/>
              </w:rPr>
              <w:t xml:space="preserve">логики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1.1.7</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16</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29" w:firstLine="0"/>
              <w:widowControl w:val="off"/>
            </w:pPr>
            <w:r>
              <w:rPr>
                <w:rFonts w:eastAsia="Times New Roman"/>
                <w:lang w:eastAsia="en-US"/>
              </w:rPr>
              <w:t xml:space="preserve">Вычисление</w:t>
            </w:r>
            <w:r>
              <w:rPr>
                <w:rFonts w:eastAsia="Times New Roman"/>
                <w:spacing w:val="27"/>
                <w:lang w:eastAsia="en-US"/>
              </w:rPr>
              <w:t xml:space="preserve"> </w:t>
            </w:r>
            <w:r>
              <w:rPr>
                <w:rFonts w:eastAsia="Times New Roman"/>
                <w:lang w:eastAsia="en-US"/>
              </w:rPr>
              <w:t xml:space="preserve">рекуррентных</w:t>
            </w:r>
            <w:r>
              <w:rPr>
                <w:rFonts w:eastAsia="Times New Roman"/>
                <w:spacing w:val="27"/>
                <w:lang w:eastAsia="en-US"/>
              </w:rPr>
              <w:t xml:space="preserve"> </w:t>
            </w:r>
            <w:r>
              <w:rPr>
                <w:rFonts w:eastAsia="Times New Roman"/>
                <w:lang w:eastAsia="en-US"/>
              </w:rPr>
              <w:t xml:space="preserve">выражений</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5</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17</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4" w:firstLine="0"/>
              <w:widowControl w:val="off"/>
            </w:pPr>
            <w:r>
              <w:rPr>
                <w:rFonts w:eastAsia="Times New Roman"/>
                <w:lang w:eastAsia="en-US"/>
              </w:rPr>
              <w:t xml:space="preserve">Умение     составить     алгоритм</w:t>
            </w:r>
            <w:r>
              <w:rPr>
                <w:rFonts w:eastAsia="Times New Roman"/>
                <w:spacing w:val="1"/>
                <w:lang w:eastAsia="en-US"/>
              </w:rPr>
              <w:t xml:space="preserve"> </w:t>
            </w:r>
            <w:r>
              <w:rPr>
                <w:rFonts w:eastAsia="Times New Roman"/>
                <w:lang w:eastAsia="en-US"/>
              </w:rPr>
              <w:t xml:space="preserve">и записать</w:t>
            </w:r>
            <w:r>
              <w:rPr>
                <w:rFonts w:eastAsia="Times New Roman"/>
                <w:spacing w:val="1"/>
                <w:lang w:eastAsia="en-US"/>
              </w:rPr>
              <w:t xml:space="preserve"> </w:t>
            </w:r>
            <w:r>
              <w:rPr>
                <w:rFonts w:eastAsia="Times New Roman"/>
                <w:lang w:eastAsia="en-US"/>
              </w:rPr>
              <w:t xml:space="preserve">его</w:t>
            </w:r>
            <w:r>
              <w:rPr>
                <w:rFonts w:eastAsia="Times New Roman"/>
                <w:spacing w:val="1"/>
                <w:lang w:eastAsia="en-US"/>
              </w:rPr>
              <w:t xml:space="preserve"> </w:t>
            </w:r>
            <w:r>
              <w:rPr>
                <w:rFonts w:eastAsia="Times New Roman"/>
                <w:lang w:eastAsia="en-US"/>
              </w:rPr>
              <w:t xml:space="preserve">в</w:t>
            </w:r>
            <w:r>
              <w:rPr>
                <w:rFonts w:eastAsia="Times New Roman"/>
                <w:spacing w:val="1"/>
                <w:lang w:eastAsia="en-US"/>
              </w:rPr>
              <w:t xml:space="preserve"> </w:t>
            </w:r>
            <w:r>
              <w:rPr>
                <w:rFonts w:eastAsia="Times New Roman"/>
                <w:lang w:eastAsia="en-US"/>
              </w:rPr>
              <w:t xml:space="preserve">виде</w:t>
            </w:r>
            <w:r>
              <w:rPr>
                <w:rFonts w:eastAsia="Times New Roman"/>
                <w:spacing w:val="1"/>
                <w:lang w:eastAsia="en-US"/>
              </w:rPr>
              <w:t xml:space="preserve"> </w:t>
            </w:r>
            <w:r>
              <w:rPr>
                <w:rFonts w:eastAsia="Times New Roman"/>
                <w:lang w:eastAsia="en-US"/>
              </w:rPr>
              <w:t xml:space="preserve">простой</w:t>
            </w:r>
            <w:r>
              <w:rPr>
                <w:rFonts w:eastAsia="Times New Roman"/>
                <w:spacing w:val="1"/>
                <w:lang w:eastAsia="en-US"/>
              </w:rPr>
              <w:t xml:space="preserve"> </w:t>
            </w:r>
            <w:r>
              <w:rPr>
                <w:rFonts w:eastAsia="Times New Roman"/>
                <w:lang w:eastAsia="en-US"/>
              </w:rPr>
              <w:t xml:space="preserve">программы (10–15</w:t>
            </w:r>
            <w:r>
              <w:rPr>
                <w:rFonts w:eastAsia="Times New Roman"/>
                <w:spacing w:val="1"/>
                <w:lang w:eastAsia="en-US"/>
              </w:rPr>
              <w:t xml:space="preserve"> </w:t>
            </w:r>
            <w:r>
              <w:rPr>
                <w:rFonts w:eastAsia="Times New Roman"/>
                <w:lang w:eastAsia="en-US"/>
              </w:rPr>
              <w:t xml:space="preserve">строк) на</w:t>
            </w:r>
            <w:r>
              <w:rPr>
                <w:rFonts w:eastAsia="Times New Roman"/>
                <w:spacing w:val="1"/>
                <w:lang w:eastAsia="en-US"/>
              </w:rPr>
              <w:t xml:space="preserve"> </w:t>
            </w:r>
            <w:r>
              <w:rPr>
                <w:rFonts w:eastAsia="Times New Roman"/>
                <w:lang w:eastAsia="en-US"/>
              </w:rPr>
              <w:t xml:space="preserve">язы</w:t>
            </w:r>
            <w:r>
              <w:rPr>
                <w:rFonts w:eastAsia="Times New Roman"/>
                <w:lang w:eastAsia="en-US"/>
              </w:rPr>
              <w:t xml:space="preserve">ке</w:t>
            </w:r>
            <w:r>
              <w:rPr>
                <w:rFonts w:eastAsia="Times New Roman"/>
                <w:spacing w:val="15"/>
                <w:lang w:eastAsia="en-US"/>
              </w:rPr>
              <w:t xml:space="preserve"> </w:t>
            </w:r>
            <w:r>
              <w:rPr>
                <w:rFonts w:eastAsia="Times New Roman"/>
                <w:lang w:eastAsia="en-US"/>
              </w:rPr>
              <w:t xml:space="preserve">программирования</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1.7.2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1.1.5</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14</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18</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3"/>
                <w:lang w:eastAsia="en-US"/>
              </w:rPr>
              <w:t xml:space="preserve"> </w:t>
            </w:r>
            <w:r>
              <w:rPr>
                <w:rFonts w:eastAsia="Times New Roman"/>
                <w:lang w:eastAsia="en-US"/>
              </w:rPr>
              <w:t xml:space="preserve">использовать</w:t>
            </w:r>
            <w:r>
              <w:rPr>
                <w:rFonts w:eastAsia="Times New Roman"/>
                <w:spacing w:val="4"/>
                <w:lang w:eastAsia="en-US"/>
              </w:rPr>
              <w:t xml:space="preserve"> </w:t>
            </w:r>
            <w:r>
              <w:rPr>
                <w:rFonts w:eastAsia="Times New Roman"/>
                <w:lang w:eastAsia="en-US"/>
              </w:rPr>
              <w:t xml:space="preserve">электронные</w:t>
            </w:r>
            <w:r>
              <w:rPr>
                <w:rFonts w:eastAsia="Times New Roman"/>
                <w:spacing w:val="30"/>
                <w:lang w:eastAsia="en-US"/>
              </w:rPr>
              <w:t xml:space="preserve"> </w:t>
            </w:r>
            <w:r>
              <w:rPr>
                <w:rFonts w:eastAsia="Times New Roman"/>
                <w:lang w:eastAsia="en-US"/>
              </w:rPr>
              <w:t xml:space="preserve">таблицы</w:t>
            </w:r>
            <w:r>
              <w:rPr>
                <w:rFonts w:eastAsia="Times New Roman"/>
                <w:spacing w:val="29"/>
                <w:lang w:eastAsia="en-US"/>
              </w:rPr>
              <w:t xml:space="preserve"> </w:t>
            </w:r>
            <w:r>
              <w:rPr>
                <w:rFonts w:eastAsia="Times New Roman"/>
                <w:lang w:eastAsia="en-US"/>
              </w:rPr>
              <w:t xml:space="preserve">для</w:t>
            </w:r>
            <w:r>
              <w:rPr>
                <w:rFonts w:eastAsia="Times New Roman"/>
                <w:spacing w:val="29"/>
                <w:lang w:eastAsia="en-US"/>
              </w:rPr>
              <w:t xml:space="preserve"> </w:t>
            </w:r>
            <w:r>
              <w:rPr>
                <w:rFonts w:eastAsia="Times New Roman"/>
                <w:lang w:eastAsia="en-US"/>
              </w:rPr>
              <w:t xml:space="preserve">обработки</w:t>
            </w:r>
            <w:r>
              <w:rPr>
                <w:rFonts w:eastAsia="Times New Roman"/>
                <w:spacing w:val="29"/>
                <w:lang w:eastAsia="en-US"/>
              </w:rPr>
              <w:t xml:space="preserve"> </w:t>
            </w:r>
            <w:r>
              <w:rPr>
                <w:rFonts w:eastAsia="Times New Roman"/>
                <w:lang w:eastAsia="en-US"/>
              </w:rPr>
              <w:t xml:space="preserve">це</w:t>
            </w:r>
            <w:r>
              <w:rPr>
                <w:rFonts w:eastAsia="Times New Roman"/>
                <w:spacing w:val="-1"/>
                <w:lang w:eastAsia="en-US"/>
              </w:rPr>
              <w:t xml:space="preserve">лочисленных</w:t>
            </w:r>
            <w:r>
              <w:rPr>
                <w:rFonts w:eastAsia="Times New Roman"/>
                <w:spacing w:val="-7"/>
                <w:lang w:eastAsia="en-US"/>
              </w:rPr>
              <w:t xml:space="preserve"> </w:t>
            </w:r>
            <w:r>
              <w:rPr>
                <w:rFonts w:eastAsia="Times New Roman"/>
                <w:lang w:eastAsia="en-US"/>
              </w:rPr>
              <w:t xml:space="preserve">данных</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3.4.3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1.1.1</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6</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19</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25"/>
                <w:lang w:eastAsia="en-US"/>
              </w:rPr>
              <w:t xml:space="preserve"> </w:t>
            </w:r>
            <w:r>
              <w:rPr>
                <w:rFonts w:eastAsia="Times New Roman"/>
                <w:lang w:eastAsia="en-US"/>
              </w:rPr>
              <w:t xml:space="preserve">анализировать</w:t>
            </w:r>
            <w:r>
              <w:rPr>
                <w:rFonts w:eastAsia="Times New Roman"/>
                <w:spacing w:val="24"/>
                <w:lang w:eastAsia="en-US"/>
              </w:rPr>
              <w:t xml:space="preserve"> </w:t>
            </w:r>
            <w:r>
              <w:rPr>
                <w:rFonts w:eastAsia="Times New Roman"/>
                <w:lang w:eastAsia="en-US"/>
              </w:rPr>
              <w:t xml:space="preserve">алгоритм</w:t>
            </w:r>
            <w:r/>
          </w:p>
          <w:p>
            <w:pPr>
              <w:pStyle w:val="940"/>
              <w:widowControl w:val="off"/>
            </w:pPr>
            <w:r>
              <w:rPr>
                <w:rFonts w:eastAsia="Times New Roman"/>
                <w:spacing w:val="-1"/>
                <w:lang w:eastAsia="en-US"/>
              </w:rPr>
              <w:t xml:space="preserve">логической</w:t>
            </w:r>
            <w:r>
              <w:rPr>
                <w:rFonts w:eastAsia="Times New Roman"/>
                <w:spacing w:val="-7"/>
                <w:lang w:eastAsia="en-US"/>
              </w:rPr>
              <w:t xml:space="preserve"> </w:t>
            </w:r>
            <w:r>
              <w:rPr>
                <w:rFonts w:eastAsia="Times New Roman"/>
                <w:lang w:eastAsia="en-US"/>
              </w:rPr>
              <w:t xml:space="preserve">игры</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4</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20</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tabs>
                <w:tab w:val="clear" w:pos="708" w:leader="none"/>
                <w:tab w:val="left" w:pos="854" w:leader="none"/>
                <w:tab w:val="left" w:pos="1503" w:leader="none"/>
              </w:tabs>
              <w:rPr>
                <w:rFonts w:eastAsia="Times New Roman"/>
                <w:lang w:eastAsia="en-US"/>
              </w:rPr>
            </w:pPr>
            <w:r>
              <w:rPr>
                <w:rFonts w:eastAsia="Times New Roman"/>
                <w:lang w:eastAsia="en-US"/>
              </w:rPr>
              <w:t xml:space="preserve">Умение</w:t>
              <w:tab/>
              <w:t xml:space="preserve">найти выигрышную</w:t>
            </w:r>
            <w:r/>
          </w:p>
          <w:p>
            <w:pPr>
              <w:pStyle w:val="940"/>
              <w:widowControl w:val="off"/>
            </w:pPr>
            <w:r>
              <w:rPr>
                <w:rFonts w:eastAsia="Times New Roman"/>
                <w:lang w:eastAsia="en-US"/>
              </w:rPr>
              <w:t xml:space="preserve">стратегию</w:t>
            </w:r>
            <w:r>
              <w:rPr>
                <w:rFonts w:eastAsia="Times New Roman"/>
                <w:spacing w:val="-10"/>
                <w:lang w:eastAsia="en-US"/>
              </w:rPr>
              <w:t xml:space="preserve"> </w:t>
            </w:r>
            <w:r>
              <w:rPr>
                <w:rFonts w:eastAsia="Times New Roman"/>
                <w:lang w:eastAsia="en-US"/>
              </w:rPr>
              <w:t xml:space="preserve">игры</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6</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21</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3"/>
                <w:lang w:eastAsia="en-US"/>
              </w:rPr>
              <w:t xml:space="preserve"> </w:t>
            </w:r>
            <w:r>
              <w:rPr>
                <w:rFonts w:eastAsia="Times New Roman"/>
                <w:lang w:eastAsia="en-US"/>
              </w:rPr>
              <w:t xml:space="preserve">построить</w:t>
            </w:r>
            <w:r>
              <w:rPr>
                <w:rFonts w:eastAsia="Times New Roman"/>
                <w:spacing w:val="4"/>
                <w:lang w:eastAsia="en-US"/>
              </w:rPr>
              <w:t xml:space="preserve"> </w:t>
            </w:r>
            <w:r>
              <w:rPr>
                <w:rFonts w:eastAsia="Times New Roman"/>
                <w:lang w:eastAsia="en-US"/>
              </w:rPr>
              <w:t xml:space="preserve">дерево</w:t>
            </w:r>
            <w:r>
              <w:rPr>
                <w:rFonts w:eastAsia="Times New Roman"/>
                <w:spacing w:val="4"/>
                <w:lang w:eastAsia="en-US"/>
              </w:rPr>
              <w:t xml:space="preserve"> </w:t>
            </w:r>
            <w:r>
              <w:rPr>
                <w:rFonts w:eastAsia="Times New Roman"/>
                <w:lang w:eastAsia="en-US"/>
              </w:rPr>
              <w:t xml:space="preserve">игры</w:t>
            </w:r>
            <w:r>
              <w:rPr>
                <w:rFonts w:eastAsia="Times New Roman"/>
                <w:spacing w:val="-39"/>
                <w:lang w:eastAsia="en-US"/>
              </w:rPr>
              <w:t xml:space="preserve"> </w:t>
            </w:r>
            <w:r>
              <w:rPr>
                <w:rFonts w:eastAsia="Times New Roman"/>
                <w:lang w:eastAsia="en-US"/>
              </w:rPr>
              <w:t xml:space="preserve">по</w:t>
            </w:r>
            <w:r>
              <w:rPr>
                <w:rFonts w:eastAsia="Times New Roman"/>
                <w:spacing w:val="5"/>
                <w:lang w:eastAsia="en-US"/>
              </w:rPr>
              <w:t xml:space="preserve"> </w:t>
            </w:r>
            <w:r>
              <w:rPr>
                <w:rFonts w:eastAsia="Times New Roman"/>
                <w:lang w:eastAsia="en-US"/>
              </w:rPr>
              <w:t xml:space="preserve">заданному</w:t>
            </w:r>
            <w:r>
              <w:rPr>
                <w:rFonts w:eastAsia="Times New Roman"/>
                <w:spacing w:val="6"/>
                <w:lang w:eastAsia="en-US"/>
              </w:rPr>
              <w:t xml:space="preserve"> </w:t>
            </w:r>
            <w:r>
              <w:rPr>
                <w:rFonts w:eastAsia="Times New Roman"/>
                <w:lang w:eastAsia="en-US"/>
              </w:rPr>
              <w:t xml:space="preserve">алгоритму</w:t>
            </w:r>
            <w:r>
              <w:rPr>
                <w:rFonts w:eastAsia="Times New Roman"/>
                <w:spacing w:val="7"/>
                <w:lang w:eastAsia="en-US"/>
              </w:rPr>
              <w:t xml:space="preserve"> </w:t>
            </w:r>
            <w:r>
              <w:rPr>
                <w:rFonts w:eastAsia="Times New Roman"/>
                <w:lang w:eastAsia="en-US"/>
              </w:rPr>
              <w:t xml:space="preserve">и</w:t>
            </w:r>
            <w:r>
              <w:rPr>
                <w:rFonts w:eastAsia="Times New Roman"/>
                <w:spacing w:val="5"/>
                <w:lang w:eastAsia="en-US"/>
              </w:rPr>
              <w:t xml:space="preserve"> </w:t>
            </w:r>
            <w:r>
              <w:rPr>
                <w:rFonts w:eastAsia="Times New Roman"/>
                <w:lang w:eastAsia="en-US"/>
              </w:rPr>
              <w:t xml:space="preserve">найти</w:t>
            </w:r>
            <w:r/>
          </w:p>
          <w:p>
            <w:pPr>
              <w:pStyle w:val="940"/>
              <w:widowControl w:val="off"/>
            </w:pPr>
            <w:r>
              <w:rPr>
                <w:rFonts w:eastAsia="Times New Roman"/>
                <w:lang w:eastAsia="en-US"/>
              </w:rPr>
              <w:t xml:space="preserve">выигрышную</w:t>
            </w:r>
            <w:r>
              <w:rPr>
                <w:rFonts w:eastAsia="Times New Roman"/>
                <w:spacing w:val="22"/>
                <w:lang w:eastAsia="en-US"/>
              </w:rPr>
              <w:t xml:space="preserve"> </w:t>
            </w:r>
            <w:r>
              <w:rPr>
                <w:rFonts w:eastAsia="Times New Roman"/>
                <w:lang w:eastAsia="en-US"/>
              </w:rPr>
              <w:t xml:space="preserve">стратегию</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10</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22</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анализировать</w:t>
            </w:r>
            <w:r>
              <w:rPr>
                <w:rFonts w:eastAsia="Times New Roman"/>
                <w:spacing w:val="2"/>
                <w:lang w:eastAsia="en-US"/>
              </w:rPr>
              <w:t xml:space="preserve"> </w:t>
            </w:r>
            <w:r>
              <w:rPr>
                <w:rFonts w:eastAsia="Times New Roman"/>
                <w:lang w:eastAsia="en-US"/>
              </w:rPr>
              <w:t xml:space="preserve">алгоритм,</w:t>
            </w:r>
            <w:r/>
          </w:p>
          <w:p>
            <w:pPr>
              <w:pStyle w:val="940"/>
              <w:widowControl w:val="off"/>
            </w:pPr>
            <w:r>
              <w:rPr>
                <w:rFonts w:eastAsia="Times New Roman"/>
                <w:spacing w:val="-1"/>
                <w:lang w:eastAsia="en-US"/>
              </w:rPr>
              <w:t xml:space="preserve">содержащий</w:t>
            </w:r>
            <w:r>
              <w:rPr>
                <w:rFonts w:eastAsia="Times New Roman"/>
                <w:spacing w:val="-9"/>
                <w:lang w:eastAsia="en-US"/>
              </w:rPr>
              <w:t xml:space="preserve"> </w:t>
            </w:r>
            <w:r>
              <w:rPr>
                <w:rFonts w:eastAsia="Times New Roman"/>
                <w:lang w:eastAsia="en-US"/>
              </w:rPr>
              <w:t xml:space="preserve">ветвление</w:t>
            </w:r>
            <w:r>
              <w:rPr>
                <w:rFonts w:eastAsia="Times New Roman"/>
                <w:spacing w:val="-9"/>
                <w:lang w:eastAsia="en-US"/>
              </w:rPr>
              <w:t xml:space="preserve"> </w:t>
            </w:r>
            <w:r>
              <w:rPr>
                <w:rFonts w:eastAsia="Times New Roman"/>
                <w:lang w:eastAsia="en-US"/>
              </w:rPr>
              <w:t xml:space="preserve">и</w:t>
            </w:r>
            <w:r>
              <w:rPr>
                <w:rFonts w:eastAsia="Times New Roman"/>
                <w:spacing w:val="-8"/>
                <w:lang w:eastAsia="en-US"/>
              </w:rPr>
              <w:t xml:space="preserve"> </w:t>
            </w:r>
            <w:r>
              <w:rPr>
                <w:rFonts w:eastAsia="Times New Roman"/>
                <w:lang w:eastAsia="en-US"/>
              </w:rPr>
              <w:t xml:space="preserve">цикл</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1.6.1</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1.1.4</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7</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23</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14"/>
                <w:lang w:eastAsia="en-US"/>
              </w:rPr>
              <w:t xml:space="preserve"> </w:t>
            </w:r>
            <w:r>
              <w:rPr>
                <w:rFonts w:eastAsia="Times New Roman"/>
                <w:lang w:eastAsia="en-US"/>
              </w:rPr>
              <w:t xml:space="preserve">анализировать</w:t>
            </w:r>
            <w:r>
              <w:rPr>
                <w:rFonts w:eastAsia="Times New Roman"/>
                <w:spacing w:val="15"/>
                <w:lang w:eastAsia="en-US"/>
              </w:rPr>
              <w:t xml:space="preserve"> </w:t>
            </w:r>
            <w:r>
              <w:rPr>
                <w:rFonts w:eastAsia="Times New Roman"/>
                <w:lang w:eastAsia="en-US"/>
              </w:rPr>
              <w:t xml:space="preserve">результат</w:t>
            </w:r>
            <w:r/>
          </w:p>
          <w:p>
            <w:pPr>
              <w:pStyle w:val="940"/>
              <w:widowControl w:val="off"/>
            </w:pPr>
            <w:r>
              <w:rPr>
                <w:rFonts w:eastAsia="Times New Roman"/>
                <w:lang w:eastAsia="en-US"/>
              </w:rPr>
              <w:t xml:space="preserve">исполнения</w:t>
            </w:r>
            <w:r>
              <w:rPr>
                <w:rFonts w:eastAsia="Times New Roman"/>
                <w:spacing w:val="22"/>
                <w:lang w:eastAsia="en-US"/>
              </w:rPr>
              <w:t xml:space="preserve"> </w:t>
            </w:r>
            <w:r>
              <w:rPr>
                <w:rFonts w:eastAsia="Times New Roman"/>
                <w:lang w:eastAsia="en-US"/>
              </w:rPr>
              <w:t xml:space="preserve">алгоритма</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нет</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8</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24</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 </w:t>
            </w:r>
            <w:r>
              <w:rPr>
                <w:rFonts w:eastAsia="Times New Roman"/>
                <w:spacing w:val="32"/>
                <w:lang w:eastAsia="en-US"/>
              </w:rPr>
              <w:t xml:space="preserve">создавать</w:t>
            </w:r>
            <w:r>
              <w:rPr>
                <w:rFonts w:eastAsia="Times New Roman"/>
                <w:lang w:eastAsia="en-US"/>
              </w:rPr>
              <w:t xml:space="preserve"> </w:t>
            </w:r>
            <w:r>
              <w:rPr>
                <w:rFonts w:eastAsia="Times New Roman"/>
                <w:spacing w:val="33"/>
                <w:lang w:eastAsia="en-US"/>
              </w:rPr>
              <w:t xml:space="preserve">собственные</w:t>
            </w:r>
            <w:r/>
          </w:p>
          <w:p>
            <w:pPr>
              <w:pStyle w:val="940"/>
              <w:ind w:right="60" w:firstLine="0"/>
              <w:widowControl w:val="off"/>
            </w:pPr>
            <w:r>
              <w:rPr>
                <w:rFonts w:eastAsia="Times New Roman"/>
                <w:lang w:eastAsia="en-US"/>
              </w:rPr>
              <w:t xml:space="preserve">программы (10–20 строк) для об</w:t>
            </w:r>
            <w:r>
              <w:rPr>
                <w:rFonts w:eastAsia="Times New Roman"/>
                <w:lang w:eastAsia="en-US"/>
              </w:rPr>
              <w:t xml:space="preserve">работки</w:t>
            </w:r>
            <w:r>
              <w:rPr>
                <w:rFonts w:eastAsia="Times New Roman"/>
                <w:spacing w:val="36"/>
                <w:lang w:eastAsia="en-US"/>
              </w:rPr>
              <w:t xml:space="preserve"> </w:t>
            </w:r>
            <w:r>
              <w:rPr>
                <w:rFonts w:eastAsia="Times New Roman"/>
                <w:lang w:eastAsia="en-US"/>
              </w:rPr>
              <w:t xml:space="preserve">символьной</w:t>
            </w:r>
            <w:r>
              <w:rPr>
                <w:rFonts w:eastAsia="Times New Roman"/>
                <w:spacing w:val="37"/>
                <w:lang w:eastAsia="en-US"/>
              </w:rPr>
              <w:t xml:space="preserve"> </w:t>
            </w: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1.5.2</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18</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25</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создавать</w:t>
            </w:r>
            <w:r>
              <w:rPr>
                <w:rFonts w:eastAsia="Times New Roman"/>
                <w:spacing w:val="1"/>
                <w:lang w:eastAsia="en-US"/>
              </w:rPr>
              <w:t xml:space="preserve"> </w:t>
            </w:r>
            <w:r>
              <w:rPr>
                <w:rFonts w:eastAsia="Times New Roman"/>
                <w:lang w:eastAsia="en-US"/>
              </w:rPr>
              <w:t xml:space="preserve">собственные</w:t>
            </w:r>
            <w:r>
              <w:rPr>
                <w:rFonts w:eastAsia="Times New Roman"/>
                <w:spacing w:val="1"/>
                <w:lang w:eastAsia="en-US"/>
              </w:rPr>
              <w:t xml:space="preserve"> </w:t>
            </w:r>
            <w:r>
              <w:rPr>
                <w:rFonts w:eastAsia="Times New Roman"/>
                <w:lang w:eastAsia="en-US"/>
              </w:rPr>
              <w:t xml:space="preserve">программы (10–20 строк) для обработки</w:t>
            </w:r>
            <w:r>
              <w:rPr>
                <w:rFonts w:eastAsia="Times New Roman"/>
                <w:spacing w:val="20"/>
                <w:lang w:eastAsia="en-US"/>
              </w:rPr>
              <w:t xml:space="preserve"> </w:t>
            </w:r>
            <w:r>
              <w:rPr>
                <w:rFonts w:eastAsia="Times New Roman"/>
                <w:lang w:eastAsia="en-US"/>
              </w:rPr>
              <w:t xml:space="preserve">целочисленной</w:t>
            </w:r>
            <w:r>
              <w:rPr>
                <w:rFonts w:eastAsia="Times New Roman"/>
                <w:spacing w:val="20"/>
                <w:lang w:eastAsia="en-US"/>
              </w:rPr>
              <w:t xml:space="preserve"> </w:t>
            </w:r>
            <w:r>
              <w:rPr>
                <w:rFonts w:eastAsia="Times New Roman"/>
                <w:lang w:eastAsia="en-US"/>
              </w:rPr>
              <w:t xml:space="preserve">информации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1.1.5</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20</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26</w:t>
            </w:r>
            <w:r/>
          </w:p>
        </w:tc>
        <w:tc>
          <w:tcPr>
            <w:tcBorders>
              <w:top w:val="single" w:color="000000" w:sz="4" w:space="0"/>
              <w:left w:val="single" w:color="000000" w:sz="4" w:space="0"/>
              <w:bottom w:val="single" w:color="000000" w:sz="4" w:space="0"/>
            </w:tcBorders>
            <w:tcW w:w="3746" w:type="dxa"/>
            <w:textDirection w:val="lrTb"/>
            <w:noWrap w:val="false"/>
          </w:tcPr>
          <w:p>
            <w:pPr>
              <w:pStyle w:val="940"/>
              <w:widowControl w:val="off"/>
            </w:pPr>
            <w:r>
              <w:rPr>
                <w:rFonts w:eastAsia="Times New Roman"/>
                <w:lang w:eastAsia="en-US"/>
              </w:rPr>
              <w:t xml:space="preserve">Умение</w:t>
            </w:r>
            <w:r>
              <w:rPr>
                <w:rFonts w:eastAsia="Times New Roman"/>
                <w:spacing w:val="26"/>
                <w:lang w:eastAsia="en-US"/>
              </w:rPr>
              <w:t xml:space="preserve"> </w:t>
            </w:r>
            <w:r>
              <w:rPr>
                <w:rFonts w:eastAsia="Times New Roman"/>
                <w:lang w:eastAsia="en-US"/>
              </w:rPr>
              <w:t xml:space="preserve">обрабатывать </w:t>
            </w:r>
            <w:r>
              <w:rPr>
                <w:rFonts w:eastAsia="Times New Roman"/>
                <w:spacing w:val="26"/>
                <w:lang w:eastAsia="en-US"/>
              </w:rPr>
              <w:t xml:space="preserve"> </w:t>
            </w:r>
            <w:r>
              <w:rPr>
                <w:rFonts w:eastAsia="Times New Roman"/>
                <w:lang w:eastAsia="en-US"/>
              </w:rPr>
              <w:t xml:space="preserve">целочисленную</w:t>
            </w:r>
            <w:r>
              <w:rPr>
                <w:rFonts w:eastAsia="Times New Roman"/>
                <w:spacing w:val="-4"/>
                <w:lang w:eastAsia="en-US"/>
              </w:rPr>
              <w:t xml:space="preserve"> </w:t>
            </w:r>
            <w:r>
              <w:rPr>
                <w:rFonts w:eastAsia="Times New Roman"/>
                <w:lang w:eastAsia="en-US"/>
              </w:rPr>
              <w:t xml:space="preserve">информацию</w:t>
            </w:r>
            <w:r>
              <w:rPr>
                <w:rFonts w:eastAsia="Times New Roman"/>
                <w:spacing w:val="-4"/>
                <w:lang w:eastAsia="en-US"/>
              </w:rPr>
              <w:t xml:space="preserve"> </w:t>
            </w:r>
            <w:r>
              <w:rPr>
                <w:rFonts w:eastAsia="Times New Roman"/>
                <w:lang w:eastAsia="en-US"/>
              </w:rPr>
              <w:t xml:space="preserve">с</w:t>
            </w:r>
            <w:r>
              <w:rPr>
                <w:rFonts w:eastAsia="Times New Roman"/>
                <w:spacing w:val="-2"/>
                <w:lang w:eastAsia="en-US"/>
              </w:rPr>
              <w:t xml:space="preserve"> </w:t>
            </w:r>
            <w:r>
              <w:rPr>
                <w:rFonts w:eastAsia="Times New Roman"/>
                <w:lang w:eastAsia="en-US"/>
              </w:rPr>
              <w:t xml:space="preserve">использованием</w:t>
            </w:r>
            <w:r>
              <w:rPr>
                <w:rFonts w:eastAsia="Times New Roman"/>
                <w:spacing w:val="-3"/>
                <w:lang w:eastAsia="en-US"/>
              </w:rPr>
              <w:t xml:space="preserve"> </w:t>
            </w:r>
            <w:r>
              <w:rPr>
                <w:rFonts w:eastAsia="Times New Roman"/>
                <w:lang w:eastAsia="en-US"/>
              </w:rPr>
              <w:t xml:space="preserve">сортировки</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1.5.6</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1.1.3</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35</w:t>
            </w:r>
            <w:r/>
          </w:p>
        </w:tc>
      </w:tr>
      <w:tr>
        <w:trPr>
          <w:trHeight w:val="377"/>
        </w:trPr>
        <w:tc>
          <w:tcPr>
            <w:tcBorders>
              <w:top w:val="single" w:color="000000" w:sz="4" w:space="0"/>
              <w:left w:val="single" w:color="000000" w:sz="4" w:space="0"/>
              <w:bottom w:val="single" w:color="000000" w:sz="4" w:space="0"/>
            </w:tcBorders>
            <w:tcW w:w="671" w:type="dxa"/>
            <w:textDirection w:val="lrTb"/>
            <w:noWrap w:val="false"/>
          </w:tcPr>
          <w:p>
            <w:pPr>
              <w:pStyle w:val="940"/>
              <w:ind w:right="102" w:firstLine="0"/>
              <w:jc w:val="right"/>
              <w:spacing w:before="1" w:after="0"/>
              <w:widowControl w:val="off"/>
              <w:rPr>
                <w:rFonts w:eastAsia="Times New Roman"/>
                <w:lang w:eastAsia="en-US"/>
              </w:rPr>
            </w:pPr>
            <w:r>
              <w:rPr>
                <w:rFonts w:eastAsia="Times New Roman"/>
                <w:lang w:eastAsia="en-US"/>
              </w:rPr>
              <w:t xml:space="preserve">27</w:t>
            </w:r>
            <w:r/>
          </w:p>
        </w:tc>
        <w:tc>
          <w:tcPr>
            <w:tcBorders>
              <w:top w:val="single" w:color="000000" w:sz="4" w:space="0"/>
              <w:left w:val="single" w:color="000000" w:sz="4" w:space="0"/>
              <w:bottom w:val="single" w:color="000000" w:sz="4" w:space="0"/>
            </w:tcBorders>
            <w:tcW w:w="3746"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создавать</w:t>
            </w:r>
            <w:r>
              <w:rPr>
                <w:rFonts w:eastAsia="Times New Roman"/>
                <w:spacing w:val="1"/>
                <w:lang w:eastAsia="en-US"/>
              </w:rPr>
              <w:t xml:space="preserve"> </w:t>
            </w:r>
            <w:r>
              <w:rPr>
                <w:rFonts w:eastAsia="Times New Roman"/>
                <w:lang w:eastAsia="en-US"/>
              </w:rPr>
              <w:t xml:space="preserve">собственные</w:t>
            </w:r>
            <w:r>
              <w:rPr>
                <w:rFonts w:eastAsia="Times New Roman"/>
                <w:spacing w:val="1"/>
                <w:lang w:eastAsia="en-US"/>
              </w:rPr>
              <w:t xml:space="preserve"> </w:t>
            </w:r>
            <w:r>
              <w:rPr>
                <w:rFonts w:eastAsia="Times New Roman"/>
                <w:lang w:eastAsia="en-US"/>
              </w:rPr>
              <w:t xml:space="preserve">программы</w:t>
            </w:r>
            <w:r>
              <w:rPr>
                <w:rFonts w:eastAsia="Times New Roman"/>
                <w:spacing w:val="1"/>
                <w:lang w:eastAsia="en-US"/>
              </w:rPr>
              <w:t xml:space="preserve"> </w:t>
            </w:r>
            <w:r>
              <w:rPr>
                <w:rFonts w:eastAsia="Times New Roman"/>
                <w:lang w:eastAsia="en-US"/>
              </w:rPr>
              <w:t xml:space="preserve">(20–40</w:t>
            </w:r>
            <w:r>
              <w:rPr>
                <w:rFonts w:eastAsia="Times New Roman"/>
                <w:spacing w:val="1"/>
                <w:lang w:eastAsia="en-US"/>
              </w:rPr>
              <w:t xml:space="preserve"> </w:t>
            </w:r>
            <w:r>
              <w:rPr>
                <w:rFonts w:eastAsia="Times New Roman"/>
                <w:lang w:eastAsia="en-US"/>
              </w:rPr>
              <w:t xml:space="preserve">строк)</w:t>
            </w:r>
            <w:r>
              <w:rPr>
                <w:rFonts w:eastAsia="Times New Roman"/>
                <w:spacing w:val="1"/>
                <w:lang w:eastAsia="en-US"/>
              </w:rPr>
              <w:t xml:space="preserve"> </w:t>
            </w:r>
            <w:r>
              <w:rPr>
                <w:rFonts w:eastAsia="Times New Roman"/>
                <w:lang w:eastAsia="en-US"/>
              </w:rPr>
              <w:t xml:space="preserve">для</w:t>
            </w:r>
            <w:r>
              <w:rPr>
                <w:rFonts w:eastAsia="Times New Roman"/>
                <w:spacing w:val="-39"/>
                <w:lang w:eastAsia="en-US"/>
              </w:rPr>
              <w:t xml:space="preserve"> </w:t>
            </w:r>
            <w:r>
              <w:rPr>
                <w:rFonts w:eastAsia="Times New Roman"/>
                <w:lang w:eastAsia="en-US"/>
              </w:rPr>
              <w:t xml:space="preserve">анализа</w:t>
            </w:r>
            <w:r>
              <w:rPr>
                <w:rFonts w:eastAsia="Times New Roman"/>
                <w:spacing w:val="9"/>
                <w:lang w:eastAsia="en-US"/>
              </w:rPr>
              <w:t xml:space="preserve"> </w:t>
            </w:r>
            <w:r>
              <w:rPr>
                <w:rFonts w:eastAsia="Times New Roman"/>
                <w:lang w:eastAsia="en-US"/>
              </w:rPr>
              <w:t xml:space="preserve">числовых</w:t>
            </w:r>
            <w:r>
              <w:rPr>
                <w:rFonts w:eastAsia="Times New Roman"/>
                <w:spacing w:val="10"/>
                <w:lang w:eastAsia="en-US"/>
              </w:rPr>
              <w:t xml:space="preserve"> </w:t>
            </w:r>
            <w:r>
              <w:rPr>
                <w:rFonts w:eastAsia="Times New Roman"/>
                <w:lang w:eastAsia="en-US"/>
              </w:rPr>
              <w:t xml:space="preserve">последовательностей</w:t>
            </w:r>
            <w:r/>
          </w:p>
        </w:tc>
        <w:tc>
          <w:tcPr>
            <w:tcBorders>
              <w:top w:val="single" w:color="000000" w:sz="4" w:space="0"/>
              <w:left w:val="single" w:color="000000" w:sz="4" w:space="0"/>
              <w:bottom w:val="single" w:color="000000" w:sz="4" w:space="0"/>
            </w:tcBorders>
            <w:tcW w:w="937" w:type="dxa"/>
            <w:vAlign w:val="center"/>
            <w:textDirection w:val="lrTb"/>
            <w:noWrap w:val="false"/>
          </w:tcPr>
          <w:p>
            <w:pPr>
              <w:pStyle w:val="940"/>
              <w:ind w:right="45" w:firstLine="0"/>
              <w:jc w:val="center"/>
              <w:spacing w:before="1" w:after="0"/>
              <w:widowControl w:val="off"/>
              <w:rPr>
                <w:rFonts w:eastAsia="Times New Roman"/>
                <w:lang w:eastAsia="en-US"/>
              </w:rPr>
            </w:pPr>
            <w:r>
              <w:rPr>
                <w:rFonts w:eastAsia="Times New Roman"/>
                <w:lang w:eastAsia="en-US"/>
              </w:rPr>
              <w:t xml:space="preserve">1.6.3</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ind w:right="50" w:firstLine="0"/>
              <w:jc w:val="center"/>
              <w:spacing w:before="1" w:after="0"/>
              <w:widowControl w:val="off"/>
              <w:rPr>
                <w:rFonts w:eastAsia="Times New Roman"/>
                <w:lang w:eastAsia="en-US"/>
              </w:rPr>
            </w:pPr>
            <w:r>
              <w:rPr>
                <w:rFonts w:eastAsia="Times New Roman"/>
                <w:lang w:eastAsia="en-US"/>
              </w:rPr>
              <w:t xml:space="preserve">1.1.5</w:t>
            </w:r>
            <w:r/>
          </w:p>
        </w:tc>
        <w:tc>
          <w:tcPr>
            <w:tcBorders>
              <w:top w:val="single" w:color="000000" w:sz="4" w:space="0"/>
              <w:left w:val="single" w:color="000000" w:sz="4" w:space="0"/>
              <w:bottom w:val="single" w:color="000000" w:sz="4" w:space="0"/>
            </w:tcBorders>
            <w:tcW w:w="804"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top w:val="single" w:color="000000" w:sz="4" w:space="0"/>
              <w:left w:val="single" w:color="000000" w:sz="4" w:space="0"/>
              <w:bottom w:val="single" w:color="000000" w:sz="4" w:space="0"/>
            </w:tcBorders>
            <w:tcW w:w="803" w:type="dxa"/>
            <w:vAlign w:val="center"/>
            <w:textDirection w:val="lrTb"/>
            <w:noWrap w:val="false"/>
          </w:tcPr>
          <w:p>
            <w:pPr>
              <w:pStyle w:val="940"/>
              <w:spacing w:before="1" w:after="0"/>
              <w:widowControl w:val="off"/>
              <w:rPr>
                <w:rFonts w:eastAsia="Times New Roman"/>
                <w:lang w:eastAsia="en-US"/>
              </w:rPr>
            </w:pPr>
            <w:r>
              <w:rPr>
                <w:rFonts w:eastAsia="Times New Roman"/>
                <w:lang w:eastAsia="en-US"/>
              </w:rPr>
              <w:t xml:space="preserve">да</w:t>
            </w:r>
            <w:r/>
          </w:p>
        </w:tc>
        <w:tc>
          <w:tcPr>
            <w:tcBorders>
              <w:top w:val="single" w:color="000000" w:sz="4" w:space="0"/>
              <w:left w:val="single" w:color="000000" w:sz="4" w:space="0"/>
              <w:bottom w:val="single" w:color="000000" w:sz="4" w:space="0"/>
            </w:tcBorders>
            <w:tcW w:w="670"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2</w:t>
            </w:r>
            <w:r/>
          </w:p>
        </w:tc>
        <w:tc>
          <w:tcPr>
            <w:tcBorders>
              <w:top w:val="single" w:color="000000" w:sz="4" w:space="0"/>
              <w:left w:val="single" w:color="000000" w:sz="4" w:space="0"/>
              <w:bottom w:val="single" w:color="000000" w:sz="4" w:space="0"/>
              <w:right w:val="single" w:color="000000" w:sz="4" w:space="0"/>
            </w:tcBorders>
            <w:tcW w:w="1225"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35</w:t>
            </w:r>
            <w:r/>
          </w:p>
        </w:tc>
      </w:tr>
    </w:tbl>
    <w:p>
      <w:pPr>
        <w:pStyle w:val="940"/>
        <w:jc w:val="both"/>
        <w:widowControl w:val="off"/>
        <w:rPr>
          <w:rFonts w:eastAsia="Times New Roman"/>
          <w:lang w:eastAsia="en-US"/>
        </w:rPr>
      </w:pPr>
      <w:r>
        <w:rPr>
          <w:rFonts w:eastAsia="Times New Roman"/>
          <w:lang w:eastAsia="en-US"/>
        </w:rPr>
      </w:r>
      <w:r/>
    </w:p>
    <w:p>
      <w:pPr>
        <w:pStyle w:val="940"/>
        <w:ind w:firstLine="708"/>
        <w:jc w:val="both"/>
        <w:widowControl w:val="off"/>
      </w:pPr>
      <w:r>
        <w:rPr>
          <w:rFonts w:eastAsia="Times New Roman"/>
          <w:lang w:eastAsia="en-US"/>
        </w:rPr>
        <w:t xml:space="preserve">Всего</w:t>
      </w:r>
      <w:r>
        <w:rPr>
          <w:rFonts w:eastAsia="Times New Roman"/>
          <w:spacing w:val="-6"/>
          <w:lang w:eastAsia="en-US"/>
        </w:rPr>
        <w:t xml:space="preserve"> </w:t>
      </w:r>
      <w:r>
        <w:rPr>
          <w:rFonts w:eastAsia="Times New Roman"/>
          <w:lang w:eastAsia="en-US"/>
        </w:rPr>
        <w:t xml:space="preserve">заданий</w:t>
      </w:r>
      <w:r>
        <w:rPr>
          <w:rFonts w:eastAsia="Times New Roman"/>
          <w:spacing w:val="-6"/>
          <w:lang w:eastAsia="en-US"/>
        </w:rPr>
        <w:t xml:space="preserve"> </w:t>
      </w:r>
      <w:r>
        <w:rPr>
          <w:rFonts w:eastAsia="Times New Roman"/>
          <w:lang w:eastAsia="en-US"/>
        </w:rPr>
        <w:t xml:space="preserve">–</w:t>
      </w:r>
      <w:r>
        <w:rPr>
          <w:rFonts w:eastAsia="Times New Roman"/>
          <w:spacing w:val="-6"/>
          <w:lang w:eastAsia="en-US"/>
        </w:rPr>
        <w:t xml:space="preserve"> </w:t>
      </w:r>
      <w:r>
        <w:rPr>
          <w:rFonts w:eastAsia="Times New Roman"/>
          <w:b/>
          <w:lang w:eastAsia="en-US"/>
        </w:rPr>
        <w:t xml:space="preserve">27</w:t>
      </w:r>
      <w:r>
        <w:rPr>
          <w:rFonts w:eastAsia="Times New Roman"/>
          <w:lang w:eastAsia="en-US"/>
        </w:rPr>
        <w:t xml:space="preserve">;</w:t>
      </w:r>
      <w:r>
        <w:rPr>
          <w:rFonts w:eastAsia="Times New Roman"/>
          <w:spacing w:val="-5"/>
          <w:lang w:eastAsia="en-US"/>
        </w:rPr>
        <w:t xml:space="preserve"> </w:t>
      </w:r>
      <w:r>
        <w:rPr>
          <w:rFonts w:eastAsia="Times New Roman"/>
          <w:lang w:eastAsia="en-US"/>
        </w:rPr>
        <w:t xml:space="preserve">из</w:t>
      </w:r>
      <w:r>
        <w:rPr>
          <w:rFonts w:eastAsia="Times New Roman"/>
          <w:spacing w:val="-6"/>
          <w:lang w:eastAsia="en-US"/>
        </w:rPr>
        <w:t xml:space="preserve"> </w:t>
      </w:r>
      <w:r>
        <w:rPr>
          <w:rFonts w:eastAsia="Times New Roman"/>
          <w:lang w:eastAsia="en-US"/>
        </w:rPr>
        <w:t xml:space="preserve">них </w:t>
      </w:r>
      <w:r>
        <w:t xml:space="preserve">по уровню сложности: Б – </w:t>
      </w:r>
      <w:r>
        <w:rPr>
          <w:b/>
        </w:rPr>
        <w:t xml:space="preserve">11</w:t>
      </w:r>
      <w:r>
        <w:t xml:space="preserve">, П – </w:t>
      </w:r>
      <w:r>
        <w:rPr>
          <w:b/>
        </w:rPr>
        <w:t xml:space="preserve">11</w:t>
      </w:r>
      <w:r>
        <w:t xml:space="preserve">, В – </w:t>
      </w:r>
      <w:r>
        <w:rPr>
          <w:b/>
        </w:rPr>
        <w:t xml:space="preserve">5</w:t>
      </w:r>
      <w:r>
        <w:t xml:space="preserve">.</w:t>
      </w:r>
      <w:r>
        <w:rPr>
          <w:spacing w:val="1"/>
        </w:rPr>
        <w:t xml:space="preserve"> </w:t>
      </w:r>
      <w:r>
        <w:rPr>
          <w:spacing w:val="-1"/>
        </w:rPr>
        <w:t xml:space="preserve">Максимальный</w:t>
      </w:r>
      <w:r>
        <w:rPr>
          <w:spacing w:val="-9"/>
        </w:rPr>
        <w:t xml:space="preserve"> </w:t>
      </w:r>
      <w:r>
        <w:t xml:space="preserve">первичный</w:t>
      </w:r>
      <w:r>
        <w:rPr>
          <w:spacing w:val="-8"/>
        </w:rPr>
        <w:t xml:space="preserve"> </w:t>
      </w:r>
      <w:r>
        <w:t xml:space="preserve">балл</w:t>
      </w:r>
      <w:r>
        <w:rPr>
          <w:spacing w:val="-8"/>
        </w:rPr>
        <w:t xml:space="preserve"> </w:t>
      </w:r>
      <w:r>
        <w:t xml:space="preserve">за</w:t>
      </w:r>
      <w:r>
        <w:rPr>
          <w:spacing w:val="-10"/>
        </w:rPr>
        <w:t xml:space="preserve"> </w:t>
      </w:r>
      <w:r>
        <w:t xml:space="preserve">работу</w:t>
      </w:r>
      <w:r>
        <w:rPr>
          <w:spacing w:val="-6"/>
        </w:rPr>
        <w:t xml:space="preserve"> </w:t>
      </w:r>
      <w:r>
        <w:t xml:space="preserve">–</w:t>
      </w:r>
      <w:r>
        <w:rPr>
          <w:spacing w:val="-9"/>
        </w:rPr>
        <w:t xml:space="preserve"> </w:t>
      </w:r>
      <w:r>
        <w:rPr>
          <w:b/>
        </w:rPr>
        <w:t xml:space="preserve">30</w:t>
      </w:r>
      <w:r>
        <w:t xml:space="preserve">.</w:t>
      </w:r>
      <w:r>
        <w:rPr>
          <w:spacing w:val="-39"/>
        </w:rPr>
        <w:t xml:space="preserve"> </w:t>
      </w:r>
      <w:r>
        <w:t xml:space="preserve">Общее</w:t>
      </w:r>
      <w:r>
        <w:rPr>
          <w:spacing w:val="-7"/>
        </w:rPr>
        <w:t xml:space="preserve"> </w:t>
      </w:r>
      <w:r>
        <w:t xml:space="preserve">время</w:t>
      </w:r>
      <w:r>
        <w:rPr>
          <w:spacing w:val="-7"/>
        </w:rPr>
        <w:t xml:space="preserve"> </w:t>
      </w:r>
      <w:r>
        <w:t xml:space="preserve">выполнения</w:t>
      </w:r>
      <w:r>
        <w:rPr>
          <w:spacing w:val="-7"/>
        </w:rPr>
        <w:t xml:space="preserve"> </w:t>
      </w:r>
      <w:r>
        <w:t xml:space="preserve">работы</w:t>
      </w:r>
      <w:r>
        <w:rPr>
          <w:spacing w:val="-7"/>
        </w:rPr>
        <w:t xml:space="preserve"> </w:t>
      </w:r>
      <w:r>
        <w:t xml:space="preserve">–</w:t>
      </w:r>
      <w:r>
        <w:rPr>
          <w:spacing w:val="-7"/>
        </w:rPr>
        <w:t xml:space="preserve"> </w:t>
      </w:r>
      <w:r>
        <w:rPr>
          <w:b/>
        </w:rPr>
        <w:t xml:space="preserve">235</w:t>
      </w:r>
      <w:r>
        <w:rPr>
          <w:b/>
          <w:spacing w:val="-7"/>
        </w:rPr>
        <w:t xml:space="preserve"> </w:t>
      </w:r>
      <w:r>
        <w:rPr>
          <w:b/>
        </w:rPr>
        <w:t xml:space="preserve">мин</w:t>
      </w:r>
      <w:r>
        <w:t xml:space="preserve">.</w:t>
      </w:r>
      <w:r/>
    </w:p>
    <w:p>
      <w:pPr>
        <w:pStyle w:val="940"/>
        <w:ind w:firstLine="708"/>
        <w:jc w:val="both"/>
      </w:pPr>
      <w:r>
        <w:t xml:space="preserve">Стало больше практических заданий, которые проверяют основные навыки работы на компьютере, в том числе заданий, где требуется написать программу.</w:t>
      </w:r>
      <w:r/>
    </w:p>
    <w:p>
      <w:pPr>
        <w:pStyle w:val="940"/>
        <w:ind w:left="708" w:firstLine="0"/>
        <w:jc w:val="both"/>
      </w:pPr>
      <w:r>
        <w:t xml:space="preserve">В некоторых заданиях на программирование данные нужно считывать из файла. Ранее предполагалось, что исходные данные вводят на клавиатуре.</w:t>
      </w:r>
      <w:r/>
    </w:p>
    <w:p>
      <w:pPr>
        <w:pStyle w:val="940"/>
        <w:ind w:firstLine="708"/>
        <w:jc w:val="both"/>
      </w:pPr>
      <w:r>
        <w:t xml:space="preserve">В текстах программ нет языка BASIC. Используемые языки программирования: Python, C++, Pascal, алгоритмический язык.</w:t>
      </w:r>
      <w:r/>
    </w:p>
    <w:p>
      <w:pPr>
        <w:pStyle w:val="940"/>
        <w:ind w:firstLine="708"/>
        <w:jc w:val="both"/>
      </w:pPr>
      <w:r>
        <w:t xml:space="preserve">Задания 1, 7, 12, 17, 19, 21, 23, 24, 25 исключены из ЕГЭ. Теперь задание № 23 на системы логических уравнений, которое вызывало огромное количество сложностей, не является препятствием для получения максимального количества баллов.</w:t>
      </w:r>
      <w:r/>
    </w:p>
    <w:p>
      <w:pPr>
        <w:pStyle w:val="940"/>
        <w:ind w:firstLine="708"/>
        <w:jc w:val="both"/>
      </w:pPr>
      <w:r>
        <w:t xml:space="preserve">На экзамене нет заданий, требующих простого воспроизведения терминов, понятий, величин, правил. Выполнение любого зад</w:t>
      </w:r>
      <w:r>
        <w:t xml:space="preserve">ания подразумевает решение тематической задачи. При этом нужно либо прямо использовать известное правило, алгоритм, умение, либо выбрать из общего количества изученных понятий и алгоритмов наиболее подходящее и применить его в известной или новой ситуации.</w:t>
      </w:r>
      <w:r/>
    </w:p>
    <w:p>
      <w:pPr>
        <w:pStyle w:val="940"/>
        <w:jc w:val="both"/>
      </w:pPr>
      <w:r/>
      <w:r/>
    </w:p>
    <w:p>
      <w:pPr>
        <w:pStyle w:val="940"/>
        <w:ind w:right="38" w:firstLine="0"/>
        <w:jc w:val="right"/>
        <w:spacing w:before="125" w:after="0"/>
      </w:pPr>
      <w:r>
        <w:rPr>
          <w:i/>
        </w:rPr>
        <w:t xml:space="preserve">Таблица</w:t>
      </w:r>
      <w:r>
        <w:rPr>
          <w:i/>
          <w:spacing w:val="12"/>
        </w:rPr>
        <w:t xml:space="preserve"> </w:t>
      </w:r>
      <w:r/>
    </w:p>
    <w:p>
      <w:pPr>
        <w:pStyle w:val="940"/>
        <w:jc w:val="right"/>
        <w:rPr>
          <w:rFonts w:eastAsia="SimSun;宋体"/>
          <w:bCs/>
          <w:i/>
        </w:rPr>
      </w:pPr>
      <w:r>
        <w:rPr>
          <w:rFonts w:eastAsia="SimSun;宋体"/>
          <w:bCs/>
          <w:i/>
        </w:rPr>
        <w:t xml:space="preserve">Сравнительная таблица новой и старой версий ЕГЭ</w:t>
      </w:r>
      <w:r/>
    </w:p>
    <w:p>
      <w:pPr>
        <w:pStyle w:val="940"/>
        <w:jc w:val="both"/>
        <w:rPr>
          <w:rFonts w:eastAsia="SimSun;宋体"/>
          <w:bCs/>
          <w:i/>
        </w:rPr>
      </w:pPr>
      <w:r>
        <w:rPr>
          <w:rFonts w:eastAsia="SimSun;宋体"/>
          <w:bCs/>
          <w:i/>
        </w:rPr>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1738"/>
        <w:gridCol w:w="1545"/>
        <w:gridCol w:w="6376"/>
      </w:tblGrid>
      <w:tr>
        <w:trPr>
          <w:tblHeade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b/>
                <w:bCs/>
                <w:color w:val="2F2F2F"/>
              </w:rPr>
            </w:pPr>
            <w:r>
              <w:rPr>
                <w:rFonts w:eastAsia="Times New Roman"/>
                <w:b/>
                <w:bCs/>
                <w:color w:val="2F2F2F"/>
              </w:rPr>
              <w:t xml:space="preserve">№ </w:t>
            </w:r>
            <w:r>
              <w:rPr>
                <w:rFonts w:eastAsia="Times New Roman"/>
                <w:b/>
                <w:bCs/>
                <w:color w:val="2F2F2F"/>
              </w:rPr>
              <w:t xml:space="preserve">задания</w:t>
              <w:br/>
              <w:t xml:space="preserve">Компьютерный ЕГЭ 2021</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b/>
                <w:bCs/>
                <w:color w:val="2F2F2F"/>
              </w:rPr>
            </w:pPr>
            <w:r>
              <w:rPr>
                <w:rFonts w:eastAsia="Times New Roman"/>
                <w:b/>
                <w:bCs/>
                <w:color w:val="2F2F2F"/>
              </w:rPr>
              <w:t xml:space="preserve">№ </w:t>
            </w:r>
            <w:r>
              <w:rPr>
                <w:rFonts w:eastAsia="Times New Roman"/>
                <w:b/>
                <w:bCs/>
                <w:color w:val="2F2F2F"/>
              </w:rPr>
              <w:t xml:space="preserve">задания</w:t>
              <w:br/>
              <w:t xml:space="preserve">ЕГЭ прошлого года</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jc w:val="center"/>
              <w:rPr>
                <w:rFonts w:eastAsia="Times New Roman"/>
                <w:b/>
                <w:bCs/>
                <w:color w:val="2F2F2F"/>
              </w:rPr>
            </w:pPr>
            <w:r>
              <w:rPr>
                <w:rFonts w:eastAsia="Times New Roman"/>
                <w:b/>
                <w:bCs/>
                <w:color w:val="2F2F2F"/>
              </w:rPr>
              <w:t xml:space="preserve">Тема задания</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3</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Проверка и считывание данных</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Таблицы истинности и логические схемы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3</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4</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Хранение, поиск, сортировка информации в базах данных</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4</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5</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Кодировка и декодировка информации</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5</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4</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Исполнение или создание линейного алгоритма</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6</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8</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Конструкции языка программирования. Вместо написания программы вручную теперь нужно проанализировать соответствие исходных данных результату</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7</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9</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Определение объёма памяти</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8</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10</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Методы измерения количества информации</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9</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Электронные таблицы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10</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Информационный поиск. Текстовый редактор</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11</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13</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Подсчёт информационного объёма</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12</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14</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Исполнение алгоритма</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13</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15</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Представление и считывание данных</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14</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16</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Позиционные системы счисления</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15</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18</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Понятия и законы математической логики</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16</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11</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Рекурсивная функция. Раньше требовался анализ вручную, теперь надо написать программу на компьютере</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17</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Составление алгоритма на языке программирования.</w:t>
              <w:br/>
              <w:t xml:space="preserve">Программа проверки на делимость</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18</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Динамическое программирование, но в таблицах</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19</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26</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Логическая игра. Одно задание № 26 превратилось в три. Раньше надо было описывать стратегию, теперь достаточно дать верные ответы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20</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26</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Логическая игра. Одно задание № 26 превратилось в три. Раньше надо было описывать стратегию, теперь достаточно дать верные ответы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21</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26</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Логическая игра. Одно задание № 26 превратилось в три. Раньше надо было описывать стратегию, теперь достаточно дать верные ответы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22</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20</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Анализ алгоритма с ветвлением и циклом</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23</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22</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Анализ результата исполнения алгоритма</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24</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Программа обработки строк. Чтение из файла</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25</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Программа поиска делителей</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26</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отсутствовало</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Обработка массива. Программирование или таблицы</w:t>
            </w:r>
            <w:r/>
          </w:p>
        </w:tc>
      </w:tr>
      <w:tr>
        <w:trPr/>
        <w:tc>
          <w:tcPr>
            <w:tcBorders>
              <w:top w:val="single" w:color="000000" w:sz="4" w:space="0"/>
              <w:left w:val="single" w:color="000000" w:sz="4" w:space="0"/>
              <w:bottom w:val="single" w:color="000000" w:sz="4" w:space="0"/>
            </w:tcBorders>
            <w:tcW w:w="1738" w:type="dxa"/>
            <w:vAlign w:val="bottom"/>
            <w:textDirection w:val="lrTb"/>
            <w:noWrap w:val="false"/>
          </w:tcPr>
          <w:p>
            <w:pPr>
              <w:pStyle w:val="940"/>
              <w:jc w:val="center"/>
              <w:rPr>
                <w:rFonts w:eastAsia="Times New Roman"/>
                <w:color w:val="2F2F2F"/>
              </w:rPr>
            </w:pPr>
            <w:r>
              <w:rPr>
                <w:rFonts w:eastAsia="Times New Roman"/>
                <w:color w:val="2F2F2F"/>
              </w:rPr>
              <w:t xml:space="preserve">27</w:t>
            </w:r>
            <w:r/>
          </w:p>
        </w:tc>
        <w:tc>
          <w:tcPr>
            <w:tcBorders>
              <w:top w:val="single" w:color="000000" w:sz="4" w:space="0"/>
              <w:left w:val="single" w:color="000000" w:sz="4" w:space="0"/>
              <w:bottom w:val="single" w:color="000000" w:sz="4" w:space="0"/>
            </w:tcBorders>
            <w:tcW w:w="1545" w:type="dxa"/>
            <w:vAlign w:val="bottom"/>
            <w:textDirection w:val="lrTb"/>
            <w:noWrap w:val="false"/>
          </w:tcPr>
          <w:p>
            <w:pPr>
              <w:pStyle w:val="940"/>
              <w:jc w:val="center"/>
              <w:rPr>
                <w:rFonts w:eastAsia="Times New Roman"/>
                <w:color w:val="2F2F2F"/>
              </w:rPr>
            </w:pPr>
            <w:r>
              <w:rPr>
                <w:rFonts w:eastAsia="Times New Roman"/>
                <w:color w:val="2F2F2F"/>
              </w:rPr>
              <w:t xml:space="preserve">27</w:t>
            </w:r>
            <w:r/>
          </w:p>
        </w:tc>
        <w:tc>
          <w:tcPr>
            <w:tcBorders>
              <w:top w:val="single" w:color="000000" w:sz="4" w:space="0"/>
              <w:left w:val="single" w:color="000000" w:sz="4" w:space="0"/>
              <w:bottom w:val="single" w:color="000000" w:sz="4" w:space="0"/>
              <w:right w:val="single" w:color="000000" w:sz="4" w:space="0"/>
            </w:tcBorders>
            <w:tcW w:w="6376" w:type="dxa"/>
            <w:vAlign w:val="bottom"/>
            <w:textDirection w:val="lrTb"/>
            <w:noWrap w:val="false"/>
          </w:tcPr>
          <w:p>
            <w:pPr>
              <w:pStyle w:val="940"/>
              <w:rPr>
                <w:rFonts w:eastAsia="Times New Roman"/>
                <w:color w:val="2F2F2F"/>
              </w:rPr>
            </w:pPr>
            <w:r>
              <w:rPr>
                <w:rFonts w:eastAsia="Times New Roman"/>
                <w:color w:val="2F2F2F"/>
              </w:rPr>
              <w:t xml:space="preserve">Создание собственной программы. Обработка числовых последовательностей</w:t>
            </w:r>
            <w:r/>
          </w:p>
        </w:tc>
      </w:tr>
    </w:tbl>
    <w:p>
      <w:pPr>
        <w:pStyle w:val="940"/>
        <w:jc w:val="both"/>
        <w:rPr>
          <w:rFonts w:eastAsia="SimSun;宋体"/>
          <w:bCs/>
        </w:rPr>
      </w:pPr>
      <w:r>
        <w:rPr>
          <w:rFonts w:eastAsia="SimSun;宋体"/>
          <w:bCs/>
        </w:rPr>
      </w:r>
      <w:r/>
    </w:p>
    <w:p>
      <w:pPr>
        <w:pStyle w:val="940"/>
        <w:ind w:firstLine="708"/>
        <w:jc w:val="both"/>
        <w:rPr>
          <w:rFonts w:eastAsia="SimSun;宋体"/>
          <w:bCs/>
        </w:rPr>
      </w:pPr>
      <w:r>
        <w:rPr>
          <w:rFonts w:eastAsia="SimSun;宋体"/>
          <w:bCs/>
        </w:rPr>
        <w:t xml:space="preserve">Часть заданий нужно решать на бумаге, а в форму на </w:t>
      </w:r>
      <w:r>
        <w:rPr>
          <w:rFonts w:eastAsia="SimSun;宋体"/>
          <w:bCs/>
        </w:rPr>
        <w:t xml:space="preserve">компьютере вводить только ответ. Часть заданий можно решать и так, и так: ответ в любом случае отправляется в электронном виде. Эти задания помечены в таблице как те, которые можно решать на компьютере. Остальные задания без компьютера решить не получится.</w:t>
      </w:r>
      <w:r/>
    </w:p>
    <w:p>
      <w:pPr>
        <w:pStyle w:val="1418"/>
        <w:jc w:val="both"/>
        <w:spacing w:before="0" w:after="0"/>
        <w:shd w:val="clear" w:color="auto" w:fill="ffffff"/>
        <w:rPr>
          <w:color w:val="000000"/>
        </w:rPr>
      </w:pPr>
      <w:r>
        <w:rPr>
          <w:color w:val="000000"/>
        </w:rPr>
      </w:r>
      <w:r/>
    </w:p>
    <w:p>
      <w:pPr>
        <w:pStyle w:val="940"/>
        <w:keepLines/>
        <w:keepNext/>
        <w:spacing w:before="200" w:after="0"/>
      </w:pPr>
      <w:r>
        <w:rPr>
          <w:rFonts w:eastAsia="SimSun;宋体"/>
          <w:b/>
          <w:bCs/>
          <w:sz w:val="28"/>
        </w:rPr>
        <w:t xml:space="preserve">3.2. </w:t>
      </w:r>
      <w:r>
        <w:rPr>
          <w:rFonts w:eastAsia="SimSun;宋体"/>
          <w:b/>
          <w:bCs/>
          <w:sz w:val="28"/>
          <w:lang w:val="en-US"/>
        </w:rPr>
        <w:t xml:space="preserve">Анализ выполнения заданий КИМ</w:t>
      </w:r>
      <w:r/>
    </w:p>
    <w:p>
      <w:pPr>
        <w:pStyle w:val="940"/>
        <w:contextualSpacing/>
        <w:jc w:val="both"/>
        <w:spacing w:before="0" w:after="0"/>
        <w:rPr>
          <w:rFonts w:eastAsia="SimSun;宋体"/>
          <w:b/>
          <w:bCs/>
          <w:i/>
          <w:iCs/>
          <w:sz w:val="28"/>
          <w:lang w:val="en-US"/>
        </w:rPr>
      </w:pPr>
      <w:r>
        <w:rPr>
          <w:rFonts w:eastAsia="SimSun;宋体"/>
          <w:b/>
          <w:bCs/>
          <w:i/>
          <w:iCs/>
          <w:sz w:val="28"/>
          <w:lang w:val="en-US"/>
        </w:rPr>
      </w:r>
      <w:r/>
    </w:p>
    <w:p>
      <w:pPr>
        <w:pStyle w:val="940"/>
        <w:numPr>
          <w:ilvl w:val="2"/>
          <w:numId w:val="72"/>
        </w:numPr>
        <w:keepLines/>
        <w:keepNext/>
        <w:spacing w:before="200" w:after="0"/>
        <w:rPr>
          <w:rFonts w:eastAsia="SimSun;宋体"/>
          <w:sz w:val="28"/>
          <w:lang w:val="en-US"/>
        </w:rPr>
      </w:pPr>
      <w:r>
        <w:rPr>
          <w:rFonts w:eastAsia="SimSun;宋体"/>
          <w:sz w:val="28"/>
          <w:lang w:val="en-US"/>
        </w:rPr>
        <w:t xml:space="preserve">Статистический анализ выполнения заданий КИМ</w:t>
      </w:r>
      <w:r/>
    </w:p>
    <w:p>
      <w:pPr>
        <w:pStyle w:val="940"/>
        <w:contextualSpacing/>
        <w:jc w:val="both"/>
        <w:spacing w:before="0" w:after="0"/>
        <w:rPr>
          <w:rFonts w:eastAsia="SimSun;宋体"/>
          <w:i/>
          <w:iCs/>
          <w:sz w:val="28"/>
        </w:rPr>
      </w:pPr>
      <w:r>
        <w:rPr>
          <w:rFonts w:eastAsia="SimSun;宋体"/>
          <w:i/>
          <w:iCs/>
          <w:sz w:val="28"/>
        </w:rPr>
      </w:r>
      <w:r/>
    </w:p>
    <w:p>
      <w:pPr>
        <w:pStyle w:val="940"/>
        <w:ind w:firstLine="566"/>
        <w:jc w:val="both"/>
      </w:pPr>
      <w:r>
        <w:t xml:space="preserve">Средний балл по региону составил 57,8.</w:t>
      </w:r>
      <w:r/>
    </w:p>
    <w:p>
      <w:pPr>
        <w:pStyle w:val="940"/>
        <w:ind w:firstLine="566"/>
        <w:jc w:val="both"/>
      </w:pPr>
      <w:r>
        <w:t xml:space="preserve">Приведем средние проценты выполнения по каждой линии заданий по предмету с указанием средних процентов выполнения в регионе.</w:t>
      </w:r>
      <w:r/>
    </w:p>
    <w:p>
      <w:pPr>
        <w:pStyle w:val="1409"/>
        <w:jc w:val="left"/>
        <w:keepNext/>
      </w:pPr>
      <w:r/>
      <w:r/>
    </w:p>
    <w:p>
      <w:pPr>
        <w:pStyle w:val="1409"/>
        <w:keepNext/>
        <w:rPr>
          <w:lang w:val="en-US"/>
        </w:rPr>
      </w:pPr>
      <w:r>
        <w:rPr>
          <w:lang w:val="en-US"/>
        </w:rPr>
        <w:t xml:space="preserve">Таблица 2-13</w:t>
      </w:r>
      <w:r/>
    </w:p>
    <w:tbl>
      <w:tblPr>
        <w:tblW w:w="5150" w:type="pct"/>
        <w:tblInd w:w="-432" w:type="dxa"/>
        <w:tblLayout w:type="fixed"/>
        <w:tblCellMar>
          <w:left w:w="108" w:type="dxa"/>
          <w:top w:w="0" w:type="dxa"/>
          <w:right w:w="108" w:type="dxa"/>
          <w:bottom w:w="0" w:type="dxa"/>
        </w:tblCellMar>
        <w:tblLook w:val="04A0" w:firstRow="1" w:lastRow="0" w:firstColumn="1" w:lastColumn="0" w:noHBand="0" w:noVBand="1"/>
      </w:tblPr>
      <w:tblGrid>
        <w:gridCol w:w="940"/>
        <w:gridCol w:w="3008"/>
        <w:gridCol w:w="1139"/>
        <w:gridCol w:w="1162"/>
        <w:gridCol w:w="1078"/>
        <w:gridCol w:w="771"/>
        <w:gridCol w:w="965"/>
        <w:gridCol w:w="845"/>
      </w:tblGrid>
      <w:tr>
        <w:trPr>
          <w:cantSplit/>
          <w:trHeight w:val="313"/>
          <w:tblHeader/>
        </w:trPr>
        <w:tc>
          <w:tcPr>
            <w:tcBorders>
              <w:top w:val="single" w:color="000000" w:sz="8" w:space="0"/>
              <w:left w:val="single" w:color="000000" w:sz="8" w:space="0"/>
            </w:tcBorders>
            <w:tcW w:w="940" w:type="dxa"/>
            <w:vAlign w:val="center"/>
            <w:vMerge w:val="restart"/>
            <w:textDirection w:val="lrTb"/>
            <w:noWrap w:val="false"/>
          </w:tcPr>
          <w:p>
            <w:pPr>
              <w:pStyle w:val="940"/>
              <w:jc w:val="center"/>
              <w:rPr>
                <w:bCs/>
              </w:rPr>
            </w:pPr>
            <w:r>
              <w:rPr>
                <w:bCs/>
              </w:rPr>
              <w:t xml:space="preserve">Номер</w:t>
            </w:r>
            <w:r/>
          </w:p>
          <w:p>
            <w:pPr>
              <w:pStyle w:val="940"/>
              <w:jc w:val="center"/>
              <w:rPr>
                <w:bCs/>
              </w:rPr>
            </w:pPr>
            <w:r>
              <w:rPr>
                <w:bCs/>
              </w:rPr>
              <w:t xml:space="preserve">задания в КИМ</w:t>
            </w:r>
            <w:r/>
          </w:p>
        </w:tc>
        <w:tc>
          <w:tcPr>
            <w:tcBorders>
              <w:top w:val="single" w:color="000000" w:sz="8" w:space="0"/>
              <w:left w:val="single" w:color="000000" w:sz="8" w:space="0"/>
            </w:tcBorders>
            <w:tcW w:w="3008" w:type="dxa"/>
            <w:vAlign w:val="center"/>
            <w:vMerge w:val="restart"/>
            <w:textDirection w:val="lrTb"/>
            <w:noWrap w:val="false"/>
          </w:tcPr>
          <w:p>
            <w:pPr>
              <w:pStyle w:val="940"/>
              <w:jc w:val="center"/>
              <w:rPr>
                <w:bCs/>
              </w:rPr>
            </w:pPr>
            <w:r>
              <w:rPr>
                <w:bCs/>
              </w:rPr>
              <w:t xml:space="preserve">Проверяемые элементы содержания / умения</w:t>
            </w:r>
            <w:r/>
          </w:p>
        </w:tc>
        <w:tc>
          <w:tcPr>
            <w:tcBorders>
              <w:top w:val="single" w:color="000000" w:sz="8" w:space="0"/>
              <w:left w:val="single" w:color="000000" w:sz="8" w:space="0"/>
            </w:tcBorders>
            <w:tcW w:w="1139" w:type="dxa"/>
            <w:vAlign w:val="center"/>
            <w:vMerge w:val="restart"/>
            <w:textDirection w:val="lrTb"/>
            <w:noWrap w:val="false"/>
          </w:tcPr>
          <w:p>
            <w:pPr>
              <w:pStyle w:val="940"/>
              <w:jc w:val="center"/>
              <w:rPr>
                <w:bCs/>
              </w:rPr>
            </w:pPr>
            <w:r>
              <w:rPr>
                <w:bCs/>
              </w:rPr>
              <w:t xml:space="preserve">Уровень сложности задания</w:t>
            </w:r>
            <w:r/>
          </w:p>
          <w:p>
            <w:pPr>
              <w:pStyle w:val="940"/>
              <w:jc w:val="center"/>
            </w:pPr>
            <w:r/>
            <w:r/>
          </w:p>
        </w:tc>
        <w:tc>
          <w:tcPr>
            <w:gridSpan w:val="5"/>
            <w:tcBorders>
              <w:top w:val="single" w:color="000000" w:sz="8" w:space="0"/>
              <w:left w:val="single" w:color="000000" w:sz="8" w:space="0"/>
              <w:right w:val="single" w:color="000000" w:sz="8" w:space="0"/>
            </w:tcBorders>
            <w:tcW w:w="4841" w:type="dxa"/>
            <w:textDirection w:val="lrTb"/>
            <w:noWrap w:val="false"/>
          </w:tcPr>
          <w:p>
            <w:pPr>
              <w:pStyle w:val="940"/>
              <w:jc w:val="center"/>
            </w:pPr>
            <w:r>
              <w:t xml:space="preserve">Процент выполнения задания в субъекте Российской Федерации</w:t>
            </w:r>
            <w:r/>
          </w:p>
        </w:tc>
      </w:tr>
      <w:tr>
        <w:trPr>
          <w:cantSplit/>
          <w:trHeight w:val="635"/>
          <w:tblHeader/>
        </w:trPr>
        <w:tc>
          <w:tcPr>
            <w:tcBorders>
              <w:top w:val="single" w:color="000000" w:sz="8" w:space="0"/>
              <w:left w:val="single" w:color="000000" w:sz="8" w:space="0"/>
            </w:tcBorders>
            <w:tcW w:w="940"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3008"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tcBorders>
            <w:tcW w:w="1139" w:type="dxa"/>
            <w:vAlign w:val="center"/>
            <w:vMerge w:val="continue"/>
            <w:textDirection w:val="lrTb"/>
            <w:noWrap w:val="false"/>
          </w:tcPr>
          <w:p>
            <w:pPr>
              <w:pStyle w:val="940"/>
              <w:jc w:val="center"/>
              <w:rPr>
                <w:bCs/>
              </w:rPr>
            </w:pPr>
            <w:r>
              <w:rPr>
                <w:bCs/>
              </w:rPr>
            </w:r>
            <w:r/>
          </w:p>
        </w:tc>
        <w:tc>
          <w:tcPr>
            <w:tcBorders>
              <w:top w:val="single" w:color="000000" w:sz="8" w:space="0"/>
              <w:left w:val="single" w:color="000000" w:sz="8" w:space="0"/>
              <w:bottom w:val="single" w:color="000000" w:sz="8" w:space="0"/>
            </w:tcBorders>
            <w:tcW w:w="1162" w:type="dxa"/>
            <w:vAlign w:val="center"/>
            <w:textDirection w:val="lrTb"/>
            <w:noWrap w:val="false"/>
          </w:tcPr>
          <w:p>
            <w:pPr>
              <w:pStyle w:val="940"/>
              <w:jc w:val="center"/>
            </w:pPr>
            <w:r>
              <w:t xml:space="preserve">средний</w:t>
            </w:r>
            <w:r/>
          </w:p>
        </w:tc>
        <w:tc>
          <w:tcPr>
            <w:tcBorders>
              <w:top w:val="single" w:color="000000" w:sz="8" w:space="0"/>
              <w:left w:val="single" w:color="000000" w:sz="8" w:space="0"/>
              <w:bottom w:val="single" w:color="000000" w:sz="8" w:space="0"/>
            </w:tcBorders>
            <w:tcW w:w="1078" w:type="dxa"/>
            <w:vAlign w:val="center"/>
            <w:textDirection w:val="lrTb"/>
            <w:noWrap w:val="false"/>
          </w:tcPr>
          <w:p>
            <w:pPr>
              <w:pStyle w:val="940"/>
              <w:jc w:val="center"/>
              <w:rPr>
                <w:bCs/>
              </w:rPr>
            </w:pPr>
            <w:r>
              <w:rPr>
                <w:bCs/>
              </w:rPr>
              <w:t xml:space="preserve">в группе не преодолевших минимальный балл</w:t>
            </w:r>
            <w:r/>
          </w:p>
        </w:tc>
        <w:tc>
          <w:tcPr>
            <w:tcBorders>
              <w:top w:val="single" w:color="000000" w:sz="8" w:space="0"/>
              <w:left w:val="single" w:color="000000" w:sz="8" w:space="0"/>
              <w:bottom w:val="single" w:color="000000" w:sz="8" w:space="0"/>
            </w:tcBorders>
            <w:tcW w:w="771" w:type="dxa"/>
            <w:textDirection w:val="lrTb"/>
            <w:noWrap w:val="false"/>
          </w:tcPr>
          <w:p>
            <w:pPr>
              <w:pStyle w:val="940"/>
              <w:jc w:val="center"/>
              <w:rPr>
                <w:bCs/>
              </w:rPr>
            </w:pPr>
            <w:r>
              <w:rPr>
                <w:bCs/>
              </w:rPr>
              <w:t xml:space="preserve">в группе от минимального до 60 т.б.</w:t>
            </w:r>
            <w:r/>
          </w:p>
        </w:tc>
        <w:tc>
          <w:tcPr>
            <w:tcBorders>
              <w:top w:val="single" w:color="000000" w:sz="8" w:space="0"/>
              <w:left w:val="single" w:color="000000" w:sz="8" w:space="0"/>
              <w:bottom w:val="single" w:color="000000" w:sz="8" w:space="0"/>
            </w:tcBorders>
            <w:tcW w:w="965" w:type="dxa"/>
            <w:vAlign w:val="center"/>
            <w:textDirection w:val="lrTb"/>
            <w:noWrap w:val="false"/>
          </w:tcPr>
          <w:p>
            <w:pPr>
              <w:pStyle w:val="940"/>
              <w:jc w:val="center"/>
              <w:rPr>
                <w:bCs/>
              </w:rPr>
            </w:pPr>
            <w:r>
              <w:rPr>
                <w:bCs/>
              </w:rPr>
              <w:t xml:space="preserve">в группе 61-80 т.б.</w:t>
            </w:r>
            <w:r/>
          </w:p>
        </w:tc>
        <w:tc>
          <w:tcPr>
            <w:tcBorders>
              <w:top w:val="single" w:color="000000" w:sz="8" w:space="0"/>
              <w:left w:val="single" w:color="000000" w:sz="8" w:space="0"/>
              <w:bottom w:val="single" w:color="000000" w:sz="8" w:space="0"/>
              <w:right w:val="single" w:color="000000" w:sz="8" w:space="0"/>
            </w:tcBorders>
            <w:tcW w:w="865" w:type="dxa"/>
            <w:vAlign w:val="center"/>
            <w:textDirection w:val="lrTb"/>
            <w:noWrap w:val="false"/>
          </w:tcPr>
          <w:p>
            <w:pPr>
              <w:pStyle w:val="940"/>
              <w:jc w:val="center"/>
              <w:rPr>
                <w:bCs/>
              </w:rPr>
            </w:pPr>
            <w:r>
              <w:rPr>
                <w:bCs/>
              </w:rPr>
              <w:t xml:space="preserve">в группе 81-100 т.б.</w:t>
            </w:r>
            <w:r/>
          </w:p>
        </w:tc>
      </w:tr>
      <w:tr>
        <w:trPr>
          <w:cantSplit/>
          <w:trHeight w:val="383"/>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2"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представлять</w:t>
            </w:r>
            <w:r>
              <w:rPr>
                <w:rFonts w:eastAsia="Times New Roman"/>
                <w:spacing w:val="1"/>
                <w:lang w:eastAsia="en-US"/>
              </w:rPr>
              <w:t xml:space="preserve"> </w:t>
            </w:r>
            <w:r>
              <w:rPr>
                <w:rFonts w:eastAsia="Times New Roman"/>
                <w:lang w:eastAsia="en-US"/>
              </w:rPr>
              <w:t xml:space="preserve">и</w:t>
            </w:r>
            <w:r>
              <w:rPr>
                <w:rFonts w:eastAsia="Times New Roman"/>
                <w:spacing w:val="1"/>
                <w:lang w:eastAsia="en-US"/>
              </w:rPr>
              <w:t xml:space="preserve"> </w:t>
            </w:r>
            <w:r>
              <w:rPr>
                <w:rFonts w:eastAsia="Times New Roman"/>
                <w:lang w:eastAsia="en-US"/>
              </w:rPr>
              <w:t xml:space="preserve">считывать данные в разных типах информационных моделей (схемы,</w:t>
            </w:r>
            <w:r>
              <w:rPr>
                <w:rFonts w:eastAsia="Times New Roman"/>
                <w:spacing w:val="1"/>
                <w:lang w:eastAsia="en-US"/>
              </w:rPr>
              <w:t xml:space="preserve"> </w:t>
            </w:r>
            <w:r>
              <w:rPr>
                <w:rFonts w:eastAsia="Times New Roman"/>
                <w:lang w:eastAsia="en-US"/>
              </w:rPr>
              <w:t xml:space="preserve">карты,</w:t>
            </w:r>
            <w:r>
              <w:rPr>
                <w:rFonts w:eastAsia="Times New Roman"/>
                <w:spacing w:val="18"/>
                <w:lang w:eastAsia="en-US"/>
              </w:rPr>
              <w:t xml:space="preserve"> </w:t>
            </w:r>
            <w:r>
              <w:rPr>
                <w:rFonts w:eastAsia="Times New Roman"/>
                <w:lang w:eastAsia="en-US"/>
              </w:rPr>
              <w:t xml:space="preserve">таблицы,</w:t>
            </w:r>
            <w:r>
              <w:rPr>
                <w:rFonts w:eastAsia="Times New Roman"/>
                <w:spacing w:val="19"/>
                <w:lang w:eastAsia="en-US"/>
              </w:rPr>
              <w:t xml:space="preserve"> </w:t>
            </w:r>
            <w:r>
              <w:rPr>
                <w:rFonts w:eastAsia="Times New Roman"/>
                <w:lang w:eastAsia="en-US"/>
              </w:rPr>
              <w:t xml:space="preserve">графики</w:t>
            </w:r>
            <w:r>
              <w:rPr>
                <w:rFonts w:eastAsia="Times New Roman"/>
                <w:spacing w:val="18"/>
                <w:lang w:eastAsia="en-US"/>
              </w:rPr>
              <w:t xml:space="preserve"> </w:t>
            </w:r>
            <w:r>
              <w:rPr>
                <w:rFonts w:eastAsia="Times New Roman"/>
                <w:lang w:eastAsia="en-US"/>
              </w:rPr>
              <w:t xml:space="preserve">и</w:t>
            </w:r>
            <w:r>
              <w:rPr>
                <w:rFonts w:eastAsia="Times New Roman"/>
                <w:spacing w:val="19"/>
                <w:lang w:eastAsia="en-US"/>
              </w:rPr>
              <w:t xml:space="preserve"> </w:t>
            </w:r>
            <w:r>
              <w:rPr>
                <w:rFonts w:eastAsia="Times New Roman"/>
                <w:lang w:eastAsia="en-US"/>
              </w:rPr>
              <w:t xml:space="preserve">формулы)</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top w:val="single" w:color="000000" w:sz="4" w:space="0"/>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82,95</w:t>
            </w:r>
            <w:r/>
          </w:p>
        </w:tc>
        <w:tc>
          <w:tcPr>
            <w:tcBorders>
              <w:top w:val="single" w:color="000000" w:sz="4" w:space="0"/>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42,86</w:t>
            </w:r>
            <w:r/>
          </w:p>
        </w:tc>
        <w:tc>
          <w:tcPr>
            <w:tcBorders>
              <w:top w:val="single" w:color="000000" w:sz="4" w:space="0"/>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85,05</w:t>
            </w:r>
            <w:r/>
          </w:p>
        </w:tc>
        <w:tc>
          <w:tcPr>
            <w:tcBorders>
              <w:top w:val="single" w:color="000000" w:sz="4" w:space="0"/>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91,04</w:t>
            </w:r>
            <w:r/>
          </w:p>
        </w:tc>
        <w:tc>
          <w:tcPr>
            <w:tcBorders>
              <w:top w:val="single" w:color="000000" w:sz="4" w:space="0"/>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98,44</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23"/>
                <w:lang w:eastAsia="en-US"/>
              </w:rPr>
              <w:t xml:space="preserve"> </w:t>
            </w:r>
            <w:r>
              <w:rPr>
                <w:rFonts w:eastAsia="Times New Roman"/>
                <w:lang w:eastAsia="en-US"/>
              </w:rPr>
              <w:t xml:space="preserve">строить</w:t>
            </w:r>
            <w:r>
              <w:rPr>
                <w:rFonts w:eastAsia="Times New Roman"/>
                <w:spacing w:val="22"/>
                <w:lang w:eastAsia="en-US"/>
              </w:rPr>
              <w:t xml:space="preserve"> </w:t>
            </w:r>
            <w:r>
              <w:rPr>
                <w:rFonts w:eastAsia="Times New Roman"/>
                <w:lang w:eastAsia="en-US"/>
              </w:rPr>
              <w:t xml:space="preserve">таблицы</w:t>
            </w:r>
            <w:r>
              <w:rPr>
                <w:rFonts w:eastAsia="Times New Roman"/>
                <w:spacing w:val="23"/>
                <w:lang w:eastAsia="en-US"/>
              </w:rPr>
              <w:t xml:space="preserve"> </w:t>
            </w:r>
            <w:r>
              <w:rPr>
                <w:rFonts w:eastAsia="Times New Roman"/>
                <w:lang w:eastAsia="en-US"/>
              </w:rPr>
              <w:t xml:space="preserve">истинности</w:t>
            </w:r>
            <w:r>
              <w:rPr>
                <w:rFonts w:eastAsia="Times New Roman"/>
                <w:spacing w:val="-8"/>
                <w:lang w:eastAsia="en-US"/>
              </w:rPr>
              <w:t xml:space="preserve"> </w:t>
            </w:r>
            <w:r>
              <w:rPr>
                <w:rFonts w:eastAsia="Times New Roman"/>
                <w:lang w:eastAsia="en-US"/>
              </w:rPr>
              <w:t xml:space="preserve">и</w:t>
            </w:r>
            <w:r>
              <w:rPr>
                <w:rFonts w:eastAsia="Times New Roman"/>
                <w:spacing w:val="-8"/>
                <w:lang w:eastAsia="en-US"/>
              </w:rPr>
              <w:t xml:space="preserve"> </w:t>
            </w:r>
            <w:r>
              <w:rPr>
                <w:rFonts w:eastAsia="Times New Roman"/>
                <w:lang w:eastAsia="en-US"/>
              </w:rPr>
              <w:t xml:space="preserve">логические</w:t>
            </w:r>
            <w:r>
              <w:rPr>
                <w:rFonts w:eastAsia="Times New Roman"/>
                <w:spacing w:val="-8"/>
                <w:lang w:eastAsia="en-US"/>
              </w:rPr>
              <w:t xml:space="preserve"> </w:t>
            </w:r>
            <w:r>
              <w:rPr>
                <w:rFonts w:eastAsia="Times New Roman"/>
                <w:lang w:eastAsia="en-US"/>
              </w:rPr>
              <w:t xml:space="preserve">схемы</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68,84</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22,22</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62,15</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86,57</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3</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3" w:firstLine="0"/>
              <w:widowControl w:val="off"/>
            </w:pPr>
            <w:r>
              <w:rPr>
                <w:rFonts w:eastAsia="Times New Roman"/>
                <w:lang w:eastAsia="en-US"/>
              </w:rPr>
              <w:t xml:space="preserve">Знание</w:t>
            </w:r>
            <w:r>
              <w:rPr>
                <w:rFonts w:eastAsia="Times New Roman"/>
                <w:spacing w:val="5"/>
                <w:lang w:eastAsia="en-US"/>
              </w:rPr>
              <w:t xml:space="preserve"> </w:t>
            </w:r>
            <w:r>
              <w:rPr>
                <w:rFonts w:eastAsia="Times New Roman"/>
                <w:lang w:eastAsia="en-US"/>
              </w:rPr>
              <w:t xml:space="preserve">о</w:t>
            </w:r>
            <w:r>
              <w:rPr>
                <w:rFonts w:eastAsia="Times New Roman"/>
                <w:spacing w:val="5"/>
                <w:lang w:eastAsia="en-US"/>
              </w:rPr>
              <w:t xml:space="preserve"> </w:t>
            </w:r>
            <w:r>
              <w:rPr>
                <w:rFonts w:eastAsia="Times New Roman"/>
                <w:lang w:eastAsia="en-US"/>
              </w:rPr>
              <w:t xml:space="preserve">технологии</w:t>
            </w:r>
            <w:r>
              <w:rPr>
                <w:rFonts w:eastAsia="Times New Roman"/>
                <w:spacing w:val="5"/>
                <w:lang w:eastAsia="en-US"/>
              </w:rPr>
              <w:t xml:space="preserve"> </w:t>
            </w:r>
            <w:r>
              <w:rPr>
                <w:rFonts w:eastAsia="Times New Roman"/>
                <w:lang w:eastAsia="en-US"/>
              </w:rPr>
              <w:t xml:space="preserve">хранения,</w:t>
            </w:r>
            <w:r>
              <w:rPr>
                <w:rFonts w:eastAsia="Times New Roman"/>
                <w:spacing w:val="-39"/>
                <w:lang w:eastAsia="en-US"/>
              </w:rPr>
              <w:t xml:space="preserve"> </w:t>
            </w:r>
            <w:r>
              <w:rPr>
                <w:rFonts w:eastAsia="Times New Roman"/>
                <w:lang w:eastAsia="en-US"/>
              </w:rPr>
              <w:t xml:space="preserve">поиска </w:t>
            </w:r>
            <w:r>
              <w:rPr>
                <w:rFonts w:eastAsia="Times New Roman"/>
                <w:spacing w:val="8"/>
                <w:lang w:eastAsia="en-US"/>
              </w:rPr>
              <w:t xml:space="preserve"> </w:t>
            </w:r>
            <w:r>
              <w:rPr>
                <w:rFonts w:eastAsia="Times New Roman"/>
                <w:lang w:eastAsia="en-US"/>
              </w:rPr>
              <w:t xml:space="preserve">и </w:t>
            </w:r>
            <w:r>
              <w:rPr>
                <w:rFonts w:eastAsia="Times New Roman"/>
                <w:spacing w:val="7"/>
                <w:lang w:eastAsia="en-US"/>
              </w:rPr>
              <w:t xml:space="preserve"> </w:t>
            </w:r>
            <w:r>
              <w:rPr>
                <w:rFonts w:eastAsia="Times New Roman"/>
                <w:lang w:eastAsia="en-US"/>
              </w:rPr>
              <w:t xml:space="preserve">сортировки информа</w:t>
            </w:r>
            <w:r>
              <w:rPr>
                <w:rFonts w:eastAsia="Times New Roman"/>
                <w:spacing w:val="-1"/>
                <w:lang w:eastAsia="en-US"/>
              </w:rPr>
              <w:t xml:space="preserve">ции</w:t>
            </w:r>
            <w:r>
              <w:rPr>
                <w:rFonts w:eastAsia="Times New Roman"/>
                <w:spacing w:val="-9"/>
                <w:lang w:eastAsia="en-US"/>
              </w:rPr>
              <w:t xml:space="preserve"> </w:t>
            </w:r>
            <w:r>
              <w:rPr>
                <w:rFonts w:eastAsia="Times New Roman"/>
                <w:spacing w:val="-1"/>
                <w:lang w:eastAsia="en-US"/>
              </w:rPr>
              <w:t xml:space="preserve">в</w:t>
            </w:r>
            <w:r>
              <w:rPr>
                <w:rFonts w:eastAsia="Times New Roman"/>
                <w:spacing w:val="-8"/>
                <w:lang w:eastAsia="en-US"/>
              </w:rPr>
              <w:t xml:space="preserve"> </w:t>
            </w:r>
            <w:r>
              <w:rPr>
                <w:rFonts w:eastAsia="Times New Roman"/>
                <w:spacing w:val="-1"/>
                <w:lang w:eastAsia="en-US"/>
              </w:rPr>
              <w:t xml:space="preserve">реляционных</w:t>
            </w:r>
            <w:r>
              <w:rPr>
                <w:rFonts w:eastAsia="Times New Roman"/>
                <w:spacing w:val="-8"/>
                <w:lang w:eastAsia="en-US"/>
              </w:rPr>
              <w:t xml:space="preserve"> </w:t>
            </w:r>
            <w:r>
              <w:rPr>
                <w:rFonts w:eastAsia="Times New Roman"/>
                <w:lang w:eastAsia="en-US"/>
              </w:rPr>
              <w:t xml:space="preserve">базах</w:t>
            </w:r>
            <w:r>
              <w:rPr>
                <w:rFonts w:eastAsia="Times New Roman"/>
                <w:spacing w:val="-9"/>
                <w:lang w:eastAsia="en-US"/>
              </w:rPr>
              <w:t xml:space="preserve"> </w:t>
            </w:r>
            <w:r>
              <w:rPr>
                <w:rFonts w:eastAsia="Times New Roman"/>
                <w:lang w:eastAsia="en-US"/>
              </w:rPr>
              <w:t xml:space="preserve">данных</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64,63</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31,75</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61,68</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76,12</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82,81</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4</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29" w:firstLine="0"/>
              <w:widowControl w:val="off"/>
            </w:pPr>
            <w:r>
              <w:rPr>
                <w:rFonts w:eastAsia="Times New Roman"/>
                <w:lang w:eastAsia="en-US"/>
              </w:rPr>
              <w:t xml:space="preserve">Умение </w:t>
            </w:r>
            <w:r>
              <w:rPr>
                <w:rFonts w:eastAsia="Times New Roman"/>
                <w:spacing w:val="11"/>
                <w:lang w:eastAsia="en-US"/>
              </w:rPr>
              <w:t xml:space="preserve"> </w:t>
            </w:r>
            <w:r>
              <w:rPr>
                <w:rFonts w:eastAsia="Times New Roman"/>
                <w:lang w:eastAsia="en-US"/>
              </w:rPr>
              <w:t xml:space="preserve">кодировать </w:t>
            </w:r>
            <w:r>
              <w:rPr>
                <w:rFonts w:eastAsia="Times New Roman"/>
                <w:spacing w:val="11"/>
                <w:lang w:eastAsia="en-US"/>
              </w:rPr>
              <w:t xml:space="preserve"> </w:t>
            </w:r>
            <w:r>
              <w:rPr>
                <w:rFonts w:eastAsia="Times New Roman"/>
                <w:lang w:eastAsia="en-US"/>
              </w:rPr>
              <w:t xml:space="preserve">и </w:t>
            </w:r>
            <w:r>
              <w:rPr>
                <w:rFonts w:eastAsia="Times New Roman"/>
                <w:spacing w:val="12"/>
                <w:lang w:eastAsia="en-US"/>
              </w:rPr>
              <w:t xml:space="preserve"> </w:t>
            </w:r>
            <w:r>
              <w:rPr>
                <w:rFonts w:eastAsia="Times New Roman"/>
                <w:lang w:eastAsia="en-US"/>
              </w:rPr>
              <w:t xml:space="preserve">декодировать</w:t>
            </w:r>
            <w:r>
              <w:rPr>
                <w:rFonts w:eastAsia="Times New Roman"/>
                <w:spacing w:val="-11"/>
                <w:lang w:eastAsia="en-US"/>
              </w:rPr>
              <w:t xml:space="preserve"> </w:t>
            </w:r>
            <w:r>
              <w:rPr>
                <w:rFonts w:eastAsia="Times New Roman"/>
                <w:lang w:eastAsia="en-US"/>
              </w:rPr>
              <w:t xml:space="preserve">информацию</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81,89</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41,27</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83,18</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90,30</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5</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142" w:firstLine="0"/>
              <w:widowControl w:val="off"/>
            </w:pPr>
            <w:r>
              <w:rPr>
                <w:rFonts w:eastAsia="Times New Roman"/>
                <w:lang w:eastAsia="en-US"/>
              </w:rPr>
              <w:t xml:space="preserve">Формальное исполнение алгоритма, записанного на естественном</w:t>
            </w:r>
            <w:r>
              <w:rPr>
                <w:rFonts w:eastAsia="Times New Roman"/>
                <w:spacing w:val="1"/>
                <w:lang w:eastAsia="en-US"/>
              </w:rPr>
              <w:t xml:space="preserve"> </w:t>
            </w:r>
            <w:r>
              <w:rPr>
                <w:rFonts w:eastAsia="Times New Roman"/>
                <w:lang w:eastAsia="en-US"/>
              </w:rPr>
              <w:t xml:space="preserve">языке, или умение создавать линейный алгоритм для формального</w:t>
            </w:r>
            <w:r>
              <w:rPr>
                <w:rFonts w:eastAsia="Times New Roman"/>
                <w:spacing w:val="12"/>
                <w:lang w:eastAsia="en-US"/>
              </w:rPr>
              <w:t xml:space="preserve"> </w:t>
            </w:r>
            <w:r>
              <w:rPr>
                <w:rFonts w:eastAsia="Times New Roman"/>
                <w:lang w:eastAsia="en-US"/>
              </w:rPr>
              <w:t xml:space="preserve">исполнителя</w:t>
            </w:r>
            <w:r>
              <w:rPr>
                <w:rFonts w:eastAsia="Times New Roman"/>
                <w:spacing w:val="13"/>
                <w:lang w:eastAsia="en-US"/>
              </w:rPr>
              <w:t xml:space="preserve"> </w:t>
            </w:r>
            <w:r>
              <w:rPr>
                <w:rFonts w:eastAsia="Times New Roman"/>
                <w:lang w:eastAsia="en-US"/>
              </w:rPr>
              <w:t xml:space="preserve">с</w:t>
            </w:r>
            <w:r>
              <w:rPr>
                <w:rFonts w:eastAsia="Times New Roman"/>
                <w:spacing w:val="12"/>
                <w:lang w:eastAsia="en-US"/>
              </w:rPr>
              <w:t xml:space="preserve"> </w:t>
            </w:r>
            <w:r>
              <w:rPr>
                <w:rFonts w:eastAsia="Times New Roman"/>
                <w:lang w:eastAsia="en-US"/>
              </w:rPr>
              <w:t xml:space="preserve">ограниченным</w:t>
            </w:r>
            <w:r>
              <w:rPr>
                <w:rFonts w:eastAsia="Times New Roman"/>
                <w:lang w:eastAsia="en-US"/>
              </w:rPr>
              <w:t xml:space="preserve"> </w:t>
            </w:r>
            <w:r>
              <w:rPr>
                <w:rFonts w:eastAsia="Times New Roman"/>
                <w:spacing w:val="-1"/>
                <w:lang w:eastAsia="en-US"/>
              </w:rPr>
              <w:t xml:space="preserve">набором</w:t>
            </w:r>
            <w:r>
              <w:rPr>
                <w:rFonts w:eastAsia="Times New Roman"/>
                <w:spacing w:val="-8"/>
                <w:lang w:eastAsia="en-US"/>
              </w:rPr>
              <w:t xml:space="preserve"> </w:t>
            </w:r>
            <w:r>
              <w:rPr>
                <w:rFonts w:eastAsia="Times New Roman"/>
                <w:lang w:eastAsia="en-US"/>
              </w:rPr>
              <w:t xml:space="preserve">команд</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51,58</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12,70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39,25</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70,90</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90,63</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6</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142" w:firstLine="0"/>
              <w:widowControl w:val="off"/>
            </w:pPr>
            <w:r>
              <w:rPr>
                <w:rFonts w:eastAsia="Times New Roman"/>
                <w:lang w:eastAsia="en-US"/>
              </w:rPr>
              <w:t xml:space="preserve">Знание</w:t>
            </w:r>
            <w:r>
              <w:rPr>
                <w:rFonts w:eastAsia="Times New Roman"/>
                <w:spacing w:val="1"/>
                <w:lang w:eastAsia="en-US"/>
              </w:rPr>
              <w:t xml:space="preserve"> </w:t>
            </w:r>
            <w:r>
              <w:rPr>
                <w:rFonts w:eastAsia="Times New Roman"/>
                <w:lang w:eastAsia="en-US"/>
              </w:rPr>
              <w:t xml:space="preserve">основных</w:t>
            </w:r>
            <w:r>
              <w:rPr>
                <w:rFonts w:eastAsia="Times New Roman"/>
                <w:spacing w:val="1"/>
                <w:lang w:eastAsia="en-US"/>
              </w:rPr>
              <w:t xml:space="preserve"> </w:t>
            </w:r>
            <w:r>
              <w:rPr>
                <w:rFonts w:eastAsia="Times New Roman"/>
                <w:lang w:eastAsia="en-US"/>
              </w:rPr>
              <w:t xml:space="preserve">конструкций</w:t>
            </w:r>
            <w:r>
              <w:rPr>
                <w:rFonts w:eastAsia="Times New Roman"/>
                <w:spacing w:val="-39"/>
                <w:lang w:eastAsia="en-US"/>
              </w:rPr>
              <w:t xml:space="preserve"> </w:t>
            </w:r>
            <w:r>
              <w:rPr>
                <w:rFonts w:eastAsia="Times New Roman"/>
                <w:spacing w:val="-1"/>
                <w:lang w:eastAsia="en-US"/>
              </w:rPr>
              <w:t xml:space="preserve">языка программирования, </w:t>
            </w:r>
            <w:r>
              <w:rPr>
                <w:rFonts w:eastAsia="Times New Roman"/>
                <w:lang w:eastAsia="en-US"/>
              </w:rPr>
              <w:t xml:space="preserve">понятия</w:t>
            </w:r>
            <w:r>
              <w:rPr>
                <w:rFonts w:eastAsia="Times New Roman"/>
                <w:spacing w:val="-39"/>
                <w:lang w:eastAsia="en-US"/>
              </w:rPr>
              <w:t xml:space="preserve"> </w:t>
            </w:r>
            <w:r>
              <w:rPr>
                <w:rFonts w:eastAsia="Times New Roman"/>
                <w:lang w:eastAsia="en-US"/>
              </w:rPr>
              <w:t xml:space="preserve">переменной,</w:t>
            </w:r>
            <w:r>
              <w:rPr>
                <w:rFonts w:eastAsia="Times New Roman"/>
                <w:spacing w:val="20"/>
                <w:lang w:eastAsia="en-US"/>
              </w:rPr>
              <w:t xml:space="preserve"> </w:t>
            </w:r>
            <w:r>
              <w:rPr>
                <w:rFonts w:eastAsia="Times New Roman"/>
                <w:lang w:eastAsia="en-US"/>
              </w:rPr>
              <w:t xml:space="preserve">оператора</w:t>
            </w:r>
            <w:r>
              <w:rPr>
                <w:rFonts w:eastAsia="Times New Roman"/>
                <w:spacing w:val="20"/>
                <w:lang w:eastAsia="en-US"/>
              </w:rPr>
              <w:t xml:space="preserve"> </w:t>
            </w:r>
            <w:r>
              <w:rPr>
                <w:rFonts w:eastAsia="Times New Roman"/>
                <w:lang w:eastAsia="en-US"/>
              </w:rPr>
              <w:t xml:space="preserve">присваивания</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73,05</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23,81</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70,09</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89,55</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7</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4" w:firstLine="0"/>
              <w:widowControl w:val="off"/>
            </w:pPr>
            <w:r>
              <w:rPr>
                <w:rFonts w:eastAsia="Times New Roman"/>
                <w:lang w:eastAsia="en-US"/>
              </w:rPr>
              <w:t xml:space="preserve">Умение определять объём памяти,</w:t>
            </w:r>
            <w:r>
              <w:rPr>
                <w:rFonts w:eastAsia="Times New Roman"/>
                <w:spacing w:val="1"/>
                <w:lang w:eastAsia="en-US"/>
              </w:rPr>
              <w:t xml:space="preserve"> </w:t>
            </w:r>
            <w:r>
              <w:rPr>
                <w:rFonts w:eastAsia="Times New Roman"/>
                <w:lang w:eastAsia="en-US"/>
              </w:rPr>
              <w:t xml:space="preserve">необходимый</w:t>
            </w:r>
            <w:r>
              <w:rPr>
                <w:rFonts w:eastAsia="Times New Roman"/>
                <w:spacing w:val="1"/>
                <w:lang w:eastAsia="en-US"/>
              </w:rPr>
              <w:t xml:space="preserve"> </w:t>
            </w:r>
            <w:r>
              <w:rPr>
                <w:rFonts w:eastAsia="Times New Roman"/>
                <w:lang w:eastAsia="en-US"/>
              </w:rPr>
              <w:t xml:space="preserve">для</w:t>
            </w:r>
            <w:r>
              <w:rPr>
                <w:rFonts w:eastAsia="Times New Roman"/>
                <w:spacing w:val="1"/>
                <w:lang w:eastAsia="en-US"/>
              </w:rPr>
              <w:t xml:space="preserve"> </w:t>
            </w:r>
            <w:r>
              <w:rPr>
                <w:rFonts w:eastAsia="Times New Roman"/>
                <w:lang w:eastAsia="en-US"/>
              </w:rPr>
              <w:t xml:space="preserve">хранения</w:t>
            </w:r>
            <w:r>
              <w:rPr>
                <w:rFonts w:eastAsia="Times New Roman"/>
                <w:spacing w:val="1"/>
                <w:lang w:eastAsia="en-US"/>
              </w:rPr>
              <w:t xml:space="preserve"> </w:t>
            </w:r>
            <w:r>
              <w:rPr>
                <w:rFonts w:eastAsia="Times New Roman"/>
                <w:lang w:eastAsia="en-US"/>
              </w:rPr>
              <w:t xml:space="preserve">графической</w:t>
            </w:r>
            <w:r>
              <w:rPr>
                <w:rFonts w:eastAsia="Times New Roman"/>
                <w:spacing w:val="32"/>
                <w:lang w:eastAsia="en-US"/>
              </w:rPr>
              <w:t xml:space="preserve"> </w:t>
            </w:r>
            <w:r>
              <w:rPr>
                <w:rFonts w:eastAsia="Times New Roman"/>
                <w:lang w:eastAsia="en-US"/>
              </w:rPr>
              <w:t xml:space="preserve">и</w:t>
            </w:r>
            <w:r>
              <w:rPr>
                <w:rFonts w:eastAsia="Times New Roman"/>
                <w:spacing w:val="32"/>
                <w:lang w:eastAsia="en-US"/>
              </w:rPr>
              <w:t xml:space="preserve"> </w:t>
            </w:r>
            <w:r>
              <w:rPr>
                <w:rFonts w:eastAsia="Times New Roman"/>
                <w:lang w:eastAsia="en-US"/>
              </w:rPr>
              <w:t xml:space="preserve">звуковой</w:t>
            </w:r>
            <w:r>
              <w:rPr>
                <w:rFonts w:eastAsia="Times New Roman"/>
                <w:spacing w:val="31"/>
                <w:lang w:eastAsia="en-US"/>
              </w:rPr>
              <w:t xml:space="preserve"> </w:t>
            </w:r>
            <w:r>
              <w:rPr>
                <w:rFonts w:eastAsia="Times New Roman"/>
                <w:lang w:eastAsia="en-US"/>
              </w:rPr>
              <w:t xml:space="preserve">информации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53,47</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11,11</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38,79</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76,12</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8</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Знание</w:t>
            </w:r>
            <w:r>
              <w:rPr>
                <w:rFonts w:eastAsia="Times New Roman"/>
                <w:spacing w:val="18"/>
                <w:lang w:eastAsia="en-US"/>
              </w:rPr>
              <w:t xml:space="preserve"> </w:t>
            </w:r>
            <w:r>
              <w:rPr>
                <w:rFonts w:eastAsia="Times New Roman"/>
                <w:lang w:eastAsia="en-US"/>
              </w:rPr>
              <w:t xml:space="preserve">о</w:t>
            </w:r>
            <w:r>
              <w:rPr>
                <w:rFonts w:eastAsia="Times New Roman"/>
                <w:spacing w:val="18"/>
                <w:lang w:eastAsia="en-US"/>
              </w:rPr>
              <w:t xml:space="preserve"> </w:t>
            </w:r>
            <w:r>
              <w:rPr>
                <w:rFonts w:eastAsia="Times New Roman"/>
                <w:lang w:eastAsia="en-US"/>
              </w:rPr>
              <w:t xml:space="preserve">методах</w:t>
            </w:r>
            <w:r>
              <w:rPr>
                <w:rFonts w:eastAsia="Times New Roman"/>
                <w:spacing w:val="19"/>
                <w:lang w:eastAsia="en-US"/>
              </w:rPr>
              <w:t xml:space="preserve"> </w:t>
            </w:r>
            <w:r>
              <w:rPr>
                <w:rFonts w:eastAsia="Times New Roman"/>
                <w:lang w:eastAsia="en-US"/>
              </w:rPr>
              <w:t xml:space="preserve">измерения</w:t>
            </w:r>
            <w:r>
              <w:rPr>
                <w:rFonts w:eastAsia="Times New Roman"/>
                <w:spacing w:val="18"/>
                <w:lang w:eastAsia="en-US"/>
              </w:rPr>
              <w:t xml:space="preserve"> </w:t>
            </w:r>
            <w:r>
              <w:rPr>
                <w:rFonts w:eastAsia="Times New Roman"/>
                <w:lang w:eastAsia="en-US"/>
              </w:rPr>
              <w:t xml:space="preserve">ко</w:t>
            </w:r>
            <w:r>
              <w:rPr>
                <w:rFonts w:eastAsia="Times New Roman"/>
                <w:spacing w:val="-1"/>
                <w:lang w:eastAsia="en-US"/>
              </w:rPr>
              <w:t xml:space="preserve">личества</w:t>
            </w:r>
            <w:r>
              <w:rPr>
                <w:rFonts w:eastAsia="Times New Roman"/>
                <w:spacing w:val="-10"/>
                <w:lang w:eastAsia="en-US"/>
              </w:rPr>
              <w:t xml:space="preserve"> </w:t>
            </w:r>
            <w:r>
              <w:rPr>
                <w:rFonts w:eastAsia="Times New Roman"/>
                <w:lang w:eastAsia="en-US"/>
              </w:rPr>
              <w:t xml:space="preserve">информации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43,16</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6,35</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31,31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59,70</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84,38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9</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33"/>
                <w:lang w:eastAsia="en-US"/>
              </w:rPr>
              <w:t xml:space="preserve"> </w:t>
            </w:r>
            <w:r>
              <w:rPr>
                <w:rFonts w:eastAsia="Times New Roman"/>
                <w:lang w:eastAsia="en-US"/>
              </w:rPr>
              <w:t xml:space="preserve">обрабатывать</w:t>
            </w:r>
            <w:r>
              <w:rPr>
                <w:rFonts w:eastAsia="Times New Roman"/>
                <w:spacing w:val="35"/>
                <w:lang w:eastAsia="en-US"/>
              </w:rPr>
              <w:t xml:space="preserve"> </w:t>
            </w:r>
            <w:r>
              <w:rPr>
                <w:rFonts w:eastAsia="Times New Roman"/>
                <w:lang w:eastAsia="en-US"/>
              </w:rPr>
              <w:t xml:space="preserve">числовую</w:t>
            </w:r>
            <w:r/>
          </w:p>
          <w:p>
            <w:pPr>
              <w:pStyle w:val="940"/>
              <w:ind w:right="64" w:firstLine="0"/>
              <w:widowControl w:val="off"/>
            </w:pPr>
            <w:r>
              <w:rPr>
                <w:rFonts w:eastAsia="Times New Roman"/>
                <w:lang w:eastAsia="en-US"/>
              </w:rPr>
              <w:t xml:space="preserve">информацию</w:t>
            </w:r>
            <w:r>
              <w:rPr>
                <w:rFonts w:eastAsia="Times New Roman"/>
                <w:spacing w:val="4"/>
                <w:lang w:eastAsia="en-US"/>
              </w:rPr>
              <w:t xml:space="preserve"> </w:t>
            </w:r>
            <w:r>
              <w:rPr>
                <w:rFonts w:eastAsia="Times New Roman"/>
                <w:lang w:eastAsia="en-US"/>
              </w:rPr>
              <w:t xml:space="preserve">в</w:t>
            </w:r>
            <w:r>
              <w:rPr>
                <w:rFonts w:eastAsia="Times New Roman"/>
                <w:spacing w:val="3"/>
                <w:lang w:eastAsia="en-US"/>
              </w:rPr>
              <w:t xml:space="preserve"> </w:t>
            </w:r>
            <w:r>
              <w:rPr>
                <w:rFonts w:eastAsia="Times New Roman"/>
                <w:lang w:eastAsia="en-US"/>
              </w:rPr>
              <w:t xml:space="preserve">электронных</w:t>
            </w:r>
            <w:r>
              <w:rPr>
                <w:rFonts w:eastAsia="Times New Roman"/>
                <w:spacing w:val="3"/>
                <w:lang w:eastAsia="en-US"/>
              </w:rPr>
              <w:t xml:space="preserve"> </w:t>
            </w:r>
            <w:r>
              <w:rPr>
                <w:rFonts w:eastAsia="Times New Roman"/>
                <w:lang w:eastAsia="en-US"/>
              </w:rPr>
              <w:t xml:space="preserve">таблицах</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75,79</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33,33</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74,77</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87,31</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10</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57" w:firstLine="0"/>
              <w:widowControl w:val="off"/>
            </w:pPr>
            <w:r>
              <w:rPr>
                <w:rFonts w:eastAsia="Times New Roman"/>
                <w:lang w:eastAsia="en-US"/>
              </w:rPr>
              <w:t xml:space="preserve">Информационный</w:t>
            </w:r>
            <w:r>
              <w:rPr>
                <w:rFonts w:eastAsia="Times New Roman"/>
                <w:spacing w:val="21"/>
                <w:lang w:eastAsia="en-US"/>
              </w:rPr>
              <w:t xml:space="preserve"> </w:t>
            </w:r>
            <w:r>
              <w:rPr>
                <w:rFonts w:eastAsia="Times New Roman"/>
                <w:lang w:eastAsia="en-US"/>
              </w:rPr>
              <w:t xml:space="preserve">поиск</w:t>
            </w:r>
            <w:r>
              <w:rPr>
                <w:rFonts w:eastAsia="Times New Roman"/>
                <w:spacing w:val="22"/>
                <w:lang w:eastAsia="en-US"/>
              </w:rPr>
              <w:t xml:space="preserve"> </w:t>
            </w:r>
            <w:r>
              <w:rPr>
                <w:rFonts w:eastAsia="Times New Roman"/>
                <w:lang w:eastAsia="en-US"/>
              </w:rPr>
              <w:t xml:space="preserve">средствами</w:t>
            </w:r>
            <w:r>
              <w:rPr>
                <w:rFonts w:eastAsia="Times New Roman"/>
                <w:spacing w:val="4"/>
                <w:lang w:eastAsia="en-US"/>
              </w:rPr>
              <w:t xml:space="preserve"> </w:t>
            </w:r>
            <w:r>
              <w:rPr>
                <w:rFonts w:eastAsia="Times New Roman"/>
                <w:lang w:eastAsia="en-US"/>
              </w:rPr>
              <w:t xml:space="preserve">операционной</w:t>
            </w:r>
            <w:r>
              <w:rPr>
                <w:rFonts w:eastAsia="Times New Roman"/>
                <w:spacing w:val="5"/>
                <w:lang w:eastAsia="en-US"/>
              </w:rPr>
              <w:t xml:space="preserve"> </w:t>
            </w:r>
            <w:r>
              <w:rPr>
                <w:rFonts w:eastAsia="Times New Roman"/>
                <w:lang w:eastAsia="en-US"/>
              </w:rPr>
              <w:t xml:space="preserve">системы</w:t>
            </w:r>
            <w:r>
              <w:rPr>
                <w:rFonts w:eastAsia="Times New Roman"/>
                <w:spacing w:val="4"/>
                <w:lang w:eastAsia="en-US"/>
              </w:rPr>
              <w:t xml:space="preserve"> </w:t>
            </w:r>
            <w:r>
              <w:rPr>
                <w:rFonts w:eastAsia="Times New Roman"/>
                <w:lang w:eastAsia="en-US"/>
              </w:rPr>
              <w:t xml:space="preserve">или</w:t>
            </w:r>
            <w:r>
              <w:rPr>
                <w:rFonts w:eastAsia="Times New Roman"/>
                <w:lang w:eastAsia="en-US"/>
              </w:rPr>
              <w:t xml:space="preserve"> текстового</w:t>
            </w:r>
            <w:r>
              <w:rPr>
                <w:rFonts w:eastAsia="Times New Roman"/>
                <w:spacing w:val="21"/>
                <w:lang w:eastAsia="en-US"/>
              </w:rPr>
              <w:t xml:space="preserve"> </w:t>
            </w:r>
            <w:r>
              <w:rPr>
                <w:rFonts w:eastAsia="Times New Roman"/>
                <w:lang w:eastAsia="en-US"/>
              </w:rPr>
              <w:t xml:space="preserve">процессора</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73,68</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46,03</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68,69</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83,58</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11</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30"/>
                <w:lang w:eastAsia="en-US"/>
              </w:rPr>
              <w:t xml:space="preserve"> </w:t>
            </w:r>
            <w:r>
              <w:rPr>
                <w:rFonts w:eastAsia="Times New Roman"/>
                <w:lang w:eastAsia="en-US"/>
              </w:rPr>
              <w:t xml:space="preserve">подсчитывать</w:t>
            </w:r>
            <w:r>
              <w:rPr>
                <w:rFonts w:eastAsia="Times New Roman"/>
                <w:spacing w:val="31"/>
                <w:lang w:eastAsia="en-US"/>
              </w:rPr>
              <w:t xml:space="preserve"> </w:t>
            </w:r>
            <w:r>
              <w:rPr>
                <w:rFonts w:eastAsia="Times New Roman"/>
                <w:lang w:eastAsia="en-US"/>
              </w:rPr>
              <w:t xml:space="preserve">информа</w:t>
            </w:r>
            <w:r>
              <w:rPr>
                <w:rFonts w:eastAsia="Times New Roman"/>
                <w:spacing w:val="-1"/>
                <w:lang w:eastAsia="en-US"/>
              </w:rPr>
              <w:t xml:space="preserve">ционный</w:t>
            </w:r>
            <w:r>
              <w:rPr>
                <w:rFonts w:eastAsia="Times New Roman"/>
                <w:spacing w:val="-9"/>
                <w:lang w:eastAsia="en-US"/>
              </w:rPr>
              <w:t xml:space="preserve"> </w:t>
            </w:r>
            <w:r>
              <w:rPr>
                <w:rFonts w:eastAsia="Times New Roman"/>
                <w:lang w:eastAsia="en-US"/>
              </w:rPr>
              <w:t xml:space="preserve">объём</w:t>
            </w:r>
            <w:r>
              <w:rPr>
                <w:rFonts w:eastAsia="Times New Roman"/>
                <w:spacing w:val="-9"/>
                <w:lang w:eastAsia="en-US"/>
              </w:rPr>
              <w:t xml:space="preserve"> </w:t>
            </w:r>
            <w:r>
              <w:rPr>
                <w:rFonts w:eastAsia="Times New Roman"/>
                <w:lang w:eastAsia="en-US"/>
              </w:rPr>
              <w:t xml:space="preserve">сообщения</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30,74</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1,59</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9,81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53,73</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81,25</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12</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12"/>
                <w:lang w:eastAsia="en-US"/>
              </w:rPr>
              <w:t xml:space="preserve"> </w:t>
            </w:r>
            <w:r>
              <w:rPr>
                <w:rFonts w:eastAsia="Times New Roman"/>
                <w:lang w:eastAsia="en-US"/>
              </w:rPr>
              <w:t xml:space="preserve">исполнить</w:t>
            </w:r>
            <w:r>
              <w:rPr>
                <w:rFonts w:eastAsia="Times New Roman"/>
                <w:spacing w:val="13"/>
                <w:lang w:eastAsia="en-US"/>
              </w:rPr>
              <w:t xml:space="preserve"> </w:t>
            </w:r>
            <w:r>
              <w:rPr>
                <w:rFonts w:eastAsia="Times New Roman"/>
                <w:lang w:eastAsia="en-US"/>
              </w:rPr>
              <w:t xml:space="preserve">алгоритм</w:t>
            </w:r>
            <w:r>
              <w:rPr>
                <w:rFonts w:eastAsia="Times New Roman"/>
                <w:spacing w:val="14"/>
                <w:lang w:eastAsia="en-US"/>
              </w:rPr>
              <w:t xml:space="preserve"> </w:t>
            </w:r>
            <w:r>
              <w:rPr>
                <w:rFonts w:eastAsia="Times New Roman"/>
                <w:lang w:eastAsia="en-US"/>
              </w:rPr>
              <w:t xml:space="preserve">для</w:t>
            </w:r>
            <w:r>
              <w:rPr>
                <w:rFonts w:eastAsia="Times New Roman"/>
                <w:spacing w:val="-39"/>
                <w:lang w:eastAsia="en-US"/>
              </w:rPr>
              <w:t xml:space="preserve"> </w:t>
            </w:r>
            <w:r>
              <w:rPr>
                <w:rFonts w:eastAsia="Times New Roman"/>
                <w:lang w:eastAsia="en-US"/>
              </w:rPr>
              <w:t xml:space="preserve">конкретного</w:t>
            </w:r>
            <w:r>
              <w:rPr>
                <w:rFonts w:eastAsia="Times New Roman"/>
                <w:spacing w:val="12"/>
                <w:lang w:eastAsia="en-US"/>
              </w:rPr>
              <w:t xml:space="preserve"> </w:t>
            </w:r>
            <w:r>
              <w:rPr>
                <w:rFonts w:eastAsia="Times New Roman"/>
                <w:lang w:eastAsia="en-US"/>
              </w:rPr>
              <w:t xml:space="preserve">исполнителя</w:t>
            </w:r>
            <w:r>
              <w:rPr>
                <w:rFonts w:eastAsia="Times New Roman"/>
                <w:spacing w:val="13"/>
                <w:lang w:eastAsia="en-US"/>
              </w:rPr>
              <w:t xml:space="preserve"> </w:t>
            </w:r>
            <w:r>
              <w:rPr>
                <w:rFonts w:eastAsia="Times New Roman"/>
                <w:lang w:eastAsia="en-US"/>
              </w:rPr>
              <w:t xml:space="preserve">с</w:t>
            </w:r>
            <w:r>
              <w:rPr>
                <w:rFonts w:eastAsia="Times New Roman"/>
                <w:spacing w:val="12"/>
                <w:lang w:eastAsia="en-US"/>
              </w:rPr>
              <w:t xml:space="preserve"> </w:t>
            </w:r>
            <w:r>
              <w:rPr>
                <w:rFonts w:eastAsia="Times New Roman"/>
                <w:lang w:eastAsia="en-US"/>
              </w:rPr>
              <w:t xml:space="preserve">фик</w:t>
            </w:r>
            <w:r>
              <w:rPr>
                <w:rFonts w:eastAsia="Times New Roman"/>
                <w:lang w:eastAsia="en-US"/>
              </w:rPr>
              <w:t xml:space="preserve">сированным</w:t>
            </w:r>
            <w:r>
              <w:rPr>
                <w:rFonts w:eastAsia="Times New Roman"/>
                <w:spacing w:val="18"/>
                <w:lang w:eastAsia="en-US"/>
              </w:rPr>
              <w:t xml:space="preserve"> </w:t>
            </w:r>
            <w:r>
              <w:rPr>
                <w:rFonts w:eastAsia="Times New Roman"/>
                <w:lang w:eastAsia="en-US"/>
              </w:rPr>
              <w:t xml:space="preserve">набором</w:t>
            </w:r>
            <w:r>
              <w:rPr>
                <w:rFonts w:eastAsia="Times New Roman"/>
                <w:spacing w:val="19"/>
                <w:lang w:eastAsia="en-US"/>
              </w:rPr>
              <w:t xml:space="preserve"> </w:t>
            </w:r>
            <w:r>
              <w:rPr>
                <w:rFonts w:eastAsia="Times New Roman"/>
                <w:lang w:eastAsia="en-US"/>
              </w:rPr>
              <w:t xml:space="preserve">команд</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56,42</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3,17</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42,52</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85,82</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93,75</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13</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представлять</w:t>
            </w:r>
            <w:r>
              <w:rPr>
                <w:rFonts w:eastAsia="Times New Roman"/>
                <w:spacing w:val="1"/>
                <w:lang w:eastAsia="en-US"/>
              </w:rPr>
              <w:t xml:space="preserve"> </w:t>
            </w:r>
            <w:r>
              <w:rPr>
                <w:rFonts w:eastAsia="Times New Roman"/>
                <w:lang w:eastAsia="en-US"/>
              </w:rPr>
              <w:t xml:space="preserve">и</w:t>
            </w:r>
            <w:r>
              <w:rPr>
                <w:rFonts w:eastAsia="Times New Roman"/>
                <w:spacing w:val="1"/>
                <w:lang w:eastAsia="en-US"/>
              </w:rPr>
              <w:t xml:space="preserve"> </w:t>
            </w:r>
            <w:r>
              <w:rPr>
                <w:rFonts w:eastAsia="Times New Roman"/>
                <w:lang w:eastAsia="en-US"/>
              </w:rPr>
              <w:t xml:space="preserve">считывать данные в разных типах информационных моделей (схемы,</w:t>
            </w:r>
            <w:r>
              <w:rPr>
                <w:rFonts w:eastAsia="Times New Roman"/>
                <w:spacing w:val="1"/>
                <w:lang w:eastAsia="en-US"/>
              </w:rPr>
              <w:t xml:space="preserve"> </w:t>
            </w:r>
            <w:r>
              <w:rPr>
                <w:rFonts w:eastAsia="Times New Roman"/>
                <w:lang w:eastAsia="en-US"/>
              </w:rPr>
              <w:t xml:space="preserve">карты,</w:t>
            </w:r>
            <w:r>
              <w:rPr>
                <w:rFonts w:eastAsia="Times New Roman"/>
                <w:spacing w:val="18"/>
                <w:lang w:eastAsia="en-US"/>
              </w:rPr>
              <w:t xml:space="preserve"> </w:t>
            </w:r>
            <w:r>
              <w:rPr>
                <w:rFonts w:eastAsia="Times New Roman"/>
                <w:lang w:eastAsia="en-US"/>
              </w:rPr>
              <w:t xml:space="preserve">таблицы,</w:t>
            </w:r>
            <w:r>
              <w:rPr>
                <w:rFonts w:eastAsia="Times New Roman"/>
                <w:spacing w:val="19"/>
                <w:lang w:eastAsia="en-US"/>
              </w:rPr>
              <w:t xml:space="preserve"> </w:t>
            </w:r>
            <w:r>
              <w:rPr>
                <w:rFonts w:eastAsia="Times New Roman"/>
                <w:lang w:eastAsia="en-US"/>
              </w:rPr>
              <w:t xml:space="preserve">графики</w:t>
            </w:r>
            <w:r>
              <w:rPr>
                <w:rFonts w:eastAsia="Times New Roman"/>
                <w:spacing w:val="18"/>
                <w:lang w:eastAsia="en-US"/>
              </w:rPr>
              <w:t xml:space="preserve"> </w:t>
            </w:r>
            <w:r>
              <w:rPr>
                <w:rFonts w:eastAsia="Times New Roman"/>
                <w:lang w:eastAsia="en-US"/>
              </w:rPr>
              <w:t xml:space="preserve">и</w:t>
            </w:r>
            <w:r>
              <w:rPr>
                <w:rFonts w:eastAsia="Times New Roman"/>
                <w:spacing w:val="19"/>
                <w:lang w:eastAsia="en-US"/>
              </w:rPr>
              <w:t xml:space="preserve"> </w:t>
            </w:r>
            <w:r>
              <w:rPr>
                <w:rFonts w:eastAsia="Times New Roman"/>
                <w:lang w:eastAsia="en-US"/>
              </w:rPr>
              <w:t xml:space="preserve">формулы)</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63,37</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22,22</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57,01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77,61</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95,31</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14</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29" w:firstLine="0"/>
              <w:widowControl w:val="off"/>
              <w:tabs>
                <w:tab w:val="clear" w:pos="708" w:leader="none"/>
                <w:tab w:val="left" w:pos="849" w:leader="none"/>
                <w:tab w:val="left" w:pos="2062" w:leader="none"/>
              </w:tabs>
            </w:pPr>
            <w:r>
              <w:rPr>
                <w:rFonts w:eastAsia="Times New Roman"/>
                <w:lang w:eastAsia="en-US"/>
              </w:rPr>
              <w:t xml:space="preserve">Знание</w:t>
              <w:tab/>
              <w:t xml:space="preserve">позиционных систем</w:t>
            </w:r>
            <w:r>
              <w:rPr>
                <w:rFonts w:eastAsia="Times New Roman"/>
                <w:lang w:eastAsia="en-US"/>
              </w:rPr>
              <w:t xml:space="preserve"> </w:t>
            </w:r>
            <w:r>
              <w:rPr>
                <w:rFonts w:eastAsia="Times New Roman"/>
                <w:lang w:eastAsia="en-US"/>
              </w:rPr>
              <w:t xml:space="preserve">счисления</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43,37</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4,76</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26,64</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63,43</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95,31</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15</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29" w:firstLine="0"/>
              <w:widowControl w:val="off"/>
            </w:pPr>
            <w:r>
              <w:rPr>
                <w:rFonts w:eastAsia="Times New Roman"/>
                <w:lang w:eastAsia="en-US"/>
              </w:rPr>
              <w:t xml:space="preserve">Знание</w:t>
            </w:r>
            <w:r>
              <w:rPr>
                <w:rFonts w:eastAsia="Times New Roman"/>
                <w:spacing w:val="5"/>
                <w:lang w:eastAsia="en-US"/>
              </w:rPr>
              <w:t xml:space="preserve"> </w:t>
            </w:r>
            <w:r>
              <w:rPr>
                <w:rFonts w:eastAsia="Times New Roman"/>
                <w:lang w:eastAsia="en-US"/>
              </w:rPr>
              <w:t xml:space="preserve">основных</w:t>
            </w:r>
            <w:r>
              <w:rPr>
                <w:rFonts w:eastAsia="Times New Roman"/>
                <w:spacing w:val="6"/>
                <w:lang w:eastAsia="en-US"/>
              </w:rPr>
              <w:t xml:space="preserve"> </w:t>
            </w:r>
            <w:r>
              <w:rPr>
                <w:rFonts w:eastAsia="Times New Roman"/>
                <w:lang w:eastAsia="en-US"/>
              </w:rPr>
              <w:t xml:space="preserve">понятий</w:t>
            </w:r>
            <w:r>
              <w:rPr>
                <w:rFonts w:eastAsia="Times New Roman"/>
                <w:spacing w:val="6"/>
                <w:lang w:eastAsia="en-US"/>
              </w:rPr>
              <w:t xml:space="preserve"> </w:t>
            </w:r>
            <w:r>
              <w:rPr>
                <w:rFonts w:eastAsia="Times New Roman"/>
                <w:lang w:eastAsia="en-US"/>
              </w:rPr>
              <w:t xml:space="preserve">и</w:t>
            </w:r>
            <w:r>
              <w:rPr>
                <w:rFonts w:eastAsia="Times New Roman"/>
                <w:spacing w:val="6"/>
                <w:lang w:eastAsia="en-US"/>
              </w:rPr>
              <w:t xml:space="preserve"> </w:t>
            </w:r>
            <w:r>
              <w:rPr>
                <w:rFonts w:eastAsia="Times New Roman"/>
                <w:lang w:eastAsia="en-US"/>
              </w:rPr>
              <w:t xml:space="preserve">законов</w:t>
            </w:r>
            <w:r>
              <w:rPr>
                <w:rFonts w:eastAsia="Times New Roman"/>
                <w:spacing w:val="-11"/>
                <w:lang w:eastAsia="en-US"/>
              </w:rPr>
              <w:t xml:space="preserve"> </w:t>
            </w:r>
            <w:r>
              <w:rPr>
                <w:rFonts w:eastAsia="Times New Roman"/>
                <w:lang w:eastAsia="en-US"/>
              </w:rPr>
              <w:t xml:space="preserve">математической</w:t>
            </w:r>
            <w:r>
              <w:rPr>
                <w:rFonts w:eastAsia="Times New Roman"/>
                <w:spacing w:val="-10"/>
                <w:lang w:eastAsia="en-US"/>
              </w:rPr>
              <w:t xml:space="preserve"> </w:t>
            </w:r>
            <w:r>
              <w:rPr>
                <w:rFonts w:eastAsia="Times New Roman"/>
                <w:lang w:eastAsia="en-US"/>
              </w:rPr>
              <w:t xml:space="preserve">логики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28,63</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1,59</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7,94</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47,01</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85,94</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16</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29" w:firstLine="0"/>
              <w:widowControl w:val="off"/>
            </w:pPr>
            <w:r>
              <w:rPr>
                <w:rFonts w:eastAsia="Times New Roman"/>
                <w:lang w:eastAsia="en-US"/>
              </w:rPr>
              <w:t xml:space="preserve">Вычисление</w:t>
            </w:r>
            <w:r>
              <w:rPr>
                <w:rFonts w:eastAsia="Times New Roman"/>
                <w:spacing w:val="27"/>
                <w:lang w:eastAsia="en-US"/>
              </w:rPr>
              <w:t xml:space="preserve"> </w:t>
            </w:r>
            <w:r>
              <w:rPr>
                <w:rFonts w:eastAsia="Times New Roman"/>
                <w:lang w:eastAsia="en-US"/>
              </w:rPr>
              <w:t xml:space="preserve">рекуррентных</w:t>
            </w:r>
            <w:r>
              <w:rPr>
                <w:rFonts w:eastAsia="Times New Roman"/>
                <w:spacing w:val="27"/>
                <w:lang w:eastAsia="en-US"/>
              </w:rPr>
              <w:t xml:space="preserve"> </w:t>
            </w:r>
            <w:r>
              <w:rPr>
                <w:rFonts w:eastAsia="Times New Roman"/>
                <w:lang w:eastAsia="en-US"/>
              </w:rPr>
              <w:t xml:space="preserve">выражений</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53,47</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3,17</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35,51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83,58</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100,00</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17</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4" w:firstLine="0"/>
              <w:widowControl w:val="off"/>
            </w:pPr>
            <w:r>
              <w:rPr>
                <w:rFonts w:eastAsia="Times New Roman"/>
                <w:lang w:eastAsia="en-US"/>
              </w:rPr>
              <w:t xml:space="preserve">Умение     составить     алгоритм</w:t>
            </w:r>
            <w:r>
              <w:rPr>
                <w:rFonts w:eastAsia="Times New Roman"/>
                <w:spacing w:val="1"/>
                <w:lang w:eastAsia="en-US"/>
              </w:rPr>
              <w:t xml:space="preserve"> </w:t>
            </w:r>
            <w:r>
              <w:rPr>
                <w:rFonts w:eastAsia="Times New Roman"/>
                <w:lang w:eastAsia="en-US"/>
              </w:rPr>
              <w:t xml:space="preserve">и записать</w:t>
            </w:r>
            <w:r>
              <w:rPr>
                <w:rFonts w:eastAsia="Times New Roman"/>
                <w:spacing w:val="1"/>
                <w:lang w:eastAsia="en-US"/>
              </w:rPr>
              <w:t xml:space="preserve"> </w:t>
            </w:r>
            <w:r>
              <w:rPr>
                <w:rFonts w:eastAsia="Times New Roman"/>
                <w:lang w:eastAsia="en-US"/>
              </w:rPr>
              <w:t xml:space="preserve">его</w:t>
            </w:r>
            <w:r>
              <w:rPr>
                <w:rFonts w:eastAsia="Times New Roman"/>
                <w:spacing w:val="1"/>
                <w:lang w:eastAsia="en-US"/>
              </w:rPr>
              <w:t xml:space="preserve"> </w:t>
            </w:r>
            <w:r>
              <w:rPr>
                <w:rFonts w:eastAsia="Times New Roman"/>
                <w:lang w:eastAsia="en-US"/>
              </w:rPr>
              <w:t xml:space="preserve">в</w:t>
            </w:r>
            <w:r>
              <w:rPr>
                <w:rFonts w:eastAsia="Times New Roman"/>
                <w:spacing w:val="1"/>
                <w:lang w:eastAsia="en-US"/>
              </w:rPr>
              <w:t xml:space="preserve"> </w:t>
            </w:r>
            <w:r>
              <w:rPr>
                <w:rFonts w:eastAsia="Times New Roman"/>
                <w:lang w:eastAsia="en-US"/>
              </w:rPr>
              <w:t xml:space="preserve">виде</w:t>
            </w:r>
            <w:r>
              <w:rPr>
                <w:rFonts w:eastAsia="Times New Roman"/>
                <w:spacing w:val="1"/>
                <w:lang w:eastAsia="en-US"/>
              </w:rPr>
              <w:t xml:space="preserve"> </w:t>
            </w:r>
            <w:r>
              <w:rPr>
                <w:rFonts w:eastAsia="Times New Roman"/>
                <w:lang w:eastAsia="en-US"/>
              </w:rPr>
              <w:t xml:space="preserve">простой</w:t>
            </w:r>
            <w:r>
              <w:rPr>
                <w:rFonts w:eastAsia="Times New Roman"/>
                <w:spacing w:val="1"/>
                <w:lang w:eastAsia="en-US"/>
              </w:rPr>
              <w:t xml:space="preserve"> </w:t>
            </w:r>
            <w:r>
              <w:rPr>
                <w:rFonts w:eastAsia="Times New Roman"/>
                <w:lang w:eastAsia="en-US"/>
              </w:rPr>
              <w:t xml:space="preserve">программы (10–15</w:t>
            </w:r>
            <w:r>
              <w:rPr>
                <w:rFonts w:eastAsia="Times New Roman"/>
                <w:spacing w:val="1"/>
                <w:lang w:eastAsia="en-US"/>
              </w:rPr>
              <w:t xml:space="preserve"> </w:t>
            </w:r>
            <w:r>
              <w:rPr>
                <w:rFonts w:eastAsia="Times New Roman"/>
                <w:lang w:eastAsia="en-US"/>
              </w:rPr>
              <w:t xml:space="preserve">строк) на</w:t>
            </w:r>
            <w:r>
              <w:rPr>
                <w:rFonts w:eastAsia="Times New Roman"/>
                <w:spacing w:val="1"/>
                <w:lang w:eastAsia="en-US"/>
              </w:rPr>
              <w:t xml:space="preserve"> </w:t>
            </w:r>
            <w:r>
              <w:rPr>
                <w:rFonts w:eastAsia="Times New Roman"/>
                <w:lang w:eastAsia="en-US"/>
              </w:rPr>
              <w:t xml:space="preserve">язы</w:t>
            </w:r>
            <w:r>
              <w:rPr>
                <w:rFonts w:eastAsia="Times New Roman"/>
                <w:lang w:eastAsia="en-US"/>
              </w:rPr>
              <w:t xml:space="preserve">ке</w:t>
            </w:r>
            <w:r>
              <w:rPr>
                <w:rFonts w:eastAsia="Times New Roman"/>
                <w:spacing w:val="15"/>
                <w:lang w:eastAsia="en-US"/>
              </w:rPr>
              <w:t xml:space="preserve"> </w:t>
            </w:r>
            <w:r>
              <w:rPr>
                <w:rFonts w:eastAsia="Times New Roman"/>
                <w:lang w:eastAsia="en-US"/>
              </w:rPr>
              <w:t xml:space="preserve">программирования</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48,63</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1,59</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25,23</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85,07</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18</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3"/>
                <w:lang w:eastAsia="en-US"/>
              </w:rPr>
              <w:t xml:space="preserve"> </w:t>
            </w:r>
            <w:r>
              <w:rPr>
                <w:rFonts w:eastAsia="Times New Roman"/>
                <w:lang w:eastAsia="en-US"/>
              </w:rPr>
              <w:t xml:space="preserve">использовать</w:t>
            </w:r>
            <w:r>
              <w:rPr>
                <w:rFonts w:eastAsia="Times New Roman"/>
                <w:spacing w:val="4"/>
                <w:lang w:eastAsia="en-US"/>
              </w:rPr>
              <w:t xml:space="preserve"> </w:t>
            </w:r>
            <w:r>
              <w:rPr>
                <w:rFonts w:eastAsia="Times New Roman"/>
                <w:lang w:eastAsia="en-US"/>
              </w:rPr>
              <w:t xml:space="preserve">электронные</w:t>
            </w:r>
            <w:r>
              <w:rPr>
                <w:rFonts w:eastAsia="Times New Roman"/>
                <w:spacing w:val="30"/>
                <w:lang w:eastAsia="en-US"/>
              </w:rPr>
              <w:t xml:space="preserve"> </w:t>
            </w:r>
            <w:r>
              <w:rPr>
                <w:rFonts w:eastAsia="Times New Roman"/>
                <w:lang w:eastAsia="en-US"/>
              </w:rPr>
              <w:t xml:space="preserve">таблицы</w:t>
            </w:r>
            <w:r>
              <w:rPr>
                <w:rFonts w:eastAsia="Times New Roman"/>
                <w:spacing w:val="29"/>
                <w:lang w:eastAsia="en-US"/>
              </w:rPr>
              <w:t xml:space="preserve"> </w:t>
            </w:r>
            <w:r>
              <w:rPr>
                <w:rFonts w:eastAsia="Times New Roman"/>
                <w:lang w:eastAsia="en-US"/>
              </w:rPr>
              <w:t xml:space="preserve">для</w:t>
            </w:r>
            <w:r>
              <w:rPr>
                <w:rFonts w:eastAsia="Times New Roman"/>
                <w:spacing w:val="29"/>
                <w:lang w:eastAsia="en-US"/>
              </w:rPr>
              <w:t xml:space="preserve"> </w:t>
            </w:r>
            <w:r>
              <w:rPr>
                <w:rFonts w:eastAsia="Times New Roman"/>
                <w:lang w:eastAsia="en-US"/>
              </w:rPr>
              <w:t xml:space="preserve">обработки</w:t>
            </w:r>
            <w:r>
              <w:rPr>
                <w:rFonts w:eastAsia="Times New Roman"/>
                <w:spacing w:val="29"/>
                <w:lang w:eastAsia="en-US"/>
              </w:rPr>
              <w:t xml:space="preserve"> </w:t>
            </w:r>
            <w:r>
              <w:rPr>
                <w:rFonts w:eastAsia="Times New Roman"/>
                <w:lang w:eastAsia="en-US"/>
              </w:rPr>
              <w:t xml:space="preserve">це</w:t>
            </w:r>
            <w:r>
              <w:rPr>
                <w:rFonts w:eastAsia="Times New Roman"/>
                <w:spacing w:val="-1"/>
                <w:lang w:eastAsia="en-US"/>
              </w:rPr>
              <w:t xml:space="preserve">лочисленных</w:t>
            </w:r>
            <w:r>
              <w:rPr>
                <w:rFonts w:eastAsia="Times New Roman"/>
                <w:spacing w:val="-7"/>
                <w:lang w:eastAsia="en-US"/>
              </w:rPr>
              <w:t xml:space="preserve"> </w:t>
            </w:r>
            <w:r>
              <w:rPr>
                <w:rFonts w:eastAsia="Times New Roman"/>
                <w:lang w:eastAsia="en-US"/>
              </w:rPr>
              <w:t xml:space="preserve">данных</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33,26</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11,68</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60,45</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81,25</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19</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25"/>
                <w:lang w:eastAsia="en-US"/>
              </w:rPr>
              <w:t xml:space="preserve"> </w:t>
            </w:r>
            <w:r>
              <w:rPr>
                <w:rFonts w:eastAsia="Times New Roman"/>
                <w:lang w:eastAsia="en-US"/>
              </w:rPr>
              <w:t xml:space="preserve">анализировать</w:t>
            </w:r>
            <w:r>
              <w:rPr>
                <w:rFonts w:eastAsia="Times New Roman"/>
                <w:spacing w:val="24"/>
                <w:lang w:eastAsia="en-US"/>
              </w:rPr>
              <w:t xml:space="preserve"> </w:t>
            </w:r>
            <w:r>
              <w:rPr>
                <w:rFonts w:eastAsia="Times New Roman"/>
                <w:lang w:eastAsia="en-US"/>
              </w:rPr>
              <w:t xml:space="preserve">алгоритм</w:t>
            </w:r>
            <w:r/>
          </w:p>
          <w:p>
            <w:pPr>
              <w:pStyle w:val="940"/>
              <w:widowControl w:val="off"/>
            </w:pPr>
            <w:r>
              <w:rPr>
                <w:rFonts w:eastAsia="Times New Roman"/>
                <w:spacing w:val="-1"/>
                <w:lang w:eastAsia="en-US"/>
              </w:rPr>
              <w:t xml:space="preserve">логической</w:t>
            </w:r>
            <w:r>
              <w:rPr>
                <w:rFonts w:eastAsia="Times New Roman"/>
                <w:spacing w:val="-7"/>
                <w:lang w:eastAsia="en-US"/>
              </w:rPr>
              <w:t xml:space="preserve"> </w:t>
            </w:r>
            <w:r>
              <w:rPr>
                <w:rFonts w:eastAsia="Times New Roman"/>
                <w:lang w:eastAsia="en-US"/>
              </w:rPr>
              <w:t xml:space="preserve">игры</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Б</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64,84</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17,46</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55,61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86,57</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20</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tabs>
                <w:tab w:val="clear" w:pos="708" w:leader="none"/>
                <w:tab w:val="left" w:pos="854" w:leader="none"/>
                <w:tab w:val="left" w:pos="1503" w:leader="none"/>
              </w:tabs>
              <w:rPr>
                <w:rFonts w:eastAsia="Times New Roman"/>
                <w:lang w:eastAsia="en-US"/>
              </w:rPr>
            </w:pPr>
            <w:r>
              <w:rPr>
                <w:rFonts w:eastAsia="Times New Roman"/>
                <w:lang w:eastAsia="en-US"/>
              </w:rPr>
              <w:t xml:space="preserve">Умение</w:t>
              <w:tab/>
              <w:t xml:space="preserve">найти выигрышную</w:t>
            </w:r>
            <w:r/>
          </w:p>
          <w:p>
            <w:pPr>
              <w:pStyle w:val="940"/>
              <w:widowControl w:val="off"/>
            </w:pPr>
            <w:r>
              <w:rPr>
                <w:rFonts w:eastAsia="Times New Roman"/>
                <w:lang w:eastAsia="en-US"/>
              </w:rPr>
              <w:t xml:space="preserve">стратегию</w:t>
            </w:r>
            <w:r>
              <w:rPr>
                <w:rFonts w:eastAsia="Times New Roman"/>
                <w:spacing w:val="-10"/>
                <w:lang w:eastAsia="en-US"/>
              </w:rPr>
              <w:t xml:space="preserve"> </w:t>
            </w:r>
            <w:r>
              <w:rPr>
                <w:rFonts w:eastAsia="Times New Roman"/>
                <w:lang w:eastAsia="en-US"/>
              </w:rPr>
              <w:t xml:space="preserve">игры</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50,95</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3,17</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31,31</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82,84</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21</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59" w:firstLine="0"/>
              <w:widowControl w:val="off"/>
            </w:pPr>
            <w:r>
              <w:rPr>
                <w:rFonts w:eastAsia="Times New Roman"/>
                <w:lang w:eastAsia="en-US"/>
              </w:rPr>
              <w:t xml:space="preserve">Умение</w:t>
            </w:r>
            <w:r>
              <w:rPr>
                <w:rFonts w:eastAsia="Times New Roman"/>
                <w:spacing w:val="3"/>
                <w:lang w:eastAsia="en-US"/>
              </w:rPr>
              <w:t xml:space="preserve"> </w:t>
            </w:r>
            <w:r>
              <w:rPr>
                <w:rFonts w:eastAsia="Times New Roman"/>
                <w:lang w:eastAsia="en-US"/>
              </w:rPr>
              <w:t xml:space="preserve">построить</w:t>
            </w:r>
            <w:r>
              <w:rPr>
                <w:rFonts w:eastAsia="Times New Roman"/>
                <w:spacing w:val="4"/>
                <w:lang w:eastAsia="en-US"/>
              </w:rPr>
              <w:t xml:space="preserve"> </w:t>
            </w:r>
            <w:r>
              <w:rPr>
                <w:rFonts w:eastAsia="Times New Roman"/>
                <w:lang w:eastAsia="en-US"/>
              </w:rPr>
              <w:t xml:space="preserve">дерево</w:t>
            </w:r>
            <w:r>
              <w:rPr>
                <w:rFonts w:eastAsia="Times New Roman"/>
                <w:spacing w:val="4"/>
                <w:lang w:eastAsia="en-US"/>
              </w:rPr>
              <w:t xml:space="preserve"> </w:t>
            </w:r>
            <w:r>
              <w:rPr>
                <w:rFonts w:eastAsia="Times New Roman"/>
                <w:lang w:eastAsia="en-US"/>
              </w:rPr>
              <w:t xml:space="preserve">игры</w:t>
            </w:r>
            <w:r>
              <w:rPr>
                <w:rFonts w:eastAsia="Times New Roman"/>
                <w:spacing w:val="-39"/>
                <w:lang w:eastAsia="en-US"/>
              </w:rPr>
              <w:t xml:space="preserve"> </w:t>
            </w:r>
            <w:r>
              <w:rPr>
                <w:rFonts w:eastAsia="Times New Roman"/>
                <w:lang w:eastAsia="en-US"/>
              </w:rPr>
              <w:t xml:space="preserve">по</w:t>
            </w:r>
            <w:r>
              <w:rPr>
                <w:rFonts w:eastAsia="Times New Roman"/>
                <w:spacing w:val="5"/>
                <w:lang w:eastAsia="en-US"/>
              </w:rPr>
              <w:t xml:space="preserve"> </w:t>
            </w:r>
            <w:r>
              <w:rPr>
                <w:rFonts w:eastAsia="Times New Roman"/>
                <w:lang w:eastAsia="en-US"/>
              </w:rPr>
              <w:t xml:space="preserve">заданному</w:t>
            </w:r>
            <w:r>
              <w:rPr>
                <w:rFonts w:eastAsia="Times New Roman"/>
                <w:spacing w:val="6"/>
                <w:lang w:eastAsia="en-US"/>
              </w:rPr>
              <w:t xml:space="preserve"> </w:t>
            </w:r>
            <w:r>
              <w:rPr>
                <w:rFonts w:eastAsia="Times New Roman"/>
                <w:lang w:eastAsia="en-US"/>
              </w:rPr>
              <w:t xml:space="preserve">алгоритму</w:t>
            </w:r>
            <w:r>
              <w:rPr>
                <w:rFonts w:eastAsia="Times New Roman"/>
                <w:spacing w:val="7"/>
                <w:lang w:eastAsia="en-US"/>
              </w:rPr>
              <w:t xml:space="preserve"> </w:t>
            </w:r>
            <w:r>
              <w:rPr>
                <w:rFonts w:eastAsia="Times New Roman"/>
                <w:lang w:eastAsia="en-US"/>
              </w:rPr>
              <w:t xml:space="preserve">и</w:t>
            </w:r>
            <w:r>
              <w:rPr>
                <w:rFonts w:eastAsia="Times New Roman"/>
                <w:spacing w:val="5"/>
                <w:lang w:eastAsia="en-US"/>
              </w:rPr>
              <w:t xml:space="preserve"> </w:t>
            </w:r>
            <w:r>
              <w:rPr>
                <w:rFonts w:eastAsia="Times New Roman"/>
                <w:lang w:eastAsia="en-US"/>
              </w:rPr>
              <w:t xml:space="preserve">найти</w:t>
            </w:r>
            <w:r/>
          </w:p>
          <w:p>
            <w:pPr>
              <w:pStyle w:val="940"/>
              <w:widowControl w:val="off"/>
            </w:pPr>
            <w:r>
              <w:rPr>
                <w:rFonts w:eastAsia="Times New Roman"/>
                <w:lang w:eastAsia="en-US"/>
              </w:rPr>
              <w:t xml:space="preserve">выигрышную</w:t>
            </w:r>
            <w:r>
              <w:rPr>
                <w:rFonts w:eastAsia="Times New Roman"/>
                <w:spacing w:val="22"/>
                <w:lang w:eastAsia="en-US"/>
              </w:rPr>
              <w:t xml:space="preserve"> </w:t>
            </w:r>
            <w:r>
              <w:rPr>
                <w:rFonts w:eastAsia="Times New Roman"/>
                <w:lang w:eastAsia="en-US"/>
              </w:rPr>
              <w:t xml:space="preserve">стратегию</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37,26</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12,62</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67,91</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92,19</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22</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анализировать</w:t>
            </w:r>
            <w:r>
              <w:rPr>
                <w:rFonts w:eastAsia="Times New Roman"/>
                <w:spacing w:val="2"/>
                <w:lang w:eastAsia="en-US"/>
              </w:rPr>
              <w:t xml:space="preserve"> </w:t>
            </w:r>
            <w:r>
              <w:rPr>
                <w:rFonts w:eastAsia="Times New Roman"/>
                <w:lang w:eastAsia="en-US"/>
              </w:rPr>
              <w:t xml:space="preserve">алгоритм,</w:t>
            </w:r>
            <w:r/>
          </w:p>
          <w:p>
            <w:pPr>
              <w:pStyle w:val="940"/>
              <w:widowControl w:val="off"/>
            </w:pPr>
            <w:r>
              <w:rPr>
                <w:rFonts w:eastAsia="Times New Roman"/>
                <w:spacing w:val="-1"/>
                <w:lang w:eastAsia="en-US"/>
              </w:rPr>
              <w:t xml:space="preserve">содержащий</w:t>
            </w:r>
            <w:r>
              <w:rPr>
                <w:rFonts w:eastAsia="Times New Roman"/>
                <w:spacing w:val="-9"/>
                <w:lang w:eastAsia="en-US"/>
              </w:rPr>
              <w:t xml:space="preserve"> </w:t>
            </w:r>
            <w:r>
              <w:rPr>
                <w:rFonts w:eastAsia="Times New Roman"/>
                <w:lang w:eastAsia="en-US"/>
              </w:rPr>
              <w:t xml:space="preserve">ветвление</w:t>
            </w:r>
            <w:r>
              <w:rPr>
                <w:rFonts w:eastAsia="Times New Roman"/>
                <w:spacing w:val="-9"/>
                <w:lang w:eastAsia="en-US"/>
              </w:rPr>
              <w:t xml:space="preserve"> </w:t>
            </w:r>
            <w:r>
              <w:rPr>
                <w:rFonts w:eastAsia="Times New Roman"/>
                <w:lang w:eastAsia="en-US"/>
              </w:rPr>
              <w:t xml:space="preserve">и</w:t>
            </w:r>
            <w:r>
              <w:rPr>
                <w:rFonts w:eastAsia="Times New Roman"/>
                <w:spacing w:val="-8"/>
                <w:lang w:eastAsia="en-US"/>
              </w:rPr>
              <w:t xml:space="preserve"> </w:t>
            </w:r>
            <w:r>
              <w:rPr>
                <w:rFonts w:eastAsia="Times New Roman"/>
                <w:lang w:eastAsia="en-US"/>
              </w:rPr>
              <w:t xml:space="preserve">цикл</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60,84</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12,70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48,13</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86,57</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96,88</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23</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14"/>
                <w:lang w:eastAsia="en-US"/>
              </w:rPr>
              <w:t xml:space="preserve"> </w:t>
            </w:r>
            <w:r>
              <w:rPr>
                <w:rFonts w:eastAsia="Times New Roman"/>
                <w:lang w:eastAsia="en-US"/>
              </w:rPr>
              <w:t xml:space="preserve">анализировать</w:t>
            </w:r>
            <w:r>
              <w:rPr>
                <w:rFonts w:eastAsia="Times New Roman"/>
                <w:spacing w:val="15"/>
                <w:lang w:eastAsia="en-US"/>
              </w:rPr>
              <w:t xml:space="preserve"> </w:t>
            </w:r>
            <w:r>
              <w:rPr>
                <w:rFonts w:eastAsia="Times New Roman"/>
                <w:lang w:eastAsia="en-US"/>
              </w:rPr>
              <w:t xml:space="preserve">результат</w:t>
            </w:r>
            <w:r/>
          </w:p>
          <w:p>
            <w:pPr>
              <w:pStyle w:val="940"/>
              <w:widowControl w:val="off"/>
            </w:pPr>
            <w:r>
              <w:rPr>
                <w:rFonts w:eastAsia="Times New Roman"/>
                <w:lang w:eastAsia="en-US"/>
              </w:rPr>
              <w:t xml:space="preserve">исполнения</w:t>
            </w:r>
            <w:r>
              <w:rPr>
                <w:rFonts w:eastAsia="Times New Roman"/>
                <w:spacing w:val="22"/>
                <w:lang w:eastAsia="en-US"/>
              </w:rPr>
              <w:t xml:space="preserve"> </w:t>
            </w:r>
            <w:r>
              <w:rPr>
                <w:rFonts w:eastAsia="Times New Roman"/>
                <w:lang w:eastAsia="en-US"/>
              </w:rPr>
              <w:t xml:space="preserve">алгоритма</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П</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37,89</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3,17</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19,63</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58,21</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90,63</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24</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 </w:t>
            </w:r>
            <w:r>
              <w:rPr>
                <w:rFonts w:eastAsia="Times New Roman"/>
                <w:spacing w:val="32"/>
                <w:lang w:eastAsia="en-US"/>
              </w:rPr>
              <w:t xml:space="preserve">создавать</w:t>
            </w:r>
            <w:r>
              <w:rPr>
                <w:rFonts w:eastAsia="Times New Roman"/>
                <w:lang w:eastAsia="en-US"/>
              </w:rPr>
              <w:t xml:space="preserve"> </w:t>
            </w:r>
            <w:r>
              <w:rPr>
                <w:rFonts w:eastAsia="Times New Roman"/>
                <w:spacing w:val="33"/>
                <w:lang w:eastAsia="en-US"/>
              </w:rPr>
              <w:t xml:space="preserve">собственные</w:t>
            </w:r>
            <w:r/>
          </w:p>
          <w:p>
            <w:pPr>
              <w:pStyle w:val="940"/>
              <w:ind w:right="60" w:firstLine="0"/>
              <w:widowControl w:val="off"/>
            </w:pPr>
            <w:r>
              <w:rPr>
                <w:rFonts w:eastAsia="Times New Roman"/>
                <w:lang w:eastAsia="en-US"/>
              </w:rPr>
              <w:t xml:space="preserve">программы (10–20 строк) для об</w:t>
            </w:r>
            <w:r>
              <w:rPr>
                <w:rFonts w:eastAsia="Times New Roman"/>
                <w:lang w:eastAsia="en-US"/>
              </w:rPr>
              <w:t xml:space="preserve">работки</w:t>
            </w:r>
            <w:r>
              <w:rPr>
                <w:rFonts w:eastAsia="Times New Roman"/>
                <w:spacing w:val="36"/>
                <w:lang w:eastAsia="en-US"/>
              </w:rPr>
              <w:t xml:space="preserve"> </w:t>
            </w:r>
            <w:r>
              <w:rPr>
                <w:rFonts w:eastAsia="Times New Roman"/>
                <w:lang w:eastAsia="en-US"/>
              </w:rPr>
              <w:t xml:space="preserve">символьной</w:t>
            </w:r>
            <w:r>
              <w:rPr>
                <w:rFonts w:eastAsia="Times New Roman"/>
                <w:spacing w:val="37"/>
                <w:lang w:eastAsia="en-US"/>
              </w:rPr>
              <w:t xml:space="preserve"> </w:t>
            </w:r>
            <w:r>
              <w:rPr>
                <w:rFonts w:eastAsia="Times New Roman"/>
                <w:lang w:eastAsia="en-US"/>
              </w:rPr>
              <w:t xml:space="preserve">информации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9,68</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0,93</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11,19</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45,31</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25</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создавать</w:t>
            </w:r>
            <w:r>
              <w:rPr>
                <w:rFonts w:eastAsia="Times New Roman"/>
                <w:spacing w:val="1"/>
                <w:lang w:eastAsia="en-US"/>
              </w:rPr>
              <w:t xml:space="preserve"> </w:t>
            </w:r>
            <w:r>
              <w:rPr>
                <w:rFonts w:eastAsia="Times New Roman"/>
                <w:lang w:eastAsia="en-US"/>
              </w:rPr>
              <w:t xml:space="preserve">собственные</w:t>
            </w:r>
            <w:r>
              <w:rPr>
                <w:rFonts w:eastAsia="Times New Roman"/>
                <w:spacing w:val="1"/>
                <w:lang w:eastAsia="en-US"/>
              </w:rPr>
              <w:t xml:space="preserve"> </w:t>
            </w:r>
            <w:r>
              <w:rPr>
                <w:rFonts w:eastAsia="Times New Roman"/>
                <w:lang w:eastAsia="en-US"/>
              </w:rPr>
              <w:t xml:space="preserve">программы (10–20 строк) для обработки</w:t>
            </w:r>
            <w:r>
              <w:rPr>
                <w:rFonts w:eastAsia="Times New Roman"/>
                <w:spacing w:val="20"/>
                <w:lang w:eastAsia="en-US"/>
              </w:rPr>
              <w:t xml:space="preserve"> </w:t>
            </w:r>
            <w:r>
              <w:rPr>
                <w:rFonts w:eastAsia="Times New Roman"/>
                <w:lang w:eastAsia="en-US"/>
              </w:rPr>
              <w:t xml:space="preserve">целочисленной</w:t>
            </w:r>
            <w:r>
              <w:rPr>
                <w:rFonts w:eastAsia="Times New Roman"/>
                <w:spacing w:val="20"/>
                <w:lang w:eastAsia="en-US"/>
              </w:rPr>
              <w:t xml:space="preserve"> </w:t>
            </w:r>
            <w:r>
              <w:rPr>
                <w:rFonts w:eastAsia="Times New Roman"/>
                <w:lang w:eastAsia="en-US"/>
              </w:rPr>
              <w:t xml:space="preserve">информации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21,58</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0,47</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32,46</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90,63</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26</w:t>
            </w:r>
            <w:r/>
          </w:p>
        </w:tc>
        <w:tc>
          <w:tcPr>
            <w:tcBorders>
              <w:top w:val="single" w:color="000000" w:sz="8" w:space="0"/>
              <w:left w:val="single" w:color="000000" w:sz="8" w:space="0"/>
              <w:bottom w:val="single" w:color="000000" w:sz="8" w:space="0"/>
            </w:tcBorders>
            <w:tcW w:w="3008" w:type="dxa"/>
            <w:textDirection w:val="lrTb"/>
            <w:noWrap w:val="false"/>
          </w:tcPr>
          <w:p>
            <w:pPr>
              <w:pStyle w:val="940"/>
              <w:widowControl w:val="off"/>
            </w:pPr>
            <w:r>
              <w:rPr>
                <w:rFonts w:eastAsia="Times New Roman"/>
                <w:lang w:eastAsia="en-US"/>
              </w:rPr>
              <w:t xml:space="preserve">Умение</w:t>
            </w:r>
            <w:r>
              <w:rPr>
                <w:rFonts w:eastAsia="Times New Roman"/>
                <w:spacing w:val="26"/>
                <w:lang w:eastAsia="en-US"/>
              </w:rPr>
              <w:t xml:space="preserve"> </w:t>
            </w:r>
            <w:r>
              <w:rPr>
                <w:rFonts w:eastAsia="Times New Roman"/>
                <w:lang w:eastAsia="en-US"/>
              </w:rPr>
              <w:t xml:space="preserve">обрабатывать </w:t>
            </w:r>
            <w:r>
              <w:rPr>
                <w:rFonts w:eastAsia="Times New Roman"/>
                <w:spacing w:val="26"/>
                <w:lang w:eastAsia="en-US"/>
              </w:rPr>
              <w:t xml:space="preserve"> </w:t>
            </w:r>
            <w:r>
              <w:rPr>
                <w:rFonts w:eastAsia="Times New Roman"/>
                <w:lang w:eastAsia="en-US"/>
              </w:rPr>
              <w:t xml:space="preserve">целочисленную</w:t>
            </w:r>
            <w:r>
              <w:rPr>
                <w:rFonts w:eastAsia="Times New Roman"/>
                <w:spacing w:val="-4"/>
                <w:lang w:eastAsia="en-US"/>
              </w:rPr>
              <w:t xml:space="preserve"> </w:t>
            </w:r>
            <w:r>
              <w:rPr>
                <w:rFonts w:eastAsia="Times New Roman"/>
                <w:lang w:eastAsia="en-US"/>
              </w:rPr>
              <w:t xml:space="preserve">информацию</w:t>
            </w:r>
            <w:r>
              <w:rPr>
                <w:rFonts w:eastAsia="Times New Roman"/>
                <w:spacing w:val="-4"/>
                <w:lang w:eastAsia="en-US"/>
              </w:rPr>
              <w:t xml:space="preserve"> </w:t>
            </w:r>
            <w:r>
              <w:rPr>
                <w:rFonts w:eastAsia="Times New Roman"/>
                <w:lang w:eastAsia="en-US"/>
              </w:rPr>
              <w:t xml:space="preserve">с</w:t>
            </w:r>
            <w:r>
              <w:rPr>
                <w:rFonts w:eastAsia="Times New Roman"/>
                <w:spacing w:val="-2"/>
                <w:lang w:eastAsia="en-US"/>
              </w:rPr>
              <w:t xml:space="preserve"> </w:t>
            </w:r>
            <w:r>
              <w:rPr>
                <w:rFonts w:eastAsia="Times New Roman"/>
                <w:lang w:eastAsia="en-US"/>
              </w:rPr>
              <w:t xml:space="preserve">использованием</w:t>
            </w:r>
            <w:r>
              <w:rPr>
                <w:rFonts w:eastAsia="Times New Roman"/>
                <w:spacing w:val="-3"/>
                <w:lang w:eastAsia="en-US"/>
              </w:rPr>
              <w:t xml:space="preserve"> </w:t>
            </w:r>
            <w:r>
              <w:rPr>
                <w:rFonts w:eastAsia="Times New Roman"/>
                <w:lang w:eastAsia="en-US"/>
              </w:rPr>
              <w:t xml:space="preserve">сортировки</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11,58</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0,47</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11,57</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60,16</w:t>
            </w:r>
            <w:r/>
          </w:p>
        </w:tc>
      </w:tr>
      <w:tr>
        <w:trPr>
          <w:cantSplit/>
          <w:trHeight w:val="309"/>
        </w:trPr>
        <w:tc>
          <w:tcPr>
            <w:tcBorders>
              <w:top w:val="single" w:color="000000" w:sz="8" w:space="0"/>
              <w:left w:val="single" w:color="000000" w:sz="8" w:space="0"/>
              <w:bottom w:val="single" w:color="000000" w:sz="8" w:space="0"/>
            </w:tcBorders>
            <w:tcW w:w="940" w:type="dxa"/>
            <w:vAlign w:val="center"/>
            <w:textDirection w:val="lrTb"/>
            <w:noWrap w:val="false"/>
          </w:tcPr>
          <w:p>
            <w:pPr>
              <w:pStyle w:val="940"/>
              <w:jc w:val="center"/>
            </w:pPr>
            <w:r>
              <w:t xml:space="preserve">27</w:t>
            </w:r>
            <w:r/>
          </w:p>
        </w:tc>
        <w:tc>
          <w:tcPr>
            <w:tcBorders>
              <w:top w:val="single" w:color="000000" w:sz="8" w:space="0"/>
              <w:left w:val="single" w:color="000000" w:sz="8" w:space="0"/>
              <w:bottom w:val="single" w:color="000000" w:sz="8" w:space="0"/>
            </w:tcBorders>
            <w:tcW w:w="3008" w:type="dxa"/>
            <w:textDirection w:val="lrTb"/>
            <w:noWrap w:val="false"/>
          </w:tcPr>
          <w:p>
            <w:pPr>
              <w:pStyle w:val="940"/>
              <w:ind w:right="64" w:firstLine="0"/>
              <w:widowControl w:val="off"/>
            </w:pPr>
            <w:r>
              <w:rPr>
                <w:rFonts w:eastAsia="Times New Roman"/>
                <w:lang w:eastAsia="en-US"/>
              </w:rPr>
              <w:t xml:space="preserve">Умение</w:t>
            </w:r>
            <w:r>
              <w:rPr>
                <w:rFonts w:eastAsia="Times New Roman"/>
                <w:spacing w:val="1"/>
                <w:lang w:eastAsia="en-US"/>
              </w:rPr>
              <w:t xml:space="preserve"> </w:t>
            </w:r>
            <w:r>
              <w:rPr>
                <w:rFonts w:eastAsia="Times New Roman"/>
                <w:lang w:eastAsia="en-US"/>
              </w:rPr>
              <w:t xml:space="preserve">создавать</w:t>
            </w:r>
            <w:r>
              <w:rPr>
                <w:rFonts w:eastAsia="Times New Roman"/>
                <w:spacing w:val="1"/>
                <w:lang w:eastAsia="en-US"/>
              </w:rPr>
              <w:t xml:space="preserve"> </w:t>
            </w:r>
            <w:r>
              <w:rPr>
                <w:rFonts w:eastAsia="Times New Roman"/>
                <w:lang w:eastAsia="en-US"/>
              </w:rPr>
              <w:t xml:space="preserve">собственные</w:t>
            </w:r>
            <w:r>
              <w:rPr>
                <w:rFonts w:eastAsia="Times New Roman"/>
                <w:spacing w:val="1"/>
                <w:lang w:eastAsia="en-US"/>
              </w:rPr>
              <w:t xml:space="preserve"> </w:t>
            </w:r>
            <w:r>
              <w:rPr>
                <w:rFonts w:eastAsia="Times New Roman"/>
                <w:lang w:eastAsia="en-US"/>
              </w:rPr>
              <w:t xml:space="preserve">программы</w:t>
            </w:r>
            <w:r>
              <w:rPr>
                <w:rFonts w:eastAsia="Times New Roman"/>
                <w:spacing w:val="1"/>
                <w:lang w:eastAsia="en-US"/>
              </w:rPr>
              <w:t xml:space="preserve"> </w:t>
            </w:r>
            <w:r>
              <w:rPr>
                <w:rFonts w:eastAsia="Times New Roman"/>
                <w:lang w:eastAsia="en-US"/>
              </w:rPr>
              <w:t xml:space="preserve">(20–40</w:t>
            </w:r>
            <w:r>
              <w:rPr>
                <w:rFonts w:eastAsia="Times New Roman"/>
                <w:spacing w:val="1"/>
                <w:lang w:eastAsia="en-US"/>
              </w:rPr>
              <w:t xml:space="preserve"> </w:t>
            </w:r>
            <w:r>
              <w:rPr>
                <w:rFonts w:eastAsia="Times New Roman"/>
                <w:lang w:eastAsia="en-US"/>
              </w:rPr>
              <w:t xml:space="preserve">строк)</w:t>
            </w:r>
            <w:r>
              <w:rPr>
                <w:rFonts w:eastAsia="Times New Roman"/>
                <w:spacing w:val="1"/>
                <w:lang w:eastAsia="en-US"/>
              </w:rPr>
              <w:t xml:space="preserve"> </w:t>
            </w:r>
            <w:r>
              <w:rPr>
                <w:rFonts w:eastAsia="Times New Roman"/>
                <w:lang w:eastAsia="en-US"/>
              </w:rPr>
              <w:t xml:space="preserve">для</w:t>
            </w:r>
            <w:r>
              <w:rPr>
                <w:rFonts w:eastAsia="Times New Roman"/>
                <w:spacing w:val="-39"/>
                <w:lang w:eastAsia="en-US"/>
              </w:rPr>
              <w:t xml:space="preserve"> </w:t>
            </w:r>
            <w:r>
              <w:rPr>
                <w:rFonts w:eastAsia="Times New Roman"/>
                <w:lang w:eastAsia="en-US"/>
              </w:rPr>
              <w:t xml:space="preserve">анализа</w:t>
            </w:r>
            <w:r>
              <w:rPr>
                <w:rFonts w:eastAsia="Times New Roman"/>
                <w:spacing w:val="9"/>
                <w:lang w:eastAsia="en-US"/>
              </w:rPr>
              <w:t xml:space="preserve"> </w:t>
            </w:r>
            <w:r>
              <w:rPr>
                <w:rFonts w:eastAsia="Times New Roman"/>
                <w:lang w:eastAsia="en-US"/>
              </w:rPr>
              <w:t xml:space="preserve">числовых</w:t>
            </w:r>
            <w:r>
              <w:rPr>
                <w:rFonts w:eastAsia="Times New Roman"/>
                <w:spacing w:val="10"/>
                <w:lang w:eastAsia="en-US"/>
              </w:rPr>
              <w:t xml:space="preserve"> </w:t>
            </w:r>
            <w:r>
              <w:rPr>
                <w:rFonts w:eastAsia="Times New Roman"/>
                <w:lang w:eastAsia="en-US"/>
              </w:rPr>
              <w:t xml:space="preserve">последовательностей</w:t>
            </w:r>
            <w:r/>
          </w:p>
        </w:tc>
        <w:tc>
          <w:tcPr>
            <w:tcBorders>
              <w:top w:val="single" w:color="000000" w:sz="8" w:space="0"/>
              <w:left w:val="single" w:color="000000" w:sz="8" w:space="0"/>
              <w:bottom w:val="single" w:color="000000" w:sz="8" w:space="0"/>
            </w:tcBorders>
            <w:tcW w:w="1139" w:type="dxa"/>
            <w:vAlign w:val="center"/>
            <w:textDirection w:val="lrTb"/>
            <w:noWrap w:val="false"/>
          </w:tcPr>
          <w:p>
            <w:pPr>
              <w:pStyle w:val="940"/>
              <w:jc w:val="center"/>
              <w:spacing w:before="1" w:after="0"/>
              <w:widowControl w:val="off"/>
              <w:rPr>
                <w:rFonts w:eastAsia="Times New Roman"/>
                <w:lang w:eastAsia="en-US"/>
              </w:rPr>
            </w:pPr>
            <w:r>
              <w:rPr>
                <w:rFonts w:eastAsia="Times New Roman"/>
                <w:lang w:eastAsia="en-US"/>
              </w:rPr>
              <w:t xml:space="preserve">В</w:t>
            </w:r>
            <w:r/>
          </w:p>
        </w:tc>
        <w:tc>
          <w:tcPr>
            <w:tcBorders>
              <w:left w:val="single" w:color="000000" w:sz="4" w:space="0"/>
              <w:bottom w:val="single" w:color="000000" w:sz="4" w:space="0"/>
            </w:tcBorders>
            <w:tcW w:w="1162" w:type="dxa"/>
            <w:vAlign w:val="center"/>
            <w:textDirection w:val="lrTb"/>
            <w:noWrap w:val="false"/>
          </w:tcPr>
          <w:p>
            <w:pPr>
              <w:pStyle w:val="940"/>
              <w:jc w:val="center"/>
              <w:rPr>
                <w:color w:val="000000"/>
              </w:rPr>
            </w:pPr>
            <w:r>
              <w:rPr>
                <w:color w:val="000000"/>
              </w:rPr>
              <w:t xml:space="preserve">2,53</w:t>
            </w:r>
            <w:r/>
          </w:p>
        </w:tc>
        <w:tc>
          <w:tcPr>
            <w:tcBorders>
              <w:left w:val="single" w:color="000000" w:sz="4" w:space="0"/>
              <w:bottom w:val="single" w:color="000000" w:sz="4" w:space="0"/>
            </w:tcBorders>
            <w:tcW w:w="1078"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771" w:type="dxa"/>
            <w:vAlign w:val="center"/>
            <w:textDirection w:val="lrTb"/>
            <w:noWrap w:val="false"/>
          </w:tcPr>
          <w:p>
            <w:pPr>
              <w:pStyle w:val="940"/>
              <w:jc w:val="center"/>
              <w:rPr>
                <w:color w:val="000000"/>
              </w:rPr>
            </w:pPr>
            <w:r>
              <w:rPr>
                <w:color w:val="000000"/>
              </w:rPr>
              <w:t xml:space="preserve">0,00</w:t>
            </w:r>
            <w:r/>
          </w:p>
        </w:tc>
        <w:tc>
          <w:tcPr>
            <w:tcBorders>
              <w:left w:val="single" w:color="000000" w:sz="4" w:space="0"/>
              <w:bottom w:val="single" w:color="000000" w:sz="4" w:space="0"/>
            </w:tcBorders>
            <w:tcW w:w="965" w:type="dxa"/>
            <w:vAlign w:val="center"/>
            <w:textDirection w:val="lrTb"/>
            <w:noWrap w:val="false"/>
          </w:tcPr>
          <w:p>
            <w:pPr>
              <w:pStyle w:val="940"/>
              <w:jc w:val="center"/>
              <w:rPr>
                <w:color w:val="000000"/>
              </w:rPr>
            </w:pPr>
            <w:r>
              <w:rPr>
                <w:color w:val="000000"/>
              </w:rPr>
              <w:t xml:space="preserve">1,49</w:t>
            </w:r>
            <w:r/>
          </w:p>
        </w:tc>
        <w:tc>
          <w:tcPr>
            <w:tcBorders>
              <w:left w:val="single" w:color="000000" w:sz="4" w:space="0"/>
              <w:bottom w:val="single" w:color="000000" w:sz="4" w:space="0"/>
              <w:right w:val="single" w:color="000000" w:sz="4" w:space="0"/>
            </w:tcBorders>
            <w:tcW w:w="845" w:type="dxa"/>
            <w:vAlign w:val="center"/>
            <w:textDirection w:val="lrTb"/>
            <w:noWrap w:val="false"/>
          </w:tcPr>
          <w:p>
            <w:pPr>
              <w:pStyle w:val="940"/>
              <w:jc w:val="center"/>
              <w:rPr>
                <w:color w:val="000000"/>
              </w:rPr>
            </w:pPr>
            <w:r>
              <w:rPr>
                <w:color w:val="000000"/>
              </w:rPr>
              <w:t xml:space="preserve">15,63</w:t>
            </w:r>
            <w:r/>
          </w:p>
        </w:tc>
      </w:tr>
    </w:tbl>
    <w:p>
      <w:pPr>
        <w:pStyle w:val="940"/>
        <w:jc w:val="both"/>
        <w:rPr>
          <w:iCs/>
        </w:rPr>
      </w:pPr>
      <w:r>
        <w:rPr>
          <w:iCs/>
        </w:rPr>
      </w:r>
      <w:r/>
    </w:p>
    <w:p>
      <w:pPr>
        <w:pStyle w:val="943"/>
        <w:numPr>
          <w:ilvl w:val="0"/>
          <w:numId w:val="0"/>
        </w:numPr>
        <w:ind w:left="567" w:firstLine="0"/>
      </w:pPr>
      <w:r>
        <w:rPr>
          <w:rFonts w:ascii="Times New Roman" w:hAnsi="Times New Roman" w:cs="Times New Roman"/>
          <w:bCs w:val="0"/>
          <w:lang w:val="ru-RU"/>
        </w:rPr>
        <w:t xml:space="preserve">3.2.2</w:t>
      </w:r>
      <w:r>
        <w:rPr>
          <w:rFonts w:ascii="Times New Roman" w:hAnsi="Times New Roman" w:cs="Times New Roman"/>
          <w:b w:val="0"/>
          <w:bCs w:val="0"/>
          <w:lang w:val="ru-RU"/>
        </w:rPr>
        <w:t xml:space="preserve">. </w:t>
      </w:r>
      <w:r>
        <w:rPr>
          <w:rFonts w:ascii="Times New Roman" w:hAnsi="Times New Roman" w:cs="Times New Roman"/>
          <w:b w:val="0"/>
          <w:bCs w:val="0"/>
        </w:rPr>
        <w:t xml:space="preserve">Содержательный анализ выполнения заданий КИМ</w:t>
      </w:r>
      <w:r/>
    </w:p>
    <w:p>
      <w:pPr>
        <w:pStyle w:val="940"/>
        <w:jc w:val="both"/>
        <w:rPr>
          <w:b/>
          <w:bCs/>
        </w:rPr>
      </w:pPr>
      <w:r>
        <w:rPr>
          <w:b/>
          <w:bCs/>
        </w:rPr>
      </w:r>
      <w:r/>
    </w:p>
    <w:p>
      <w:pPr>
        <w:pStyle w:val="940"/>
        <w:jc w:val="both"/>
      </w:pPr>
      <w:r>
        <w:t xml:space="preserve">Укажем распределение заданий по диапазонам процентов выполнения.</w:t>
      </w:r>
      <w:r/>
    </w:p>
    <w:p>
      <w:pPr>
        <w:pStyle w:val="940"/>
        <w:jc w:val="both"/>
      </w:pPr>
      <w:r/>
      <w:r/>
    </w:p>
    <w:p>
      <w:pPr>
        <w:pStyle w:val="940"/>
        <w:jc w:val="both"/>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rPr>
      </w:pPr>
      <w:r>
        <w:rPr>
          <w:i/>
        </w:rPr>
        <w:t xml:space="preserve">Таблица</w:t>
      </w:r>
      <w:r/>
    </w:p>
    <w:p>
      <w:pPr>
        <w:pStyle w:val="940"/>
        <w:jc w:val="center"/>
        <w:rPr>
          <w:i/>
        </w:rPr>
      </w:pPr>
      <w:r>
        <w:rPr>
          <w:i/>
        </w:rPr>
        <w:t xml:space="preserve">Распределение заданий по диапазонам процентов выполнения</w:t>
      </w:r>
      <w:r/>
    </w:p>
    <w:p>
      <w:pPr>
        <w:pStyle w:val="940"/>
        <w:jc w:val="both"/>
        <w:rPr>
          <w:i/>
          <w:iCs/>
        </w:rPr>
      </w:pPr>
      <w:r>
        <w:rPr>
          <w:i/>
          <w:iCs/>
        </w:rPr>
      </w:r>
      <w:r/>
    </w:p>
    <w:tbl>
      <w:tblPr>
        <w:tblW w:w="9766" w:type="dxa"/>
        <w:tblInd w:w="-5" w:type="dxa"/>
        <w:tblLayout w:type="fixed"/>
        <w:tblCellMar>
          <w:left w:w="108" w:type="dxa"/>
          <w:top w:w="0" w:type="dxa"/>
          <w:right w:w="108" w:type="dxa"/>
          <w:bottom w:w="0" w:type="dxa"/>
        </w:tblCellMar>
        <w:tblLook w:val="04A0" w:firstRow="1" w:lastRow="0" w:firstColumn="1" w:lastColumn="0" w:noHBand="0" w:noVBand="1"/>
      </w:tblPr>
      <w:tblGrid>
        <w:gridCol w:w="2457"/>
        <w:gridCol w:w="2796"/>
        <w:gridCol w:w="2276"/>
        <w:gridCol w:w="2237"/>
      </w:tblGrid>
      <w:tr>
        <w:trPr/>
        <w:tc>
          <w:tcPr>
            <w:tcBorders>
              <w:top w:val="single" w:color="000000" w:sz="4" w:space="0"/>
              <w:left w:val="single" w:color="000000" w:sz="4" w:space="0"/>
              <w:bottom w:val="single" w:color="000000" w:sz="4" w:space="0"/>
            </w:tcBorders>
            <w:tcW w:w="2457" w:type="dxa"/>
            <w:textDirection w:val="lrTb"/>
            <w:noWrap w:val="false"/>
          </w:tcPr>
          <w:p>
            <w:pPr>
              <w:pStyle w:val="940"/>
              <w:jc w:val="center"/>
              <w:rPr>
                <w:i/>
                <w:iCs/>
              </w:rPr>
            </w:pPr>
            <w:r>
              <w:rPr>
                <w:i/>
                <w:iCs/>
              </w:rPr>
              <w:t xml:space="preserve">Средний процент</w:t>
            </w:r>
            <w:r/>
          </w:p>
          <w:p>
            <w:pPr>
              <w:pStyle w:val="940"/>
              <w:jc w:val="center"/>
              <w:rPr>
                <w:i/>
                <w:iCs/>
              </w:rPr>
            </w:pPr>
            <w:r>
              <w:rPr>
                <w:i/>
                <w:iCs/>
              </w:rPr>
              <w:t xml:space="preserve">выполнения по</w:t>
            </w:r>
            <w:r/>
          </w:p>
          <w:p>
            <w:pPr>
              <w:pStyle w:val="940"/>
              <w:jc w:val="center"/>
              <w:rPr>
                <w:i/>
                <w:iCs/>
              </w:rPr>
            </w:pPr>
            <w:r>
              <w:rPr>
                <w:i/>
                <w:iCs/>
              </w:rPr>
              <w:t xml:space="preserve">региону</w:t>
            </w:r>
            <w:r/>
          </w:p>
          <w:p>
            <w:pPr>
              <w:pStyle w:val="940"/>
              <w:jc w:val="center"/>
              <w:rPr>
                <w:i/>
                <w:iCs/>
              </w:rPr>
            </w:pPr>
            <w:r>
              <w:rPr>
                <w:i/>
                <w:iCs/>
              </w:rPr>
              <w:t xml:space="preserve">&gt; 60%</w:t>
            </w:r>
            <w:r/>
          </w:p>
        </w:tc>
        <w:tc>
          <w:tcPr>
            <w:tcBorders>
              <w:top w:val="single" w:color="000000" w:sz="4" w:space="0"/>
              <w:left w:val="single" w:color="000000" w:sz="4" w:space="0"/>
              <w:bottom w:val="single" w:color="000000" w:sz="4" w:space="0"/>
            </w:tcBorders>
            <w:tcW w:w="2796" w:type="dxa"/>
            <w:textDirection w:val="lrTb"/>
            <w:noWrap w:val="false"/>
          </w:tcPr>
          <w:p>
            <w:pPr>
              <w:pStyle w:val="940"/>
              <w:jc w:val="center"/>
              <w:rPr>
                <w:i/>
                <w:iCs/>
              </w:rPr>
            </w:pPr>
            <w:r>
              <w:rPr>
                <w:i/>
                <w:iCs/>
              </w:rPr>
              <w:t xml:space="preserve">Средний процент</w:t>
            </w:r>
            <w:r/>
          </w:p>
          <w:p>
            <w:pPr>
              <w:pStyle w:val="940"/>
              <w:jc w:val="center"/>
              <w:rPr>
                <w:i/>
                <w:iCs/>
              </w:rPr>
            </w:pPr>
            <w:r>
              <w:rPr>
                <w:i/>
                <w:iCs/>
              </w:rPr>
              <w:t xml:space="preserve">выполнения по региону</w:t>
            </w:r>
            <w:r/>
          </w:p>
          <w:p>
            <w:pPr>
              <w:pStyle w:val="940"/>
              <w:jc w:val="center"/>
              <w:rPr>
                <w:i/>
                <w:iCs/>
              </w:rPr>
            </w:pPr>
            <w:r>
              <w:rPr>
                <w:i/>
                <w:iCs/>
              </w:rPr>
              <w:t xml:space="preserve">35-60%</w:t>
            </w:r>
            <w:r/>
          </w:p>
        </w:tc>
        <w:tc>
          <w:tcPr>
            <w:tcBorders>
              <w:top w:val="single" w:color="000000" w:sz="4" w:space="0"/>
              <w:left w:val="single" w:color="000000" w:sz="4" w:space="0"/>
              <w:bottom w:val="single" w:color="000000" w:sz="4" w:space="0"/>
            </w:tcBorders>
            <w:tcW w:w="2276" w:type="dxa"/>
            <w:textDirection w:val="lrTb"/>
            <w:noWrap w:val="false"/>
          </w:tcPr>
          <w:p>
            <w:pPr>
              <w:pStyle w:val="940"/>
              <w:jc w:val="center"/>
              <w:rPr>
                <w:i/>
                <w:iCs/>
              </w:rPr>
            </w:pPr>
            <w:r>
              <w:rPr>
                <w:i/>
                <w:iCs/>
              </w:rPr>
              <w:t xml:space="preserve">Средний процент</w:t>
            </w:r>
            <w:r/>
          </w:p>
          <w:p>
            <w:pPr>
              <w:pStyle w:val="940"/>
              <w:jc w:val="center"/>
              <w:rPr>
                <w:i/>
                <w:iCs/>
              </w:rPr>
            </w:pPr>
            <w:r>
              <w:rPr>
                <w:i/>
                <w:iCs/>
              </w:rPr>
              <w:t xml:space="preserve">выполнения по региону</w:t>
            </w:r>
            <w:r/>
          </w:p>
          <w:p>
            <w:pPr>
              <w:pStyle w:val="940"/>
              <w:jc w:val="center"/>
              <w:rPr>
                <w:i/>
                <w:iCs/>
              </w:rPr>
            </w:pPr>
            <w:r>
              <w:rPr>
                <w:i/>
                <w:iCs/>
              </w:rPr>
              <w:t xml:space="preserve">10-35%</w:t>
            </w:r>
            <w:r/>
          </w:p>
        </w:tc>
        <w:tc>
          <w:tcPr>
            <w:tcBorders>
              <w:top w:val="single" w:color="000000" w:sz="4" w:space="0"/>
              <w:left w:val="single" w:color="000000" w:sz="4" w:space="0"/>
              <w:bottom w:val="single" w:color="000000" w:sz="4" w:space="0"/>
              <w:right w:val="single" w:color="000000" w:sz="4" w:space="0"/>
            </w:tcBorders>
            <w:tcW w:w="2237" w:type="dxa"/>
            <w:textDirection w:val="lrTb"/>
            <w:noWrap w:val="false"/>
          </w:tcPr>
          <w:p>
            <w:pPr>
              <w:pStyle w:val="940"/>
              <w:jc w:val="center"/>
              <w:rPr>
                <w:i/>
                <w:iCs/>
              </w:rPr>
            </w:pPr>
            <w:r>
              <w:rPr>
                <w:i/>
                <w:iCs/>
              </w:rPr>
              <w:t xml:space="preserve">Средний процент</w:t>
            </w:r>
            <w:r/>
          </w:p>
          <w:p>
            <w:pPr>
              <w:pStyle w:val="940"/>
              <w:jc w:val="center"/>
              <w:rPr>
                <w:i/>
                <w:iCs/>
              </w:rPr>
            </w:pPr>
            <w:r>
              <w:rPr>
                <w:i/>
                <w:iCs/>
              </w:rPr>
              <w:t xml:space="preserve">выполнения по</w:t>
            </w:r>
            <w:r/>
          </w:p>
          <w:p>
            <w:pPr>
              <w:pStyle w:val="940"/>
              <w:jc w:val="center"/>
              <w:rPr>
                <w:i/>
                <w:iCs/>
              </w:rPr>
            </w:pPr>
            <w:r>
              <w:rPr>
                <w:i/>
                <w:iCs/>
              </w:rPr>
              <w:t xml:space="preserve">региону</w:t>
            </w:r>
            <w:r/>
          </w:p>
          <w:p>
            <w:pPr>
              <w:pStyle w:val="940"/>
              <w:jc w:val="center"/>
              <w:rPr>
                <w:i/>
                <w:iCs/>
              </w:rPr>
            </w:pPr>
            <w:r>
              <w:rPr>
                <w:i/>
                <w:iCs/>
              </w:rPr>
              <w:t xml:space="preserve">&lt;10%</w:t>
            </w:r>
            <w:r/>
          </w:p>
        </w:tc>
      </w:tr>
      <w:tr>
        <w:trPr/>
        <w:tc>
          <w:tcPr>
            <w:tcBorders>
              <w:top w:val="single" w:color="000000" w:sz="4" w:space="0"/>
              <w:left w:val="single" w:color="000000" w:sz="4" w:space="0"/>
              <w:bottom w:val="single" w:color="000000" w:sz="4" w:space="0"/>
            </w:tcBorders>
            <w:tcW w:w="2457" w:type="dxa"/>
            <w:textDirection w:val="lrTb"/>
            <w:noWrap w:val="false"/>
          </w:tcPr>
          <w:p>
            <w:pPr>
              <w:pStyle w:val="940"/>
              <w:jc w:val="center"/>
              <w:rPr>
                <w:i/>
                <w:iCs/>
              </w:rPr>
            </w:pPr>
            <w:r>
              <w:rPr>
                <w:i/>
                <w:iCs/>
              </w:rPr>
              <w:t xml:space="preserve">1,2,3,4,6,9,10,13,19,22</w:t>
            </w:r>
            <w:r/>
          </w:p>
        </w:tc>
        <w:tc>
          <w:tcPr>
            <w:tcBorders>
              <w:top w:val="single" w:color="000000" w:sz="4" w:space="0"/>
              <w:left w:val="single" w:color="000000" w:sz="4" w:space="0"/>
              <w:bottom w:val="single" w:color="000000" w:sz="4" w:space="0"/>
            </w:tcBorders>
            <w:tcW w:w="2796" w:type="dxa"/>
            <w:textDirection w:val="lrTb"/>
            <w:noWrap w:val="false"/>
          </w:tcPr>
          <w:p>
            <w:pPr>
              <w:pStyle w:val="940"/>
              <w:jc w:val="center"/>
              <w:rPr>
                <w:i/>
                <w:iCs/>
              </w:rPr>
            </w:pPr>
            <w:r>
              <w:rPr>
                <w:i/>
                <w:iCs/>
              </w:rPr>
              <w:t xml:space="preserve">5,7,8,12,14,16,17,20,21,23</w:t>
            </w:r>
            <w:r/>
          </w:p>
        </w:tc>
        <w:tc>
          <w:tcPr>
            <w:tcBorders>
              <w:top w:val="single" w:color="000000" w:sz="4" w:space="0"/>
              <w:left w:val="single" w:color="000000" w:sz="4" w:space="0"/>
              <w:bottom w:val="single" w:color="000000" w:sz="4" w:space="0"/>
            </w:tcBorders>
            <w:tcW w:w="2276" w:type="dxa"/>
            <w:textDirection w:val="lrTb"/>
            <w:noWrap w:val="false"/>
          </w:tcPr>
          <w:p>
            <w:pPr>
              <w:pStyle w:val="940"/>
              <w:jc w:val="center"/>
              <w:rPr>
                <w:i/>
                <w:iCs/>
              </w:rPr>
            </w:pPr>
            <w:r>
              <w:rPr>
                <w:i/>
                <w:iCs/>
              </w:rPr>
              <w:t xml:space="preserve">11,15,18,25,26</w:t>
            </w:r>
            <w:r/>
          </w:p>
        </w:tc>
        <w:tc>
          <w:tcPr>
            <w:tcBorders>
              <w:top w:val="single" w:color="000000" w:sz="4" w:space="0"/>
              <w:left w:val="single" w:color="000000" w:sz="4" w:space="0"/>
              <w:bottom w:val="single" w:color="000000" w:sz="4" w:space="0"/>
              <w:right w:val="single" w:color="000000" w:sz="4" w:space="0"/>
            </w:tcBorders>
            <w:tcW w:w="2237" w:type="dxa"/>
            <w:textDirection w:val="lrTb"/>
            <w:noWrap w:val="false"/>
          </w:tcPr>
          <w:p>
            <w:pPr>
              <w:pStyle w:val="940"/>
              <w:jc w:val="center"/>
              <w:rPr>
                <w:i/>
                <w:iCs/>
              </w:rPr>
            </w:pPr>
            <w:r>
              <w:rPr>
                <w:i/>
                <w:iCs/>
              </w:rPr>
              <w:t xml:space="preserve">24,27</w:t>
            </w:r>
            <w:r/>
          </w:p>
        </w:tc>
      </w:tr>
    </w:tbl>
    <w:p>
      <w:pPr>
        <w:pStyle w:val="940"/>
        <w:jc w:val="right"/>
        <w:rPr>
          <w:i/>
          <w:iCs/>
        </w:rPr>
      </w:pPr>
      <w:r>
        <w:rPr>
          <w:i/>
          <w:iCs/>
        </w:rPr>
      </w:r>
      <w:r/>
    </w:p>
    <w:p>
      <w:pPr>
        <w:pStyle w:val="940"/>
        <w:jc w:val="right"/>
      </w:pPr>
      <w:r>
        <w:rPr>
          <w:i/>
          <w:iCs/>
        </w:rPr>
        <w:t xml:space="preserve">Диаграмма</w:t>
      </w:r>
      <w:r>
        <w:rPr>
          <w:i/>
        </w:rPr>
        <w:t xml:space="preserve"> </w:t>
      </w:r>
      <w:r/>
    </w:p>
    <w:p>
      <w:pPr>
        <w:pStyle w:val="940"/>
        <w:rPr>
          <w:i/>
        </w:rPr>
      </w:pPr>
      <w:r>
        <w:rPr>
          <w:i/>
        </w:rPr>
        <w:t xml:space="preserve">Сравнительный анализ среднего процента успешности выполнения заданий за 2020- 2021 г.</w:t>
      </w:r>
      <w:r/>
    </w:p>
    <w:p>
      <w:pPr>
        <w:pStyle w:val="940"/>
        <w:jc w:val="both"/>
        <w:rPr>
          <w:i/>
          <w:iCs/>
        </w:rPr>
      </w:pPr>
      <w:r>
        <w:rPr>
          <w:i/>
          <w:iCs/>
        </w:rPr>
      </w:r>
      <w:r/>
    </w:p>
    <w:p>
      <w:pPr>
        <w:pStyle w:val="940"/>
        <w:jc w:val="both"/>
        <w:rPr>
          <w:i/>
          <w:iCs/>
          <w:lang w:val="en-US" w:eastAsia="en-US"/>
        </w:rPr>
      </w:pPr>
      <w:r>
        <w:rPr>
          <w:i/>
          <w:iCs/>
          <w:lang w:val="en-US" w:eastAsia="en-US"/>
        </w:rPr>
        <mc:AlternateContent>
          <mc:Choice Requires="wpg">
            <w:drawing>
              <wp:anchor xmlns:wp="http://schemas.openxmlformats.org/drawingml/2006/wordprocessingDrawing" distT="0" distB="0" distL="114935" distR="114935" simplePos="0" relativeHeight="19" behindDoc="1" locked="0" layoutInCell="0" allowOverlap="1">
                <wp:simplePos x="0" y="0"/>
                <wp:positionH relativeFrom="column">
                  <wp:posOffset>-95885</wp:posOffset>
                </wp:positionH>
                <wp:positionV relativeFrom="paragraph">
                  <wp:posOffset>156210</wp:posOffset>
                </wp:positionV>
                <wp:extent cx="6299835" cy="1896745"/>
                <wp:effectExtent l="0" t="0" r="0" b="0"/>
                <wp:wrapTight wrapText="bothSides">
                  <wp:wrapPolygon edited="1">
                    <wp:start x="-33" y="3"/>
                    <wp:lineTo x="-33" y="21475"/>
                    <wp:lineTo x="21596" y="21475"/>
                    <wp:lineTo x="21596" y="3"/>
                    <wp:lineTo x="-33" y="3"/>
                  </wp:wrapPolygon>
                </wp:wrapTight>
                <wp:docPr id="20" name="Image15"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hidden="0"/>
                        <pic:cNvPicPr>
                          <a:picLocks noChangeAspect="1"/>
                        </pic:cNvPicPr>
                        <pic:nvPr isPhoto="0" userDrawn="0"/>
                      </pic:nvPicPr>
                      <pic:blipFill>
                        <a:blip r:embed="rId43"/>
                        <a:srcRect l="-18" t="-57" r="-18" b="-57"/>
                        <a:stretch/>
                      </pic:blipFill>
                      <pic:spPr bwMode="auto">
                        <a:xfrm>
                          <a:off x="0" y="0"/>
                          <a:ext cx="6299835" cy="189674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19;o:allowoverlap:true;o:allowincell:false;mso-position-horizontal-relative:text;margin-left:-7.5pt;mso-position-horizontal:absolute;mso-position-vertical-relative:text;margin-top:12.3pt;mso-position-vertical:absolute;width:496.0pt;height:149.3pt;" wrapcoords="-152 14 -152 99421 99981 99421 99981 14 -152 14" stroked="false">
                <v:path textboxrect="0,0,0,0"/>
                <v:imagedata r:id="rId43" o:title=""/>
              </v:shape>
            </w:pict>
          </mc:Fallback>
        </mc:AlternateContent>
      </w:r>
      <w:r/>
    </w:p>
    <w:p>
      <w:pPr>
        <w:pStyle w:val="940"/>
        <w:ind w:firstLine="708"/>
        <w:jc w:val="both"/>
        <w:rPr>
          <w:i/>
          <w:iCs/>
        </w:rPr>
      </w:pPr>
      <w:r>
        <w:rPr>
          <w:i/>
          <w:iCs/>
        </w:rPr>
        <w:t xml:space="preserve">На диаграмме отсутствие второго столбца говорит о том, что аналога задания в 2021 году не было.</w:t>
      </w:r>
      <w:r/>
    </w:p>
    <w:p>
      <w:pPr>
        <w:pStyle w:val="940"/>
        <w:ind w:firstLine="708"/>
        <w:jc w:val="both"/>
      </w:pPr>
      <w:r>
        <w:t xml:space="preserve">На основании таблиц и диаграммы можно сделать вывод, что наиболее трудными заданиями для испытуемых в Астраханской области являлись задания 11, 15, 18, 24, 25, 26, 27. Три задания относятся к повышенному уровню сложности, а четыре к высокому.</w:t>
      </w:r>
      <w:r/>
    </w:p>
    <w:p>
      <w:pPr>
        <w:pStyle w:val="940"/>
        <w:ind w:firstLine="708"/>
        <w:jc w:val="both"/>
        <w:widowControl w:val="off"/>
      </w:pPr>
      <w:r>
        <w:rPr>
          <w:rFonts w:eastAsia="Times New Roman"/>
        </w:rPr>
        <w:t xml:space="preserve">11 задание в прошлом году было 13, </w:t>
      </w:r>
      <w:r>
        <w:rPr>
          <w:rFonts w:eastAsia="Times New Roman"/>
        </w:rPr>
        <w:t xml:space="preserve">проверяет умение</w:t>
      </w:r>
      <w:r>
        <w:rPr>
          <w:rFonts w:eastAsia="Times New Roman"/>
          <w:spacing w:val="30"/>
        </w:rPr>
        <w:t xml:space="preserve"> </w:t>
      </w:r>
      <w:r>
        <w:rPr>
          <w:rFonts w:eastAsia="Times New Roman"/>
        </w:rPr>
        <w:t xml:space="preserve">подсчитывать</w:t>
      </w:r>
      <w:r>
        <w:rPr>
          <w:rFonts w:eastAsia="Times New Roman"/>
          <w:spacing w:val="31"/>
        </w:rPr>
        <w:t xml:space="preserve"> </w:t>
      </w:r>
      <w:r>
        <w:rPr>
          <w:rFonts w:eastAsia="Times New Roman"/>
        </w:rPr>
        <w:t xml:space="preserve">информа</w:t>
      </w:r>
      <w:r>
        <w:rPr>
          <w:rFonts w:eastAsia="Times New Roman"/>
          <w:spacing w:val="-1"/>
        </w:rPr>
        <w:t xml:space="preserve">ционный</w:t>
      </w:r>
      <w:r>
        <w:rPr>
          <w:rFonts w:eastAsia="Times New Roman"/>
          <w:spacing w:val="-9"/>
        </w:rPr>
        <w:t xml:space="preserve"> </w:t>
      </w:r>
      <w:r>
        <w:rPr>
          <w:rFonts w:eastAsia="Times New Roman"/>
        </w:rPr>
        <w:t xml:space="preserve">объём</w:t>
      </w:r>
      <w:r>
        <w:rPr>
          <w:rFonts w:eastAsia="Times New Roman"/>
          <w:spacing w:val="-9"/>
        </w:rPr>
        <w:t xml:space="preserve"> </w:t>
      </w:r>
      <w:r>
        <w:rPr>
          <w:rFonts w:eastAsia="Times New Roman"/>
        </w:rPr>
        <w:t xml:space="preserve">сообщения, процент выполнения снизился на 27 %, снижение процента </w:t>
      </w:r>
      <w:r>
        <w:rPr>
          <w:rFonts w:eastAsia="Times New Roman"/>
        </w:rPr>
        <w:t xml:space="preserve">в группе 61-80 баллов на 23%, в группе 81-100 на 12%. Возможно, это произошло, потому что отличалось от задания прошлого года и от демонстрационного варианта.</w:t>
      </w:r>
      <w:r/>
    </w:p>
    <w:p>
      <w:pPr>
        <w:pStyle w:val="940"/>
        <w:ind w:firstLine="708"/>
        <w:jc w:val="both"/>
        <w:widowControl w:val="off"/>
      </w:pPr>
      <w:r>
        <w:rPr>
          <w:rFonts w:eastAsia="Times New Roman"/>
        </w:rPr>
        <w:t xml:space="preserve">Задание 15 в прошлом году было 18 и отличалось от задания прошлого года и от демонстрационного варианта, проверяет </w:t>
      </w:r>
      <w:r>
        <w:rPr>
          <w:rFonts w:eastAsia="Times New Roman"/>
        </w:rPr>
        <w:t xml:space="preserve">знание</w:t>
      </w:r>
      <w:r>
        <w:rPr>
          <w:rFonts w:eastAsia="Times New Roman"/>
          <w:spacing w:val="5"/>
        </w:rPr>
        <w:t xml:space="preserve"> </w:t>
      </w:r>
      <w:r>
        <w:rPr>
          <w:rFonts w:eastAsia="Times New Roman"/>
        </w:rPr>
        <w:t xml:space="preserve">основных</w:t>
      </w:r>
      <w:r>
        <w:rPr>
          <w:rFonts w:eastAsia="Times New Roman"/>
          <w:spacing w:val="6"/>
        </w:rPr>
        <w:t xml:space="preserve"> </w:t>
      </w:r>
      <w:r>
        <w:rPr>
          <w:rFonts w:eastAsia="Times New Roman"/>
        </w:rPr>
        <w:t xml:space="preserve">понятий</w:t>
      </w:r>
      <w:r>
        <w:rPr>
          <w:rFonts w:eastAsia="Times New Roman"/>
          <w:spacing w:val="6"/>
        </w:rPr>
        <w:t xml:space="preserve"> </w:t>
      </w:r>
      <w:r>
        <w:rPr>
          <w:rFonts w:eastAsia="Times New Roman"/>
        </w:rPr>
        <w:t xml:space="preserve">и</w:t>
      </w:r>
      <w:r>
        <w:rPr>
          <w:rFonts w:eastAsia="Times New Roman"/>
          <w:spacing w:val="6"/>
        </w:rPr>
        <w:t xml:space="preserve"> </w:t>
      </w:r>
      <w:r>
        <w:rPr>
          <w:rFonts w:eastAsia="Times New Roman"/>
        </w:rPr>
        <w:t xml:space="preserve">законов</w:t>
      </w:r>
      <w:r>
        <w:rPr>
          <w:rFonts w:eastAsia="Times New Roman"/>
          <w:spacing w:val="-11"/>
        </w:rPr>
        <w:t xml:space="preserve"> </w:t>
      </w:r>
      <w:r>
        <w:rPr>
          <w:rFonts w:eastAsia="Times New Roman"/>
        </w:rPr>
        <w:t xml:space="preserve">математической</w:t>
      </w:r>
      <w:r>
        <w:rPr>
          <w:rFonts w:eastAsia="Times New Roman"/>
          <w:spacing w:val="-10"/>
        </w:rPr>
        <w:t xml:space="preserve"> </w:t>
      </w:r>
      <w:r>
        <w:rPr>
          <w:rFonts w:eastAsia="Times New Roman"/>
        </w:rPr>
        <w:t xml:space="preserve">логики</w:t>
      </w:r>
      <w:r>
        <w:rPr>
          <w:rFonts w:eastAsia="Times New Roman"/>
        </w:rPr>
        <w:t xml:space="preserve">. Процент выполнения снизился на 35 %. Разделы, связанные с алгеброй логики, представлением логических функций в виде таблиц истинности, знанием основных законов математической логики, с преобразованием логических выражений, традиционно представляют опреде</w:t>
      </w:r>
      <w:r>
        <w:rPr>
          <w:rFonts w:eastAsia="Times New Roman"/>
        </w:rPr>
        <w:t xml:space="preserve">ленную трудность для большой части обучающихся (к заданиям, проверяющим данные знания и умения, относятся задания 2, 15). Однако задание 2 базового уровня сложности, в котором требовалось, опираясь на свойства функций, сопоставить столбцы не до конца запол</w:t>
      </w:r>
      <w:r>
        <w:rPr>
          <w:rFonts w:eastAsia="Times New Roman"/>
        </w:rPr>
        <w:t xml:space="preserve">ненного фрагмента таблицы истинности функции названиям переменных, от которых эта функция зависит, выполнили подавляющее большинство участников экзамена (более 69 %). Это 6% ниже, чем в прошлом году, но процент выполнения данного задания повысился в группе</w:t>
      </w:r>
      <w:r>
        <w:rPr>
          <w:rFonts w:eastAsia="Times New Roman"/>
          <w:bCs/>
        </w:rPr>
        <w:t xml:space="preserve"> не преодолевших минимальный балл</w:t>
      </w:r>
      <w:r>
        <w:rPr>
          <w:rFonts w:eastAsia="Times New Roman"/>
        </w:rPr>
        <w:t xml:space="preserve"> на 10% и на 1,5 % в группе 81-100.  Это свидетельствует о том, что обучающиеся стали лучше понимать данную тему и научились решать задания подобного типа.</w:t>
      </w:r>
      <w:r/>
    </w:p>
    <w:p>
      <w:pPr>
        <w:pStyle w:val="940"/>
        <w:ind w:firstLine="708"/>
        <w:jc w:val="both"/>
      </w:pPr>
      <w:r>
        <w:t xml:space="preserve">Задание 18 в 2020 году отсутствовало (33% процент выполнения задания), оно проверяет </w:t>
      </w:r>
      <w:r>
        <w:t xml:space="preserve">умение</w:t>
      </w:r>
      <w:r>
        <w:rPr>
          <w:spacing w:val="3"/>
        </w:rPr>
        <w:t xml:space="preserve"> </w:t>
      </w:r>
      <w:r>
        <w:t xml:space="preserve">использовать</w:t>
      </w:r>
      <w:r>
        <w:rPr>
          <w:spacing w:val="4"/>
        </w:rPr>
        <w:t xml:space="preserve"> </w:t>
      </w:r>
      <w:r>
        <w:t xml:space="preserve">электронные</w:t>
      </w:r>
      <w:r>
        <w:rPr>
          <w:spacing w:val="30"/>
        </w:rPr>
        <w:t xml:space="preserve"> </w:t>
      </w:r>
      <w:r>
        <w:t xml:space="preserve">таблицы</w:t>
      </w:r>
      <w:r>
        <w:rPr>
          <w:spacing w:val="29"/>
        </w:rPr>
        <w:t xml:space="preserve"> </w:t>
      </w:r>
      <w:r>
        <w:t xml:space="preserve">для</w:t>
      </w:r>
      <w:r>
        <w:rPr>
          <w:spacing w:val="29"/>
        </w:rPr>
        <w:t xml:space="preserve"> </w:t>
      </w:r>
      <w:r>
        <w:t xml:space="preserve">обработки</w:t>
      </w:r>
      <w:r>
        <w:rPr>
          <w:spacing w:val="29"/>
        </w:rPr>
        <w:t xml:space="preserve"> </w:t>
      </w:r>
      <w:r>
        <w:t xml:space="preserve">це</w:t>
      </w:r>
      <w:r>
        <w:rPr>
          <w:spacing w:val="-1"/>
        </w:rPr>
        <w:t xml:space="preserve">лочисленных</w:t>
      </w:r>
      <w:r>
        <w:rPr>
          <w:spacing w:val="-7"/>
        </w:rPr>
        <w:t xml:space="preserve"> </w:t>
      </w:r>
      <w:r>
        <w:t xml:space="preserve">данных, соответствовало демонстрационному варианту. Процент </w:t>
      </w:r>
      <w:r>
        <w:t xml:space="preserve">в группе 61-80 баллов 60%, в группе 81-100 на 81%. В группе</w:t>
      </w:r>
      <w:r>
        <w:rPr>
          <w:bCs/>
        </w:rPr>
        <w:t xml:space="preserve"> не преодолевших минимальный балл нет учащихся, выполнивших это задание. Возможно, это происходит из-за отсутствия подобных практических заданий в УМК 10-11 класса.</w:t>
      </w:r>
      <w:r/>
    </w:p>
    <w:p>
      <w:pPr>
        <w:pStyle w:val="940"/>
        <w:jc w:val="right"/>
      </w:pPr>
      <w:r>
        <w:rPr>
          <w:i/>
          <w:iCs/>
        </w:rPr>
        <w:t xml:space="preserve">Диаграмма</w:t>
      </w:r>
      <w:r>
        <w:rPr>
          <w:i/>
        </w:rPr>
        <w:t xml:space="preserve"> </w:t>
      </w:r>
      <w:r/>
    </w:p>
    <w:p>
      <w:pPr>
        <w:pStyle w:val="940"/>
        <w:jc w:val="center"/>
        <w:rPr>
          <w:i/>
        </w:rPr>
      </w:pPr>
      <w:r>
        <w:rPr>
          <w:i/>
        </w:rPr>
        <w:t xml:space="preserve">Сравнительный анализ среднего процента успешности</w:t>
      </w:r>
      <w:r/>
    </w:p>
    <w:p>
      <w:pPr>
        <w:pStyle w:val="940"/>
        <w:jc w:val="center"/>
        <w:rPr>
          <w:i/>
        </w:rPr>
      </w:pPr>
      <w:r>
        <w:rPr>
          <w:i/>
        </w:rPr>
        <w:t xml:space="preserve">выполнения заданий высокой сложности за 2020- 2021 г.</w:t>
      </w:r>
      <w:r/>
    </w:p>
    <w:p>
      <w:pPr>
        <w:pStyle w:val="940"/>
        <w:jc w:val="both"/>
        <w:rPr>
          <w:i/>
          <w:lang w:val="en-US" w:eastAsia="en-US"/>
        </w:rPr>
      </w:pPr>
      <w:r>
        <w:rPr>
          <w:i/>
          <w:lang w:val="en-US" w:eastAsia="en-US"/>
        </w:rPr>
        <mc:AlternateContent>
          <mc:Choice Requires="wpg">
            <w:drawing>
              <wp:anchor xmlns:wp="http://schemas.openxmlformats.org/drawingml/2006/wordprocessingDrawing" distT="0" distB="0" distL="114935" distR="114935" simplePos="0" relativeHeight="21" behindDoc="1" locked="0" layoutInCell="0" allowOverlap="1">
                <wp:simplePos x="0" y="0"/>
                <wp:positionH relativeFrom="column">
                  <wp:posOffset>497205</wp:posOffset>
                </wp:positionH>
                <wp:positionV relativeFrom="paragraph">
                  <wp:posOffset>151765</wp:posOffset>
                </wp:positionV>
                <wp:extent cx="5104765" cy="2132965"/>
                <wp:effectExtent l="0" t="0" r="0" b="0"/>
                <wp:wrapTight wrapText="bothSides">
                  <wp:wrapPolygon edited="1">
                    <wp:start x="-43" y="1"/>
                    <wp:lineTo x="-43" y="21493"/>
                    <wp:lineTo x="21595" y="21493"/>
                    <wp:lineTo x="21595" y="1"/>
                    <wp:lineTo x="-43" y="1"/>
                  </wp:wrapPolygon>
                </wp:wrapTight>
                <wp:docPr id="21" name="Image16"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hidden="0"/>
                        <pic:cNvPicPr>
                          <a:picLocks noChangeAspect="1"/>
                        </pic:cNvPicPr>
                        <pic:nvPr isPhoto="0" userDrawn="0"/>
                      </pic:nvPicPr>
                      <pic:blipFill>
                        <a:blip r:embed="rId44"/>
                        <a:srcRect l="-24" t="-39" r="-24" b="-39"/>
                        <a:stretch/>
                      </pic:blipFill>
                      <pic:spPr bwMode="auto">
                        <a:xfrm>
                          <a:off x="0" y="0"/>
                          <a:ext cx="5104765" cy="21329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1;o:allowoverlap:true;o:allowincell:false;mso-position-horizontal-relative:text;margin-left:39.1pt;mso-position-horizontal:absolute;mso-position-vertical-relative:text;margin-top:11.9pt;mso-position-vertical:absolute;width:401.9pt;height:167.9pt;" wrapcoords="-198 5 -198 99505 99977 99505 99977 5 -198 5" stroked="false">
                <v:path textboxrect="0,0,0,0"/>
                <v:imagedata r:id="rId44" o:title=""/>
              </v:shape>
            </w:pict>
          </mc:Fallback>
        </mc:AlternateContent>
      </w:r>
      <w:r/>
    </w:p>
    <w:p>
      <w:pPr>
        <w:pStyle w:val="940"/>
        <w:jc w:val="both"/>
        <w:rPr>
          <w:i/>
          <w:lang w:val="en-US" w:eastAsia="en-US"/>
        </w:rPr>
      </w:pPr>
      <w:r>
        <w:rPr>
          <w:i/>
          <w:lang w:val="en-US" w:eastAsia="en-US"/>
        </w:rPr>
      </w:r>
      <w:r/>
    </w:p>
    <w:p>
      <w:pPr>
        <w:pStyle w:val="940"/>
        <w:jc w:val="both"/>
      </w:p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rPr>
          <w:i/>
          <w:iCs/>
        </w:rPr>
      </w:pPr>
      <w:r>
        <w:rPr>
          <w:i/>
          <w:iCs/>
        </w:rPr>
      </w:r>
      <w:r/>
    </w:p>
    <w:p>
      <w:pPr>
        <w:pStyle w:val="940"/>
        <w:jc w:val="right"/>
      </w:pPr>
      <w:r>
        <w:rPr>
          <w:i/>
          <w:iCs/>
        </w:rPr>
        <w:t xml:space="preserve">Диаграмма</w:t>
      </w:r>
      <w:r>
        <w:rPr>
          <w:i/>
        </w:rPr>
        <w:t xml:space="preserve"> </w:t>
      </w:r>
      <w:r/>
    </w:p>
    <w:p>
      <w:pPr>
        <w:pStyle w:val="940"/>
        <w:jc w:val="center"/>
        <w:rPr>
          <w:i/>
        </w:rPr>
      </w:pPr>
      <w:r>
        <w:rPr>
          <w:i/>
        </w:rPr>
        <w:t xml:space="preserve">Сравнительный анализ среднего процента успешности</w:t>
      </w:r>
      <w:r/>
    </w:p>
    <w:p>
      <w:pPr>
        <w:pStyle w:val="940"/>
        <w:jc w:val="center"/>
        <w:rPr>
          <w:i/>
        </w:rPr>
      </w:pPr>
      <w:r>
        <w:rPr>
          <w:i/>
        </w:rPr>
        <w:t xml:space="preserve">выполнения заданий  высокой сложности по группам за 2020- 2021 г.</w:t>
      </w:r>
      <w:r/>
    </w:p>
    <w:p>
      <w:pPr>
        <w:pStyle w:val="940"/>
        <w:jc w:val="both"/>
        <w:rPr>
          <w:i/>
          <w:lang w:val="en-US" w:eastAsia="en-US"/>
        </w:rPr>
      </w:pPr>
      <w:r>
        <w:rPr>
          <w:i/>
          <w:lang w:val="en-US" w:eastAsia="en-US"/>
        </w:rPr>
        <mc:AlternateContent>
          <mc:Choice Requires="wpg">
            <w:drawing>
              <wp:anchor xmlns:wp="http://schemas.openxmlformats.org/drawingml/2006/wordprocessingDrawing" distT="0" distB="0" distL="114935" distR="114935" simplePos="0" relativeHeight="20" behindDoc="1" locked="0" layoutInCell="0" allowOverlap="1">
                <wp:simplePos x="0" y="0"/>
                <wp:positionH relativeFrom="column">
                  <wp:posOffset>451485</wp:posOffset>
                </wp:positionH>
                <wp:positionV relativeFrom="paragraph">
                  <wp:posOffset>175895</wp:posOffset>
                </wp:positionV>
                <wp:extent cx="5150485" cy="2757805"/>
                <wp:effectExtent l="0" t="0" r="0" b="0"/>
                <wp:wrapTight wrapText="bothSides">
                  <wp:wrapPolygon edited="1">
                    <wp:start x="-43" y="1"/>
                    <wp:lineTo x="-43" y="21516"/>
                    <wp:lineTo x="21595" y="21516"/>
                    <wp:lineTo x="21595" y="1"/>
                    <wp:lineTo x="-43" y="1"/>
                  </wp:wrapPolygon>
                </wp:wrapTight>
                <wp:docPr id="22" name="Image17"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hidden="0"/>
                        <pic:cNvPicPr>
                          <a:picLocks noChangeAspect="1"/>
                        </pic:cNvPicPr>
                        <pic:nvPr isPhoto="0" userDrawn="0"/>
                      </pic:nvPicPr>
                      <pic:blipFill>
                        <a:blip r:embed="rId45"/>
                        <a:srcRect l="-24" t="-39" r="-24" b="-39"/>
                        <a:stretch/>
                      </pic:blipFill>
                      <pic:spPr bwMode="auto">
                        <a:xfrm>
                          <a:off x="0" y="0"/>
                          <a:ext cx="5150485" cy="27578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0;o:allowoverlap:true;o:allowincell:false;mso-position-horizontal-relative:text;margin-left:35.5pt;mso-position-horizontal:absolute;mso-position-vertical-relative:text;margin-top:13.8pt;mso-position-vertical:absolute;width:405.5pt;height:217.1pt;" wrapcoords="-198 5 -198 99611 99977 99611 99977 5 -198 5" stroked="false">
                <v:path textboxrect="0,0,0,0"/>
                <v:imagedata r:id="rId45" o:title=""/>
              </v:shape>
            </w:pict>
          </mc:Fallback>
        </mc:AlternateContent>
      </w:r>
      <w:r/>
    </w:p>
    <w:p>
      <w:pPr>
        <w:pStyle w:val="940"/>
        <w:jc w:val="both"/>
        <w:rPr>
          <w:i/>
          <w:lang w:val="en-US" w:eastAsia="en-US"/>
        </w:rPr>
      </w:pPr>
      <w:r>
        <w:rPr>
          <w:i/>
          <w:lang w:val="en-US" w:eastAsia="en-US"/>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jc w:val="center"/>
        <w:rPr>
          <w:b/>
          <w:i/>
        </w:rPr>
      </w:pPr>
      <w:r>
        <w:rPr>
          <w:b/>
          <w:i/>
        </w:rPr>
      </w:r>
      <w:r/>
    </w:p>
    <w:p>
      <w:pPr>
        <w:pStyle w:val="940"/>
        <w:ind w:firstLine="708"/>
        <w:jc w:val="both"/>
        <w:rPr>
          <w:b/>
          <w:i/>
        </w:rPr>
      </w:pPr>
      <w:r>
        <w:rPr>
          <w:b/>
          <w:i/>
        </w:rPr>
      </w:r>
      <w:r/>
    </w:p>
    <w:p>
      <w:pPr>
        <w:pStyle w:val="940"/>
        <w:ind w:firstLine="708"/>
        <w:jc w:val="both"/>
      </w:pPr>
      <w:r>
        <w:t xml:space="preserve">Задание 24 в 2020 году отсутствовало (в 2021 году процент выполнения задания составил 9,7 %).</w:t>
      </w:r>
      <w:r/>
    </w:p>
    <w:p>
      <w:pPr>
        <w:pStyle w:val="940"/>
        <w:ind w:firstLine="708"/>
        <w:jc w:val="both"/>
      </w:pPr>
      <w:r>
        <w:t xml:space="preserve">Задание 25 в 2020 году отсутствовало (в 2021 году 22% процент выполнения задания 25%) проверяет умение создавать собственные программы (10–20 строк) для обработки целочисленной информации. </w:t>
      </w:r>
      <w:r>
        <w:t xml:space="preserve">Процент выполнения </w:t>
      </w:r>
      <w:r>
        <w:t xml:space="preserve">в группе 61-80 баллов 32%, в группе 81-100 баллов 91%. </w:t>
      </w:r>
      <w:r/>
    </w:p>
    <w:p>
      <w:pPr>
        <w:pStyle w:val="940"/>
        <w:ind w:firstLine="708"/>
        <w:jc w:val="both"/>
      </w:pPr>
      <w:r>
        <w:t xml:space="preserve">Задание 26 в 2020 году отсутствовало (в 2021 году 12% процент выполнения задания) проверяет умение обрабатывать целочисленную информацию с использованием сортировки. </w:t>
      </w:r>
      <w:r>
        <w:t xml:space="preserve">Процент выполнения </w:t>
      </w:r>
      <w:r>
        <w:t xml:space="preserve">в группе 61-80 баллов 12%, в группе 81-100 баллов 60%.</w:t>
      </w:r>
      <w:r/>
    </w:p>
    <w:p>
      <w:pPr>
        <w:pStyle w:val="940"/>
        <w:ind w:firstLine="708"/>
        <w:jc w:val="both"/>
      </w:pPr>
      <w:r>
        <w:t xml:space="preserve">Задание 27 совпало с заданием 2020 года, но относится к высокому уровню, и большинство учащихся вообще не приступают к этому заданию. Процент верных решений значительно уменьшился по сравнению с прошлым годом (с 19,24% до 2,5%) на 16,7 %. </w:t>
      </w:r>
      <w:r>
        <w:t xml:space="preserve">Процент выполнения в</w:t>
      </w:r>
      <w:r>
        <w:t xml:space="preserve"> группе 61-80 баллов  60%, в группе 81-100 на 81%.</w:t>
      </w:r>
      <w:r/>
    </w:p>
    <w:p>
      <w:pPr>
        <w:pStyle w:val="940"/>
        <w:ind w:firstLine="708"/>
        <w:jc w:val="both"/>
      </w:pPr>
      <w:r>
        <w:t xml:space="preserve">Скорее всего, это связано с набором программы на ПК и синтаксические ошибки и другие ситуации, которые учитывались экспертами при оценивании теперь не проходят.</w:t>
      </w:r>
      <w:r/>
    </w:p>
    <w:p>
      <w:pPr>
        <w:pStyle w:val="940"/>
        <w:ind w:firstLine="708"/>
        <w:jc w:val="both"/>
      </w:pPr>
      <w:r>
        <w:t xml:space="preserve">Десять заданий </w:t>
      </w:r>
      <w:r>
        <w:rPr>
          <w:iCs/>
        </w:rPr>
        <w:t xml:space="preserve">1,2,3,4,6,9,10,13,19,22 </w:t>
      </w:r>
      <w:r>
        <w:t xml:space="preserve">дали достаточно высокие результаты. Это в основном задания базового</w:t>
      </w:r>
      <w:r>
        <w:t xml:space="preserve"> уровня, связанные с умениями переводить числа в различные системы счисления, кодирования информации, запросами к базам данных, формулы в электронных таблицах, решение рекурсивных алгоритмов и т.д. Школьники стали лучше понимать, что такое выигрышная страт</w:t>
      </w:r>
      <w:r>
        <w:t xml:space="preserve">егия и что из себя представляет дерево выигрышной стратегии. Задания 1, 4, 19, 22 дали хоть и небольшой, но прирост правильных решений. Остальные задания этой группы сохранили процент выполнения по сравнению с прошлым годом или снизили, но не значительно. </w:t>
      </w:r>
      <w:r/>
    </w:p>
    <w:p>
      <w:pPr>
        <w:pStyle w:val="940"/>
        <w:ind w:firstLine="708"/>
        <w:jc w:val="both"/>
      </w:pPr>
      <w:r>
        <w:t xml:space="preserve">Ряд заданий 5, 7, 8, 12, 14, 16, 17, 20, 21, 23, показали средние результаты. Шесть заданий относятся к повышенному уровню сложности, одно № 23 к высокому. Этими заданиями проверяются следующие умения: </w:t>
      </w:r>
      <w:r>
        <w:t xml:space="preserve">формальное исполнение алгоритма, записанного на естественном</w:t>
      </w:r>
      <w:r>
        <w:rPr>
          <w:spacing w:val="1"/>
        </w:rPr>
        <w:t xml:space="preserve"> </w:t>
      </w:r>
      <w:r>
        <w:t xml:space="preserve">языке, или умение создавать линейный алгоритм для формального</w:t>
      </w:r>
      <w:r>
        <w:rPr>
          <w:spacing w:val="12"/>
        </w:rPr>
        <w:t xml:space="preserve"> </w:t>
      </w:r>
      <w:r>
        <w:t xml:space="preserve">исполнителя</w:t>
      </w:r>
      <w:r>
        <w:rPr>
          <w:spacing w:val="13"/>
        </w:rPr>
        <w:t xml:space="preserve"> </w:t>
      </w:r>
      <w:r>
        <w:t xml:space="preserve">с</w:t>
      </w:r>
      <w:r>
        <w:rPr>
          <w:spacing w:val="12"/>
        </w:rPr>
        <w:t xml:space="preserve"> </w:t>
      </w:r>
      <w:r>
        <w:t xml:space="preserve">ограниченным</w:t>
      </w:r>
      <w:r>
        <w:t xml:space="preserve"> </w:t>
      </w:r>
      <w:r>
        <w:rPr>
          <w:spacing w:val="-1"/>
        </w:rPr>
        <w:t xml:space="preserve">набором</w:t>
      </w:r>
      <w:r>
        <w:rPr>
          <w:spacing w:val="-8"/>
        </w:rPr>
        <w:t xml:space="preserve"> </w:t>
      </w:r>
      <w:r>
        <w:t xml:space="preserve">команд; умение определять объём памяти,</w:t>
      </w:r>
      <w:r>
        <w:rPr>
          <w:spacing w:val="1"/>
        </w:rPr>
        <w:t xml:space="preserve"> </w:t>
      </w:r>
      <w:r>
        <w:t xml:space="preserve">необходимый</w:t>
      </w:r>
      <w:r>
        <w:rPr>
          <w:spacing w:val="1"/>
        </w:rPr>
        <w:t xml:space="preserve"> </w:t>
      </w:r>
      <w:r>
        <w:t xml:space="preserve">для</w:t>
      </w:r>
      <w:r>
        <w:rPr>
          <w:spacing w:val="1"/>
        </w:rPr>
        <w:t xml:space="preserve"> </w:t>
      </w:r>
      <w:r>
        <w:t xml:space="preserve">хранения</w:t>
      </w:r>
      <w:r>
        <w:rPr>
          <w:spacing w:val="1"/>
        </w:rPr>
        <w:t xml:space="preserve"> </w:t>
      </w:r>
      <w:r>
        <w:t xml:space="preserve">графической</w:t>
      </w:r>
      <w:r>
        <w:rPr>
          <w:spacing w:val="32"/>
        </w:rPr>
        <w:t xml:space="preserve"> </w:t>
      </w:r>
      <w:r>
        <w:t xml:space="preserve">и</w:t>
      </w:r>
      <w:r>
        <w:rPr>
          <w:spacing w:val="32"/>
        </w:rPr>
        <w:t xml:space="preserve"> </w:t>
      </w:r>
      <w:r>
        <w:t xml:space="preserve">звуковой</w:t>
      </w:r>
      <w:r>
        <w:rPr>
          <w:spacing w:val="31"/>
        </w:rPr>
        <w:t xml:space="preserve"> </w:t>
      </w:r>
      <w:r>
        <w:t xml:space="preserve">информации; знание</w:t>
      </w:r>
      <w:r>
        <w:rPr>
          <w:spacing w:val="18"/>
        </w:rPr>
        <w:t xml:space="preserve"> </w:t>
      </w:r>
      <w:r>
        <w:t xml:space="preserve">о</w:t>
      </w:r>
      <w:r>
        <w:rPr>
          <w:spacing w:val="18"/>
        </w:rPr>
        <w:t xml:space="preserve"> </w:t>
      </w:r>
      <w:r>
        <w:t xml:space="preserve">методах</w:t>
      </w:r>
      <w:r>
        <w:rPr>
          <w:spacing w:val="19"/>
        </w:rPr>
        <w:t xml:space="preserve"> </w:t>
      </w:r>
      <w:r>
        <w:t xml:space="preserve">измерения</w:t>
      </w:r>
      <w:r>
        <w:rPr>
          <w:spacing w:val="18"/>
        </w:rPr>
        <w:t xml:space="preserve"> </w:t>
      </w:r>
      <w:r>
        <w:t xml:space="preserve">ко</w:t>
      </w:r>
      <w:r>
        <w:rPr>
          <w:spacing w:val="-1"/>
        </w:rPr>
        <w:t xml:space="preserve">личества</w:t>
      </w:r>
      <w:r>
        <w:rPr>
          <w:spacing w:val="-10"/>
        </w:rPr>
        <w:t xml:space="preserve"> </w:t>
      </w:r>
      <w:r>
        <w:t xml:space="preserve">информации; умение</w:t>
      </w:r>
      <w:r>
        <w:rPr>
          <w:spacing w:val="12"/>
        </w:rPr>
        <w:t xml:space="preserve"> </w:t>
      </w:r>
      <w:r>
        <w:t xml:space="preserve">исполнить</w:t>
      </w:r>
      <w:r>
        <w:rPr>
          <w:spacing w:val="13"/>
        </w:rPr>
        <w:t xml:space="preserve"> </w:t>
      </w:r>
      <w:r>
        <w:t xml:space="preserve">алгоритм</w:t>
      </w:r>
      <w:r>
        <w:rPr>
          <w:spacing w:val="14"/>
        </w:rPr>
        <w:t xml:space="preserve"> </w:t>
      </w:r>
      <w:r>
        <w:t xml:space="preserve">для</w:t>
      </w:r>
      <w:r>
        <w:rPr>
          <w:spacing w:val="-39"/>
        </w:rPr>
        <w:t xml:space="preserve"> </w:t>
      </w:r>
      <w:r>
        <w:t xml:space="preserve">конкретного</w:t>
      </w:r>
      <w:r>
        <w:rPr>
          <w:spacing w:val="12"/>
        </w:rPr>
        <w:t xml:space="preserve"> </w:t>
      </w:r>
      <w:r>
        <w:t xml:space="preserve">исполнителя</w:t>
      </w:r>
      <w:r>
        <w:rPr>
          <w:spacing w:val="13"/>
        </w:rPr>
        <w:t xml:space="preserve"> </w:t>
      </w:r>
      <w:r>
        <w:t xml:space="preserve">с</w:t>
      </w:r>
      <w:r>
        <w:rPr>
          <w:spacing w:val="12"/>
        </w:rPr>
        <w:t xml:space="preserve"> </w:t>
      </w:r>
      <w:r>
        <w:t xml:space="preserve">фик</w:t>
      </w:r>
      <w:r>
        <w:t xml:space="preserve">сированным</w:t>
      </w:r>
      <w:r>
        <w:rPr>
          <w:spacing w:val="18"/>
        </w:rPr>
        <w:t xml:space="preserve"> </w:t>
      </w:r>
      <w:r>
        <w:t xml:space="preserve">набором</w:t>
      </w:r>
      <w:r>
        <w:rPr>
          <w:spacing w:val="19"/>
        </w:rPr>
        <w:t xml:space="preserve"> </w:t>
      </w:r>
      <w:r>
        <w:t xml:space="preserve">команд; </w:t>
      </w:r>
      <w:r>
        <w:t xml:space="preserve">знание позиционных систем</w:t>
      </w:r>
      <w:r>
        <w:t xml:space="preserve"> </w:t>
      </w:r>
      <w:r>
        <w:t xml:space="preserve">счисления; умение     составить     алгоритм</w:t>
      </w:r>
      <w:r>
        <w:rPr>
          <w:spacing w:val="1"/>
        </w:rPr>
        <w:t xml:space="preserve"> </w:t>
      </w:r>
      <w:r>
        <w:t xml:space="preserve">и записать</w:t>
      </w:r>
      <w:r>
        <w:rPr>
          <w:spacing w:val="1"/>
        </w:rPr>
        <w:t xml:space="preserve"> </w:t>
      </w:r>
      <w:r>
        <w:t xml:space="preserve">его</w:t>
      </w:r>
      <w:r>
        <w:rPr>
          <w:spacing w:val="1"/>
        </w:rPr>
        <w:t xml:space="preserve"> </w:t>
      </w:r>
      <w:r>
        <w:t xml:space="preserve">в</w:t>
      </w:r>
      <w:r>
        <w:rPr>
          <w:spacing w:val="1"/>
        </w:rPr>
        <w:t xml:space="preserve"> </w:t>
      </w:r>
      <w:r>
        <w:t xml:space="preserve">виде</w:t>
      </w:r>
      <w:r>
        <w:rPr>
          <w:spacing w:val="1"/>
        </w:rPr>
        <w:t xml:space="preserve"> </w:t>
      </w:r>
      <w:r>
        <w:t xml:space="preserve">простой</w:t>
      </w:r>
      <w:r>
        <w:rPr>
          <w:spacing w:val="1"/>
        </w:rPr>
        <w:t xml:space="preserve"> </w:t>
      </w:r>
      <w:r>
        <w:t xml:space="preserve">программы (10–15</w:t>
      </w:r>
      <w:r>
        <w:rPr>
          <w:spacing w:val="1"/>
        </w:rPr>
        <w:t xml:space="preserve"> </w:t>
      </w:r>
      <w:r>
        <w:t xml:space="preserve">строк) на</w:t>
      </w:r>
      <w:r>
        <w:rPr>
          <w:spacing w:val="1"/>
        </w:rPr>
        <w:t xml:space="preserve"> </w:t>
      </w:r>
      <w:r>
        <w:t xml:space="preserve">язы</w:t>
      </w:r>
      <w:r>
        <w:t xml:space="preserve">ке</w:t>
      </w:r>
      <w:r>
        <w:rPr>
          <w:spacing w:val="15"/>
        </w:rPr>
        <w:t xml:space="preserve"> </w:t>
      </w:r>
      <w:r>
        <w:t xml:space="preserve">программирования; </w:t>
      </w:r>
      <w:r>
        <w:t xml:space="preserve">умение</w:t>
      </w:r>
      <w:r>
        <w:rPr>
          <w:spacing w:val="3"/>
        </w:rPr>
        <w:t xml:space="preserve"> </w:t>
      </w:r>
      <w:r>
        <w:t xml:space="preserve">построить</w:t>
      </w:r>
      <w:r>
        <w:rPr>
          <w:spacing w:val="4"/>
        </w:rPr>
        <w:t xml:space="preserve"> </w:t>
      </w:r>
      <w:r>
        <w:t xml:space="preserve">дерево</w:t>
      </w:r>
      <w:r>
        <w:rPr>
          <w:spacing w:val="4"/>
        </w:rPr>
        <w:t xml:space="preserve"> </w:t>
      </w:r>
      <w:r>
        <w:t xml:space="preserve">игры</w:t>
      </w:r>
      <w:r>
        <w:rPr>
          <w:spacing w:val="-39"/>
        </w:rPr>
        <w:t xml:space="preserve"> </w:t>
      </w:r>
      <w:r>
        <w:t xml:space="preserve">по</w:t>
      </w:r>
      <w:r>
        <w:rPr>
          <w:spacing w:val="5"/>
        </w:rPr>
        <w:t xml:space="preserve"> </w:t>
      </w:r>
      <w:r>
        <w:t xml:space="preserve">заданному</w:t>
      </w:r>
      <w:r>
        <w:rPr>
          <w:spacing w:val="6"/>
        </w:rPr>
        <w:t xml:space="preserve"> </w:t>
      </w:r>
      <w:r>
        <w:t xml:space="preserve">алгоритму</w:t>
      </w:r>
      <w:r>
        <w:rPr>
          <w:spacing w:val="7"/>
        </w:rPr>
        <w:t xml:space="preserve"> </w:t>
      </w:r>
      <w:r>
        <w:t xml:space="preserve">и</w:t>
      </w:r>
      <w:r>
        <w:rPr>
          <w:spacing w:val="5"/>
        </w:rPr>
        <w:t xml:space="preserve"> </w:t>
      </w:r>
      <w:r>
        <w:t xml:space="preserve">найти</w:t>
      </w:r>
      <w:r>
        <w:t xml:space="preserve"> выигрышную</w:t>
      </w:r>
      <w:r>
        <w:rPr>
          <w:spacing w:val="22"/>
        </w:rPr>
        <w:t xml:space="preserve"> </w:t>
      </w:r>
      <w:r>
        <w:t xml:space="preserve">стратегию; </w:t>
      </w:r>
      <w:r>
        <w:t xml:space="preserve">умение</w:t>
      </w:r>
      <w:r>
        <w:rPr>
          <w:spacing w:val="14"/>
        </w:rPr>
        <w:t xml:space="preserve"> </w:t>
      </w:r>
      <w:r>
        <w:t xml:space="preserve">анализировать</w:t>
      </w:r>
      <w:r>
        <w:rPr>
          <w:spacing w:val="15"/>
        </w:rPr>
        <w:t xml:space="preserve"> </w:t>
      </w:r>
      <w:r>
        <w:t xml:space="preserve">результат</w:t>
      </w:r>
      <w:r>
        <w:t xml:space="preserve"> исполнения</w:t>
      </w:r>
      <w:r>
        <w:rPr>
          <w:spacing w:val="22"/>
        </w:rPr>
        <w:t xml:space="preserve"> </w:t>
      </w:r>
      <w:r>
        <w:t xml:space="preserve">алгоритма.</w:t>
      </w:r>
      <w:r/>
    </w:p>
    <w:p>
      <w:pPr>
        <w:pStyle w:val="940"/>
        <w:ind w:firstLine="708"/>
        <w:jc w:val="both"/>
      </w:pPr>
      <w:r>
        <w:t xml:space="preserve">Задание 23 в 2020 году было заданием 22 (38% процент выполнения задания в 2020 году 51%) задание схоже с демо-версией и прошлым годом, но из-за его сложности произошло снижение на 10 %.</w:t>
      </w:r>
      <w:r/>
    </w:p>
    <w:p>
      <w:pPr>
        <w:pStyle w:val="940"/>
        <w:ind w:firstLine="708"/>
        <w:jc w:val="both"/>
      </w:pPr>
      <w:r>
        <w:t xml:space="preserve">Задания 19, 20, 21составляли задание 26 из второй части 2020 года, где требуется умение разработать и описать выигрышную стратегию для игры.</w:t>
      </w:r>
      <w:r/>
    </w:p>
    <w:p>
      <w:pPr>
        <w:pStyle w:val="940"/>
        <w:ind w:firstLine="708"/>
        <w:jc w:val="both"/>
      </w:pPr>
      <w:r>
        <w:t xml:space="preserve">Процент выполнения данного задания снизился на 2% по сравнению с 2020 годом,</w:t>
      </w:r>
      <w:r>
        <w:t xml:space="preserve"> но так как это задание было разбито на части, то можно рассмотреть во всех анализируемых группах. Наиболее значительный рост произошел в группе 61-80 т.б., где процент выполнения вырос на 21,65% и стал 77,45%. Практически все участники из группы 81-100 т.</w:t>
      </w:r>
      <w:r>
        <w:t xml:space="preserve">б. (96,56%) справились с данным заданием, что лучше, чем в прошлом году на 4,18%. В группе 41-60 т б. рост выполняемости произошел на 12% и стал 29,72%, Процент выполняемости по всем сдававшим равен 65,16%, что лучше прошлогоднего результата почти на 10%. </w:t>
      </w:r>
      <w:r/>
    </w:p>
    <w:p>
      <w:pPr>
        <w:pStyle w:val="940"/>
      </w:pPr>
      <w:r/>
      <w:r/>
    </w:p>
    <w:p>
      <w:pPr>
        <w:pStyle w:val="940"/>
        <w:jc w:val="center"/>
      </w:pPr>
      <w:r>
        <w:rPr>
          <w:b/>
          <w:i/>
        </w:rPr>
        <w:t xml:space="preserve">Средний процент успешности выполнения заданий по различным разделам КИМ  по информатике и ИКТ</w:t>
      </w:r>
      <w:r/>
    </w:p>
    <w:p>
      <w:pPr>
        <w:pStyle w:val="940"/>
        <w:rPr>
          <w:b/>
          <w:i/>
        </w:rPr>
      </w:pPr>
      <w:r>
        <w:rPr>
          <w:b/>
          <w:i/>
        </w:rPr>
      </w:r>
      <w:r/>
    </w:p>
    <w:p>
      <w:pPr>
        <w:pStyle w:val="940"/>
        <w:ind w:firstLine="708"/>
        <w:jc w:val="both"/>
      </w:pPr>
      <w:r>
        <w:t xml:space="preserve">В таблице приведены статистические данные по выполнению заданий тестовой части различных разделов. Результаты, полученные в таблице 20, отражены на диаграмме.</w:t>
      </w:r>
      <w:r/>
    </w:p>
    <w:p>
      <w:pPr>
        <w:pStyle w:val="940"/>
        <w:jc w:val="both"/>
      </w:pPr>
      <w:r>
        <w:t xml:space="preserve">Полужирным шрифтом выделены задания тестовой части, которых не было в 2020 году. </w:t>
      </w:r>
      <w:r/>
    </w:p>
    <w:p>
      <w:pPr>
        <w:pStyle w:val="940"/>
        <w:jc w:val="both"/>
      </w:pPr>
      <w:r>
        <w:t xml:space="preserve">«-» обозначены задания аналог, которых не присутствует в 2021 году.</w:t>
      </w:r>
      <w:r/>
    </w:p>
    <w:p>
      <w:pPr>
        <w:pStyle w:val="940"/>
        <w:jc w:val="right"/>
        <w:rPr>
          <w:i/>
        </w:rPr>
      </w:pPr>
      <w:r>
        <w:rPr>
          <w:i/>
        </w:rPr>
        <w:t xml:space="preserve">Таблица</w:t>
      </w:r>
      <w:r/>
    </w:p>
    <w:p>
      <w:pPr>
        <w:pStyle w:val="940"/>
        <w:jc w:val="right"/>
        <w:rPr>
          <w:i/>
        </w:rPr>
      </w:pPr>
      <w:r>
        <w:rPr>
          <w:i/>
        </w:rPr>
        <w:t xml:space="preserve">Средний процент успешности выполнения заданий </w:t>
      </w:r>
      <w:r/>
    </w:p>
    <w:p>
      <w:pPr>
        <w:pStyle w:val="940"/>
        <w:jc w:val="right"/>
        <w:rPr>
          <w:i/>
        </w:rPr>
      </w:pPr>
      <w:r>
        <w:rPr>
          <w:i/>
        </w:rPr>
        <w:t xml:space="preserve">по различным разделам ким по информатике и ИКТ.</w:t>
      </w:r>
      <w:r/>
    </w:p>
    <w:p>
      <w:pPr>
        <w:pStyle w:val="940"/>
        <w:rPr>
          <w:i/>
        </w:rPr>
      </w:pPr>
      <w:r>
        <w:rPr>
          <w:i/>
        </w:rPr>
      </w:r>
      <w:r/>
    </w:p>
    <w:tbl>
      <w:tblPr>
        <w:tblW w:w="9659" w:type="dxa"/>
        <w:tblInd w:w="93" w:type="dxa"/>
        <w:tblLayout w:type="fixed"/>
        <w:tblCellMar>
          <w:left w:w="0" w:type="dxa"/>
          <w:top w:w="0" w:type="dxa"/>
          <w:right w:w="0" w:type="dxa"/>
          <w:bottom w:w="0" w:type="dxa"/>
        </w:tblCellMar>
        <w:tblLook w:val="04A0" w:firstRow="1" w:lastRow="0" w:firstColumn="1" w:lastColumn="0" w:noHBand="0" w:noVBand="1"/>
      </w:tblPr>
      <w:tblGrid>
        <w:gridCol w:w="551"/>
        <w:gridCol w:w="2203"/>
        <w:gridCol w:w="1102"/>
        <w:gridCol w:w="1377"/>
        <w:gridCol w:w="1240"/>
        <w:gridCol w:w="1652"/>
        <w:gridCol w:w="1534"/>
      </w:tblGrid>
      <w:tr>
        <w:trPr>
          <w:trHeight w:val="288"/>
        </w:trPr>
        <w:tc>
          <w:tcPr>
            <w:tcBorders>
              <w:top w:val="single" w:color="000000" w:sz="4" w:space="0"/>
              <w:left w:val="single" w:color="000000" w:sz="4" w:space="0"/>
              <w:bottom w:val="single" w:color="000000" w:sz="4" w:space="0"/>
            </w:tcBorders>
            <w:tcW w:w="551" w:type="dxa"/>
            <w:vMerge w:val="restart"/>
            <w:textDirection w:val="lrTb"/>
            <w:noWrap w:val="false"/>
          </w:tcPr>
          <w:p>
            <w:pPr>
              <w:pStyle w:val="1420"/>
              <w:ind w:left="0" w:right="0" w:firstLine="0"/>
              <w:jc w:val="center"/>
              <w:spacing w:before="0" w:after="0"/>
              <w:rPr>
                <w:sz w:val="24"/>
                <w:szCs w:val="24"/>
              </w:rPr>
            </w:pPr>
            <w:r>
              <w:rPr>
                <w:sz w:val="24"/>
                <w:szCs w:val="24"/>
              </w:rPr>
              <w:t xml:space="preserve">№</w:t>
            </w:r>
            <w:r/>
          </w:p>
        </w:tc>
        <w:tc>
          <w:tcPr>
            <w:tcBorders>
              <w:top w:val="single" w:color="000000" w:sz="4" w:space="0"/>
              <w:left w:val="single" w:color="000000" w:sz="4" w:space="0"/>
              <w:bottom w:val="single" w:color="000000" w:sz="4" w:space="0"/>
            </w:tcBorders>
            <w:tcW w:w="2203" w:type="dxa"/>
            <w:vMerge w:val="restart"/>
            <w:textDirection w:val="lrTb"/>
            <w:noWrap w:val="false"/>
          </w:tcPr>
          <w:p>
            <w:pPr>
              <w:pStyle w:val="1420"/>
              <w:ind w:left="0" w:right="0" w:firstLine="0"/>
              <w:spacing w:before="0" w:after="0"/>
            </w:pPr>
            <w:r>
              <w:rPr>
                <w:sz w:val="24"/>
                <w:szCs w:val="24"/>
              </w:rPr>
              <w:t xml:space="preserve">Содержательные</w:t>
            </w:r>
            <w:r>
              <w:rPr>
                <w:spacing w:val="21"/>
                <w:sz w:val="24"/>
                <w:szCs w:val="24"/>
              </w:rPr>
              <w:t xml:space="preserve"> </w:t>
            </w:r>
            <w:r>
              <w:rPr>
                <w:sz w:val="24"/>
                <w:szCs w:val="24"/>
              </w:rPr>
              <w:t xml:space="preserve">разделы</w:t>
            </w:r>
            <w:r/>
          </w:p>
        </w:tc>
        <w:tc>
          <w:tcPr>
            <w:gridSpan w:val="3"/>
            <w:tcBorders>
              <w:top w:val="single" w:color="000000" w:sz="4" w:space="0"/>
              <w:left w:val="single" w:color="000000" w:sz="4" w:space="0"/>
              <w:bottom w:val="single" w:color="000000" w:sz="4" w:space="0"/>
            </w:tcBorders>
            <w:tcW w:w="3719" w:type="dxa"/>
            <w:textDirection w:val="lrTb"/>
            <w:noWrap w:val="false"/>
          </w:tcPr>
          <w:p>
            <w:pPr>
              <w:pStyle w:val="1420"/>
              <w:ind w:left="0" w:right="118" w:firstLine="0"/>
              <w:jc w:val="center"/>
              <w:spacing w:before="0" w:after="0"/>
              <w:rPr>
                <w:sz w:val="24"/>
                <w:szCs w:val="24"/>
              </w:rPr>
            </w:pPr>
            <w:r>
              <w:rPr>
                <w:sz w:val="24"/>
                <w:szCs w:val="24"/>
              </w:rPr>
              <w:t xml:space="preserve">Задания</w:t>
            </w:r>
            <w:r/>
          </w:p>
        </w:tc>
        <w:tc>
          <w:tcPr>
            <w:gridSpan w:val="2"/>
            <w:tcBorders>
              <w:top w:val="single" w:color="000000" w:sz="4" w:space="0"/>
              <w:left w:val="single" w:color="000000" w:sz="4" w:space="0"/>
              <w:bottom w:val="single" w:color="000000" w:sz="4" w:space="0"/>
              <w:right w:val="single" w:color="000000" w:sz="4" w:space="0"/>
            </w:tcBorders>
            <w:tcW w:w="3186" w:type="dxa"/>
            <w:textDirection w:val="lrTb"/>
            <w:noWrap w:val="false"/>
          </w:tcPr>
          <w:p>
            <w:pPr>
              <w:pStyle w:val="1420"/>
              <w:ind w:left="0" w:right="118" w:firstLine="0"/>
              <w:jc w:val="center"/>
              <w:spacing w:before="0" w:after="0"/>
              <w:rPr>
                <w:sz w:val="24"/>
                <w:szCs w:val="24"/>
              </w:rPr>
            </w:pPr>
            <w:r>
              <w:rPr>
                <w:sz w:val="24"/>
                <w:szCs w:val="24"/>
              </w:rPr>
              <w:t xml:space="preserve">Средний процент успешности выполнения заданий</w:t>
            </w:r>
            <w:r/>
          </w:p>
        </w:tc>
      </w:tr>
      <w:tr>
        <w:trPr>
          <w:trHeight w:val="249"/>
        </w:trPr>
        <w:tc>
          <w:tcPr>
            <w:tcBorders>
              <w:top w:val="single" w:color="000000" w:sz="4" w:space="0"/>
              <w:left w:val="single" w:color="000000" w:sz="4" w:space="0"/>
              <w:bottom w:val="single" w:color="000000" w:sz="4" w:space="0"/>
            </w:tcBorders>
            <w:tcW w:w="551" w:type="dxa"/>
            <w:vMerge w:val="continue"/>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2203" w:type="dxa"/>
            <w:vMerge w:val="continue"/>
            <w:textDirection w:val="lrTb"/>
            <w:noWrap w:val="false"/>
          </w:tcPr>
          <w:p>
            <w:pPr>
              <w:pStyle w:val="1420"/>
              <w:ind w:left="0" w:right="0" w:firstLine="0"/>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96" w:firstLine="0"/>
              <w:jc w:val="center"/>
              <w:spacing w:before="0" w:after="0"/>
            </w:pPr>
            <w:r>
              <w:t xml:space="preserve">Базового уровня</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118" w:firstLine="0"/>
              <w:jc w:val="center"/>
              <w:spacing w:before="0" w:after="0"/>
            </w:pPr>
            <w:r>
              <w:t xml:space="preserve">Повышенного уровня</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118" w:firstLine="0"/>
              <w:jc w:val="center"/>
              <w:spacing w:before="0" w:after="0"/>
            </w:pPr>
            <w:r>
              <w:t xml:space="preserve">Высокого уровня </w:t>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118" w:firstLine="0"/>
              <w:jc w:val="center"/>
              <w:spacing w:before="0" w:after="0"/>
              <w:rPr>
                <w:sz w:val="24"/>
                <w:szCs w:val="24"/>
              </w:rPr>
            </w:pPr>
            <w:r>
              <w:rPr>
                <w:sz w:val="24"/>
                <w:szCs w:val="24"/>
              </w:rPr>
              <w:t xml:space="preserve">2020 г.</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118" w:firstLine="0"/>
              <w:jc w:val="center"/>
              <w:spacing w:before="0" w:after="0"/>
              <w:rPr>
                <w:sz w:val="24"/>
                <w:szCs w:val="24"/>
              </w:rPr>
            </w:pPr>
            <w:r>
              <w:rPr>
                <w:sz w:val="24"/>
                <w:szCs w:val="24"/>
              </w:rPr>
              <w:t xml:space="preserve">2021 г.</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1</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Информация</w:t>
            </w:r>
            <w:r>
              <w:rPr>
                <w:spacing w:val="-9"/>
                <w:sz w:val="24"/>
                <w:szCs w:val="24"/>
              </w:rPr>
              <w:t xml:space="preserve"> </w:t>
            </w:r>
            <w:r>
              <w:rPr>
                <w:sz w:val="24"/>
                <w:szCs w:val="24"/>
              </w:rPr>
              <w:t xml:space="preserve">и</w:t>
            </w:r>
            <w:r>
              <w:rPr>
                <w:spacing w:val="-8"/>
                <w:sz w:val="24"/>
                <w:szCs w:val="24"/>
              </w:rPr>
              <w:t xml:space="preserve"> </w:t>
            </w:r>
            <w:r>
              <w:rPr>
                <w:sz w:val="24"/>
                <w:szCs w:val="24"/>
              </w:rPr>
              <w:t xml:space="preserve">её</w:t>
            </w:r>
            <w:r>
              <w:rPr>
                <w:spacing w:val="-9"/>
                <w:sz w:val="24"/>
                <w:szCs w:val="24"/>
              </w:rPr>
              <w:t xml:space="preserve"> </w:t>
            </w:r>
            <w:r>
              <w:rPr>
                <w:sz w:val="24"/>
                <w:szCs w:val="24"/>
              </w:rPr>
              <w:t xml:space="preserve">кодирование</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4,8</w:t>
            </w:r>
            <w:r/>
          </w:p>
          <w:p>
            <w:pPr>
              <w:pStyle w:val="1420"/>
              <w:ind w:left="0" w:right="0" w:firstLine="0"/>
              <w:spacing w:before="0" w:after="0"/>
              <w:rPr>
                <w:sz w:val="24"/>
                <w:szCs w:val="24"/>
              </w:rPr>
            </w:pPr>
            <w:r>
              <w:rPr>
                <w:sz w:val="24"/>
                <w:szCs w:val="24"/>
              </w:rPr>
              <w:t xml:space="preserve">     </w:t>
            </w:r>
            <w:r>
              <w:rPr>
                <w:sz w:val="24"/>
                <w:szCs w:val="24"/>
              </w:rPr>
              <w:t xml:space="preserve">(5,10)</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118" w:firstLine="0"/>
              <w:jc w:val="center"/>
              <w:spacing w:before="0" w:after="0"/>
              <w:rPr>
                <w:sz w:val="24"/>
                <w:szCs w:val="24"/>
              </w:rPr>
            </w:pPr>
            <w:r>
              <w:rPr>
                <w:sz w:val="24"/>
                <w:szCs w:val="24"/>
              </w:rPr>
              <w:t xml:space="preserve">11 (13)</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118"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118" w:firstLine="0"/>
              <w:jc w:val="center"/>
              <w:spacing w:before="0" w:after="0"/>
              <w:rPr>
                <w:sz w:val="24"/>
                <w:szCs w:val="24"/>
              </w:rPr>
            </w:pPr>
            <w:r>
              <w:rPr>
                <w:sz w:val="24"/>
                <w:szCs w:val="24"/>
              </w:rPr>
              <w:t xml:space="preserve">(77+11+64)/3=51%</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118" w:firstLine="0"/>
              <w:jc w:val="center"/>
              <w:spacing w:before="0" w:after="0"/>
              <w:rPr>
                <w:sz w:val="24"/>
                <w:szCs w:val="24"/>
              </w:rPr>
            </w:pPr>
            <w:r>
              <w:rPr>
                <w:sz w:val="24"/>
                <w:szCs w:val="24"/>
              </w:rPr>
              <w:t xml:space="preserve">(82+43+31)/3=52%</w:t>
            </w:r>
            <w:r/>
          </w:p>
        </w:tc>
      </w:tr>
      <w:tr>
        <w:trPr>
          <w:trHeight w:val="378"/>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2</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Моделирование</w:t>
            </w:r>
            <w:r>
              <w:rPr>
                <w:spacing w:val="30"/>
                <w:sz w:val="24"/>
                <w:szCs w:val="24"/>
              </w:rPr>
              <w:t xml:space="preserve"> </w:t>
            </w:r>
            <w:r>
              <w:rPr>
                <w:sz w:val="24"/>
                <w:szCs w:val="24"/>
              </w:rPr>
              <w:t xml:space="preserve">и</w:t>
            </w:r>
            <w:r>
              <w:rPr>
                <w:spacing w:val="30"/>
                <w:sz w:val="24"/>
                <w:szCs w:val="24"/>
              </w:rPr>
              <w:t xml:space="preserve"> </w:t>
            </w:r>
            <w:r>
              <w:rPr>
                <w:sz w:val="24"/>
                <w:szCs w:val="24"/>
              </w:rPr>
              <w:t xml:space="preserve">компьютерный</w:t>
            </w:r>
            <w:r>
              <w:rPr>
                <w:sz w:val="24"/>
                <w:szCs w:val="24"/>
              </w:rPr>
              <w:t xml:space="preserve"> </w:t>
            </w:r>
            <w:r>
              <w:rPr>
                <w:sz w:val="24"/>
                <w:szCs w:val="24"/>
              </w:rPr>
              <w:t xml:space="preserve">эксперимент</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1 (3)</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0" w:firstLine="0"/>
              <w:jc w:val="center"/>
              <w:spacing w:before="0" w:after="0"/>
              <w:rPr>
                <w:sz w:val="24"/>
                <w:szCs w:val="24"/>
              </w:rPr>
            </w:pPr>
            <w:r>
              <w:rPr>
                <w:sz w:val="24"/>
                <w:szCs w:val="24"/>
              </w:rPr>
              <w:t xml:space="preserve">13 (15)</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0" w:firstLine="0"/>
              <w:jc w:val="center"/>
              <w:spacing w:before="0" w:after="0"/>
              <w:rPr>
                <w:sz w:val="24"/>
                <w:szCs w:val="24"/>
              </w:rPr>
            </w:pPr>
            <w:r>
              <w:rPr>
                <w:sz w:val="24"/>
                <w:szCs w:val="24"/>
              </w:rPr>
              <w:t xml:space="preserve">(82+64)/2=73%</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0" w:firstLine="0"/>
              <w:jc w:val="center"/>
              <w:spacing w:before="0" w:after="0"/>
              <w:rPr>
                <w:sz w:val="24"/>
                <w:szCs w:val="24"/>
              </w:rPr>
            </w:pPr>
            <w:r>
              <w:rPr>
                <w:sz w:val="24"/>
                <w:szCs w:val="24"/>
              </w:rPr>
              <w:t xml:space="preserve">(83+63)/2=73%</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3</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Системы</w:t>
            </w:r>
            <w:r>
              <w:rPr>
                <w:spacing w:val="-10"/>
                <w:sz w:val="24"/>
                <w:szCs w:val="24"/>
              </w:rPr>
              <w:t xml:space="preserve"> </w:t>
            </w:r>
            <w:r>
              <w:rPr>
                <w:sz w:val="24"/>
                <w:szCs w:val="24"/>
              </w:rPr>
              <w:t xml:space="preserve">счисления</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 (1)</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0" w:firstLine="0"/>
              <w:jc w:val="center"/>
              <w:spacing w:before="0" w:after="0"/>
              <w:rPr>
                <w:sz w:val="24"/>
                <w:szCs w:val="24"/>
              </w:rPr>
            </w:pPr>
            <w:r>
              <w:rPr>
                <w:sz w:val="24"/>
                <w:szCs w:val="24"/>
              </w:rPr>
              <w:t xml:space="preserve">14 (16)</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0" w:firstLine="0"/>
              <w:jc w:val="center"/>
              <w:spacing w:before="0" w:after="0"/>
              <w:rPr>
                <w:sz w:val="24"/>
                <w:szCs w:val="24"/>
              </w:rPr>
            </w:pPr>
            <w:r>
              <w:rPr>
                <w:sz w:val="24"/>
                <w:szCs w:val="24"/>
              </w:rPr>
              <w:t xml:space="preserve">41%</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0" w:firstLine="0"/>
              <w:jc w:val="center"/>
              <w:spacing w:before="0" w:after="0"/>
              <w:rPr>
                <w:sz w:val="24"/>
                <w:szCs w:val="24"/>
              </w:rPr>
            </w:pPr>
            <w:r>
              <w:rPr>
                <w:sz w:val="24"/>
                <w:szCs w:val="24"/>
              </w:rPr>
              <w:t xml:space="preserve">43%</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4</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rPr>
                <w:spacing w:val="-1"/>
                <w:sz w:val="24"/>
                <w:szCs w:val="24"/>
              </w:rPr>
            </w:pPr>
            <w:r>
              <w:rPr>
                <w:spacing w:val="-1"/>
                <w:sz w:val="24"/>
                <w:szCs w:val="24"/>
              </w:rPr>
              <w:t xml:space="preserve">Основы логики</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2 (2)</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118" w:firstLine="0"/>
              <w:jc w:val="center"/>
              <w:spacing w:before="0" w:after="0"/>
              <w:rPr>
                <w:sz w:val="24"/>
                <w:szCs w:val="24"/>
              </w:rPr>
            </w:pPr>
            <w:r>
              <w:rPr>
                <w:sz w:val="24"/>
                <w:szCs w:val="24"/>
              </w:rPr>
              <w:t xml:space="preserve">-,15 (17,18)</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118" w:firstLine="0"/>
              <w:jc w:val="center"/>
              <w:spacing w:before="0" w:after="0"/>
              <w:rPr>
                <w:sz w:val="24"/>
                <w:szCs w:val="24"/>
              </w:rPr>
            </w:pPr>
            <w:r>
              <w:rPr>
                <w:sz w:val="24"/>
                <w:szCs w:val="24"/>
              </w:rPr>
              <w:t xml:space="preserve">-(23)</w:t>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118" w:firstLine="0"/>
              <w:jc w:val="center"/>
              <w:spacing w:before="0" w:after="0"/>
              <w:rPr>
                <w:sz w:val="24"/>
                <w:szCs w:val="24"/>
              </w:rPr>
            </w:pPr>
            <w:r>
              <w:rPr>
                <w:sz w:val="24"/>
                <w:szCs w:val="24"/>
              </w:rPr>
              <w:t xml:space="preserve">(75+50)/2=63%</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118" w:firstLine="0"/>
              <w:jc w:val="center"/>
              <w:spacing w:before="0" w:after="0"/>
              <w:rPr>
                <w:sz w:val="24"/>
                <w:szCs w:val="24"/>
              </w:rPr>
            </w:pPr>
            <w:r>
              <w:rPr>
                <w:sz w:val="24"/>
                <w:szCs w:val="24"/>
              </w:rPr>
              <w:t xml:space="preserve">(69+29)/2=49%</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5</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pacing w:val="-1"/>
                <w:sz w:val="24"/>
                <w:szCs w:val="24"/>
              </w:rPr>
              <w:t xml:space="preserve">Элементы</w:t>
            </w:r>
            <w:r>
              <w:rPr>
                <w:spacing w:val="-8"/>
                <w:sz w:val="24"/>
                <w:szCs w:val="24"/>
              </w:rPr>
              <w:t xml:space="preserve"> </w:t>
            </w:r>
            <w:r>
              <w:rPr>
                <w:spacing w:val="-1"/>
                <w:sz w:val="24"/>
                <w:szCs w:val="24"/>
              </w:rPr>
              <w:t xml:space="preserve">теории</w:t>
            </w:r>
            <w:r>
              <w:rPr>
                <w:spacing w:val="-8"/>
                <w:sz w:val="24"/>
                <w:szCs w:val="24"/>
              </w:rPr>
              <w:t xml:space="preserve"> </w:t>
            </w:r>
            <w:r>
              <w:rPr>
                <w:sz w:val="24"/>
                <w:szCs w:val="24"/>
              </w:rPr>
              <w:t xml:space="preserve">алгоритмов</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5,6,16</w:t>
            </w:r>
            <w:r/>
          </w:p>
          <w:p>
            <w:pPr>
              <w:pStyle w:val="1420"/>
              <w:ind w:left="0" w:right="0" w:firstLine="0"/>
              <w:spacing w:before="0" w:after="0"/>
              <w:rPr>
                <w:sz w:val="24"/>
                <w:szCs w:val="24"/>
              </w:rPr>
            </w:pPr>
            <w:r>
              <w:rPr>
                <w:sz w:val="24"/>
                <w:szCs w:val="24"/>
              </w:rPr>
              <w:t xml:space="preserve">     </w:t>
            </w:r>
            <w:r>
              <w:rPr>
                <w:sz w:val="24"/>
                <w:szCs w:val="24"/>
              </w:rPr>
              <w:t xml:space="preserve">(6,8,11)</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118" w:firstLine="0"/>
              <w:jc w:val="center"/>
              <w:spacing w:before="0" w:after="0"/>
              <w:rPr>
                <w:sz w:val="24"/>
                <w:szCs w:val="24"/>
              </w:rPr>
            </w:pPr>
            <w:r>
              <w:rPr>
                <w:sz w:val="24"/>
                <w:szCs w:val="24"/>
              </w:rPr>
              <w:t xml:space="preserve">12,22,23</w:t>
            </w:r>
            <w:r/>
          </w:p>
          <w:p>
            <w:pPr>
              <w:pStyle w:val="1420"/>
              <w:ind w:left="0" w:right="118" w:firstLine="0"/>
              <w:jc w:val="center"/>
              <w:spacing w:before="0" w:after="0"/>
              <w:rPr>
                <w:sz w:val="24"/>
                <w:szCs w:val="24"/>
              </w:rPr>
            </w:pPr>
            <w:r>
              <w:rPr>
                <w:sz w:val="24"/>
                <w:szCs w:val="24"/>
              </w:rPr>
              <w:t xml:space="preserve">(14,20,22)</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118"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118" w:firstLine="0"/>
              <w:jc w:val="center"/>
              <w:spacing w:before="0" w:after="0"/>
              <w:rPr>
                <w:sz w:val="24"/>
                <w:szCs w:val="24"/>
              </w:rPr>
            </w:pPr>
            <w:r>
              <w:rPr>
                <w:sz w:val="24"/>
                <w:szCs w:val="24"/>
              </w:rPr>
              <w:t xml:space="preserve">(65+82+58+50+25+51)/6=55%</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118" w:firstLine="0"/>
              <w:jc w:val="center"/>
              <w:spacing w:before="0" w:after="0"/>
              <w:rPr>
                <w:sz w:val="24"/>
                <w:szCs w:val="24"/>
              </w:rPr>
            </w:pPr>
            <w:r>
              <w:rPr>
                <w:sz w:val="24"/>
                <w:szCs w:val="24"/>
              </w:rPr>
              <w:t xml:space="preserve">(52+73+53+56+61+38)/6=55,5%</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6</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rPr>
                <w:sz w:val="24"/>
                <w:szCs w:val="24"/>
              </w:rPr>
            </w:pPr>
            <w:r>
              <w:rPr>
                <w:sz w:val="24"/>
                <w:szCs w:val="24"/>
              </w:rPr>
              <w:t xml:space="preserve">Программирование</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118" w:firstLine="0"/>
              <w:jc w:val="center"/>
              <w:spacing w:before="0" w:after="0"/>
            </w:pPr>
            <w:r>
              <w:rPr>
                <w:sz w:val="24"/>
                <w:szCs w:val="24"/>
              </w:rPr>
              <w:t xml:space="preserve">-,-, </w:t>
            </w:r>
            <w:r>
              <w:rPr>
                <w:b/>
                <w:sz w:val="24"/>
                <w:szCs w:val="24"/>
              </w:rPr>
              <w:t xml:space="preserve">17,18</w:t>
            </w:r>
            <w:r/>
          </w:p>
          <w:p>
            <w:pPr>
              <w:pStyle w:val="1420"/>
              <w:ind w:left="0" w:right="118" w:firstLine="0"/>
              <w:jc w:val="center"/>
              <w:spacing w:before="0" w:after="0"/>
              <w:rPr>
                <w:sz w:val="24"/>
                <w:szCs w:val="24"/>
              </w:rPr>
            </w:pPr>
            <w:r>
              <w:rPr>
                <w:sz w:val="24"/>
                <w:szCs w:val="24"/>
              </w:rPr>
              <w:t xml:space="preserve">(19,21)</w:t>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118" w:firstLine="0"/>
              <w:jc w:val="center"/>
              <w:spacing w:before="0" w:after="0"/>
              <w:rPr>
                <w:b/>
                <w:sz w:val="24"/>
                <w:szCs w:val="24"/>
              </w:rPr>
            </w:pPr>
            <w:r>
              <w:rPr>
                <w:b/>
                <w:sz w:val="24"/>
                <w:szCs w:val="24"/>
              </w:rPr>
              <w:t xml:space="preserve">24,25,</w:t>
            </w:r>
            <w:r/>
          </w:p>
          <w:p>
            <w:pPr>
              <w:pStyle w:val="1420"/>
              <w:ind w:left="0" w:right="118" w:firstLine="0"/>
              <w:jc w:val="center"/>
              <w:spacing w:before="0" w:after="0"/>
            </w:pPr>
            <w:r>
              <w:rPr>
                <w:b/>
                <w:sz w:val="24"/>
                <w:szCs w:val="24"/>
              </w:rPr>
              <w:t xml:space="preserve">26</w:t>
            </w:r>
            <w:r>
              <w:rPr>
                <w:sz w:val="24"/>
                <w:szCs w:val="24"/>
              </w:rPr>
              <w:t xml:space="preserve">,27</w:t>
            </w:r>
            <w:r/>
          </w:p>
          <w:p>
            <w:pPr>
              <w:pStyle w:val="1420"/>
              <w:ind w:left="0" w:right="118" w:firstLine="0"/>
              <w:jc w:val="center"/>
              <w:spacing w:before="0" w:after="0"/>
              <w:rPr>
                <w:sz w:val="24"/>
                <w:szCs w:val="24"/>
              </w:rPr>
            </w:pPr>
            <w:r>
              <w:rPr>
                <w:sz w:val="24"/>
                <w:szCs w:val="24"/>
              </w:rPr>
              <w:t xml:space="preserve">(27)</w:t>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118" w:firstLine="0"/>
              <w:jc w:val="center"/>
              <w:spacing w:before="0" w:after="0"/>
              <w:rPr>
                <w:sz w:val="24"/>
                <w:szCs w:val="24"/>
              </w:rPr>
            </w:pPr>
            <w:r>
              <w:rPr>
                <w:sz w:val="24"/>
                <w:szCs w:val="24"/>
              </w:rPr>
              <w:t xml:space="preserve">(39+31+19,24)/3=29,7%</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118" w:firstLine="0"/>
              <w:jc w:val="center"/>
              <w:spacing w:before="0" w:after="0"/>
              <w:rPr>
                <w:sz w:val="24"/>
                <w:szCs w:val="24"/>
              </w:rPr>
            </w:pPr>
            <w:r>
              <w:rPr>
                <w:sz w:val="24"/>
                <w:szCs w:val="24"/>
              </w:rPr>
              <w:t xml:space="preserve">(49+33+9,7+22+12+2,5)/6=21,3</w:t>
            </w:r>
            <w:r/>
          </w:p>
        </w:tc>
      </w:tr>
      <w:tr>
        <w:trPr>
          <w:trHeight w:val="37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7</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Архитектура</w:t>
            </w:r>
            <w:r>
              <w:rPr>
                <w:spacing w:val="8"/>
                <w:sz w:val="24"/>
                <w:szCs w:val="24"/>
              </w:rPr>
              <w:t xml:space="preserve"> </w:t>
            </w:r>
            <w:r>
              <w:rPr>
                <w:sz w:val="24"/>
                <w:szCs w:val="24"/>
              </w:rPr>
              <w:t xml:space="preserve">компьютеров</w:t>
            </w:r>
            <w:r>
              <w:rPr>
                <w:spacing w:val="7"/>
                <w:sz w:val="24"/>
                <w:szCs w:val="24"/>
              </w:rPr>
              <w:t xml:space="preserve"> </w:t>
            </w:r>
            <w:r>
              <w:rPr>
                <w:sz w:val="24"/>
                <w:szCs w:val="24"/>
              </w:rPr>
              <w:t xml:space="preserve">и</w:t>
            </w:r>
            <w:r>
              <w:rPr>
                <w:spacing w:val="7"/>
                <w:sz w:val="24"/>
                <w:szCs w:val="24"/>
              </w:rPr>
              <w:t xml:space="preserve"> </w:t>
            </w:r>
            <w:r>
              <w:rPr>
                <w:sz w:val="24"/>
                <w:szCs w:val="24"/>
              </w:rPr>
              <w:t xml:space="preserve">ком</w:t>
            </w:r>
            <w:r>
              <w:rPr>
                <w:spacing w:val="-1"/>
                <w:sz w:val="24"/>
                <w:szCs w:val="24"/>
              </w:rPr>
              <w:t xml:space="preserve">пьютерных</w:t>
            </w:r>
            <w:r>
              <w:rPr>
                <w:spacing w:val="-8"/>
                <w:sz w:val="24"/>
                <w:szCs w:val="24"/>
              </w:rPr>
              <w:t xml:space="preserve"> </w:t>
            </w:r>
            <w:r>
              <w:rPr>
                <w:sz w:val="24"/>
                <w:szCs w:val="24"/>
              </w:rPr>
              <w:t xml:space="preserve">сетей</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pPr>
            <w:r>
              <w:rPr>
                <w:b/>
                <w:sz w:val="24"/>
                <w:szCs w:val="24"/>
              </w:rPr>
              <w:t xml:space="preserve">10</w:t>
            </w:r>
            <w:r>
              <w:rPr>
                <w:sz w:val="24"/>
                <w:szCs w:val="24"/>
              </w:rPr>
              <w:t xml:space="preserve">(12)</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0" w:firstLine="0"/>
              <w:jc w:val="center"/>
              <w:spacing w:before="0" w:after="0"/>
              <w:rPr>
                <w:sz w:val="24"/>
                <w:szCs w:val="24"/>
              </w:rPr>
            </w:pPr>
            <w:r>
              <w:rPr>
                <w:sz w:val="24"/>
                <w:szCs w:val="24"/>
              </w:rPr>
              <w:t xml:space="preserve">64%</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0" w:firstLine="0"/>
              <w:jc w:val="center"/>
              <w:spacing w:before="0" w:after="0"/>
              <w:rPr>
                <w:sz w:val="24"/>
                <w:szCs w:val="24"/>
              </w:rPr>
            </w:pPr>
            <w:r>
              <w:rPr>
                <w:sz w:val="24"/>
                <w:szCs w:val="24"/>
              </w:rPr>
              <w:t xml:space="preserve">74%</w:t>
            </w:r>
            <w:r/>
          </w:p>
        </w:tc>
      </w:tr>
      <w:tr>
        <w:trPr>
          <w:trHeight w:val="187"/>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8</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Обработка</w:t>
            </w:r>
            <w:r>
              <w:rPr>
                <w:spacing w:val="22"/>
                <w:sz w:val="24"/>
                <w:szCs w:val="24"/>
              </w:rPr>
              <w:t xml:space="preserve"> </w:t>
            </w:r>
            <w:r>
              <w:rPr>
                <w:sz w:val="24"/>
                <w:szCs w:val="24"/>
              </w:rPr>
              <w:t xml:space="preserve">числовой</w:t>
            </w:r>
            <w:r>
              <w:rPr>
                <w:spacing w:val="22"/>
                <w:sz w:val="24"/>
                <w:szCs w:val="24"/>
              </w:rPr>
              <w:t xml:space="preserve"> </w:t>
            </w:r>
            <w:r>
              <w:rPr>
                <w:sz w:val="24"/>
                <w:szCs w:val="24"/>
              </w:rPr>
              <w:t xml:space="preserve">информации</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pPr>
            <w:r>
              <w:rPr>
                <w:sz w:val="24"/>
                <w:szCs w:val="24"/>
              </w:rPr>
              <w:t xml:space="preserve">-,7,</w:t>
            </w:r>
            <w:r>
              <w:rPr>
                <w:b/>
                <w:sz w:val="24"/>
                <w:szCs w:val="24"/>
              </w:rPr>
              <w:t xml:space="preserve">9</w:t>
            </w:r>
            <w:r/>
          </w:p>
          <w:p>
            <w:pPr>
              <w:pStyle w:val="1420"/>
              <w:ind w:left="0" w:right="0" w:firstLine="0"/>
              <w:spacing w:before="0" w:after="0"/>
              <w:rPr>
                <w:sz w:val="24"/>
                <w:szCs w:val="24"/>
              </w:rPr>
            </w:pPr>
            <w:r>
              <w:rPr>
                <w:sz w:val="24"/>
                <w:szCs w:val="24"/>
              </w:rPr>
              <w:t xml:space="preserve">(7,9)</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0" w:firstLine="0"/>
              <w:jc w:val="center"/>
              <w:spacing w:before="0" w:after="0"/>
              <w:rPr>
                <w:sz w:val="24"/>
                <w:szCs w:val="24"/>
              </w:rPr>
            </w:pPr>
            <w:r>
              <w:rPr>
                <w:sz w:val="24"/>
                <w:szCs w:val="24"/>
              </w:rPr>
              <w:t xml:space="preserve">19,20,21</w:t>
            </w:r>
            <w:r/>
          </w:p>
          <w:p>
            <w:pPr>
              <w:pStyle w:val="1420"/>
              <w:ind w:left="0" w:right="0" w:firstLine="0"/>
              <w:jc w:val="center"/>
              <w:spacing w:before="0" w:after="0"/>
              <w:rPr>
                <w:sz w:val="24"/>
                <w:szCs w:val="24"/>
              </w:rPr>
            </w:pPr>
            <w:r>
              <w:rPr>
                <w:sz w:val="24"/>
                <w:szCs w:val="24"/>
              </w:rPr>
              <w:t xml:space="preserve">(26)</w:t>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0" w:firstLine="0"/>
              <w:jc w:val="center"/>
              <w:spacing w:before="0" w:after="0"/>
              <w:rPr>
                <w:sz w:val="24"/>
                <w:szCs w:val="24"/>
              </w:rPr>
            </w:pPr>
            <w:r>
              <w:rPr>
                <w:sz w:val="24"/>
                <w:szCs w:val="24"/>
              </w:rPr>
              <w:t xml:space="preserve">(69+54+53)/3=58,5%</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0" w:firstLine="0"/>
              <w:jc w:val="center"/>
              <w:spacing w:before="0" w:after="0"/>
              <w:rPr>
                <w:sz w:val="24"/>
                <w:szCs w:val="24"/>
              </w:rPr>
            </w:pPr>
            <w:r>
              <w:rPr>
                <w:sz w:val="24"/>
                <w:szCs w:val="24"/>
              </w:rPr>
              <w:t xml:space="preserve">(53+79+65+51+37)/5=57%</w:t>
            </w:r>
            <w:r/>
          </w:p>
        </w:tc>
      </w:tr>
      <w:tr>
        <w:trPr>
          <w:trHeight w:val="378"/>
        </w:trPr>
        <w:tc>
          <w:tcPr>
            <w:tcBorders>
              <w:top w:val="single" w:color="000000" w:sz="4" w:space="0"/>
              <w:left w:val="single" w:color="000000" w:sz="4" w:space="0"/>
              <w:bottom w:val="single" w:color="000000" w:sz="4" w:space="0"/>
            </w:tcBorders>
            <w:tcW w:w="551" w:type="dxa"/>
            <w:textDirection w:val="lrTb"/>
            <w:noWrap w:val="false"/>
          </w:tcPr>
          <w:p>
            <w:pPr>
              <w:pStyle w:val="1420"/>
              <w:ind w:left="0" w:right="0" w:firstLine="0"/>
              <w:jc w:val="center"/>
              <w:spacing w:before="0" w:after="0"/>
              <w:rPr>
                <w:sz w:val="24"/>
                <w:szCs w:val="24"/>
              </w:rPr>
            </w:pPr>
            <w:r>
              <w:rPr>
                <w:sz w:val="24"/>
                <w:szCs w:val="24"/>
              </w:rPr>
              <w:t xml:space="preserve">9</w:t>
            </w:r>
            <w:r/>
          </w:p>
        </w:tc>
        <w:tc>
          <w:tcPr>
            <w:tcBorders>
              <w:top w:val="single" w:color="000000" w:sz="4" w:space="0"/>
              <w:left w:val="single" w:color="000000" w:sz="4" w:space="0"/>
              <w:bottom w:val="single" w:color="000000" w:sz="4" w:space="0"/>
            </w:tcBorders>
            <w:tcW w:w="2203" w:type="dxa"/>
            <w:textDirection w:val="lrTb"/>
            <w:noWrap w:val="false"/>
          </w:tcPr>
          <w:p>
            <w:pPr>
              <w:pStyle w:val="1420"/>
              <w:ind w:left="0" w:right="0" w:firstLine="0"/>
              <w:spacing w:before="0" w:after="0"/>
            </w:pPr>
            <w:r>
              <w:rPr>
                <w:sz w:val="24"/>
                <w:szCs w:val="24"/>
              </w:rPr>
              <w:t xml:space="preserve">Технологии</w:t>
            </w:r>
            <w:r>
              <w:rPr>
                <w:spacing w:val="35"/>
                <w:sz w:val="24"/>
                <w:szCs w:val="24"/>
              </w:rPr>
              <w:t xml:space="preserve"> </w:t>
            </w:r>
            <w:r>
              <w:rPr>
                <w:sz w:val="24"/>
                <w:szCs w:val="24"/>
              </w:rPr>
              <w:t xml:space="preserve">поиска </w:t>
            </w:r>
            <w:r>
              <w:rPr>
                <w:spacing w:val="35"/>
                <w:sz w:val="24"/>
                <w:szCs w:val="24"/>
              </w:rPr>
              <w:t xml:space="preserve"> </w:t>
            </w:r>
            <w:r>
              <w:rPr>
                <w:sz w:val="24"/>
                <w:szCs w:val="24"/>
              </w:rPr>
              <w:t xml:space="preserve">и </w:t>
            </w:r>
            <w:r>
              <w:rPr>
                <w:spacing w:val="35"/>
                <w:sz w:val="24"/>
                <w:szCs w:val="24"/>
              </w:rPr>
              <w:t xml:space="preserve"> </w:t>
            </w:r>
            <w:r>
              <w:rPr>
                <w:sz w:val="24"/>
                <w:szCs w:val="24"/>
              </w:rPr>
              <w:t xml:space="preserve">хранения</w:t>
            </w:r>
            <w:r/>
          </w:p>
          <w:p>
            <w:pPr>
              <w:pStyle w:val="1420"/>
              <w:ind w:left="0" w:right="0" w:firstLine="0"/>
              <w:spacing w:before="0" w:after="0"/>
              <w:rPr>
                <w:sz w:val="24"/>
                <w:szCs w:val="24"/>
              </w:rPr>
            </w:pPr>
            <w:r>
              <w:rPr>
                <w:sz w:val="24"/>
                <w:szCs w:val="24"/>
              </w:rPr>
              <w:t xml:space="preserve">информации</w:t>
            </w:r>
            <w:r/>
          </w:p>
        </w:tc>
        <w:tc>
          <w:tcPr>
            <w:tcBorders>
              <w:top w:val="single" w:color="000000" w:sz="4" w:space="0"/>
              <w:left w:val="single" w:color="000000" w:sz="4" w:space="0"/>
              <w:bottom w:val="single" w:color="000000" w:sz="4" w:space="0"/>
            </w:tcBorders>
            <w:tcW w:w="1102" w:type="dxa"/>
            <w:textDirection w:val="lrTb"/>
            <w:noWrap w:val="false"/>
          </w:tcPr>
          <w:p>
            <w:pPr>
              <w:pStyle w:val="1420"/>
              <w:ind w:left="0" w:right="0" w:firstLine="0"/>
              <w:spacing w:before="0" w:after="0"/>
              <w:rPr>
                <w:sz w:val="24"/>
                <w:szCs w:val="24"/>
              </w:rPr>
            </w:pPr>
            <w:r>
              <w:rPr>
                <w:sz w:val="24"/>
                <w:szCs w:val="24"/>
              </w:rPr>
              <w:t xml:space="preserve">3 (4)</w:t>
            </w:r>
            <w:r/>
          </w:p>
        </w:tc>
        <w:tc>
          <w:tcPr>
            <w:tcBorders>
              <w:top w:val="single" w:color="000000" w:sz="4" w:space="0"/>
              <w:left w:val="single" w:color="000000" w:sz="4" w:space="0"/>
              <w:bottom w:val="single" w:color="000000" w:sz="4" w:space="0"/>
            </w:tcBorders>
            <w:tcW w:w="1377"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240" w:type="dxa"/>
            <w:textDirection w:val="lrTb"/>
            <w:noWrap w:val="false"/>
          </w:tcPr>
          <w:p>
            <w:pPr>
              <w:pStyle w:val="1420"/>
              <w:ind w:left="0" w:right="0" w:firstLine="0"/>
              <w:jc w:val="center"/>
              <w:spacing w:before="0" w:after="0"/>
              <w:rPr>
                <w:sz w:val="24"/>
                <w:szCs w:val="24"/>
              </w:rPr>
            </w:pPr>
            <w:r>
              <w:rPr>
                <w:sz w:val="24"/>
                <w:szCs w:val="24"/>
              </w:rPr>
            </w:r>
            <w:r/>
          </w:p>
        </w:tc>
        <w:tc>
          <w:tcPr>
            <w:tcBorders>
              <w:top w:val="single" w:color="000000" w:sz="4" w:space="0"/>
              <w:left w:val="single" w:color="000000" w:sz="4" w:space="0"/>
              <w:bottom w:val="single" w:color="000000" w:sz="4" w:space="0"/>
            </w:tcBorders>
            <w:tcW w:w="1652" w:type="dxa"/>
            <w:textDirection w:val="lrTb"/>
            <w:noWrap w:val="false"/>
          </w:tcPr>
          <w:p>
            <w:pPr>
              <w:pStyle w:val="1420"/>
              <w:ind w:left="0" w:right="0" w:firstLine="0"/>
              <w:jc w:val="center"/>
              <w:spacing w:before="0" w:after="0"/>
              <w:rPr>
                <w:sz w:val="24"/>
                <w:szCs w:val="24"/>
              </w:rPr>
            </w:pPr>
            <w:r>
              <w:rPr>
                <w:sz w:val="24"/>
                <w:szCs w:val="24"/>
              </w:rPr>
              <w:t xml:space="preserve">82%</w:t>
            </w:r>
            <w:r/>
          </w:p>
        </w:tc>
        <w:tc>
          <w:tcPr>
            <w:tcBorders>
              <w:top w:val="single" w:color="000000" w:sz="4" w:space="0"/>
              <w:left w:val="single" w:color="000000" w:sz="4" w:space="0"/>
              <w:bottom w:val="single" w:color="000000" w:sz="4" w:space="0"/>
              <w:right w:val="single" w:color="000000" w:sz="4" w:space="0"/>
            </w:tcBorders>
            <w:tcW w:w="1534" w:type="dxa"/>
            <w:textDirection w:val="lrTb"/>
            <w:noWrap w:val="false"/>
          </w:tcPr>
          <w:p>
            <w:pPr>
              <w:pStyle w:val="1420"/>
              <w:ind w:left="0" w:right="0" w:firstLine="0"/>
              <w:jc w:val="center"/>
              <w:spacing w:before="0" w:after="0"/>
              <w:rPr>
                <w:sz w:val="24"/>
                <w:szCs w:val="24"/>
              </w:rPr>
            </w:pPr>
            <w:r>
              <w:rPr>
                <w:sz w:val="24"/>
                <w:szCs w:val="24"/>
              </w:rPr>
              <w:t xml:space="preserve">65%</w:t>
            </w:r>
            <w:r/>
          </w:p>
        </w:tc>
      </w:tr>
    </w:tbl>
    <w:p>
      <w:pPr>
        <w:pStyle w:val="940"/>
        <w:jc w:val="both"/>
      </w:pPr>
      <w:r/>
      <w:r/>
    </w:p>
    <w:p>
      <w:pPr>
        <w:pStyle w:val="940"/>
        <w:jc w:val="both"/>
      </w:pPr>
      <w:r/>
      <w:r/>
    </w:p>
    <w:p>
      <w:pPr>
        <w:pStyle w:val="940"/>
        <w:jc w:val="right"/>
        <w:rPr>
          <w:i/>
        </w:rPr>
      </w:pPr>
      <w:r>
        <w:rPr>
          <w:i/>
        </w:rPr>
        <w:t xml:space="preserve">Диаграмма </w:t>
      </w:r>
      <w:r/>
    </w:p>
    <w:p>
      <w:pPr>
        <w:pStyle w:val="940"/>
        <w:jc w:val="right"/>
        <w:rPr>
          <w:i/>
        </w:rPr>
      </w:pPr>
      <w:r>
        <w:rPr>
          <w:i/>
        </w:rPr>
        <w:t xml:space="preserve">Сравнительный анализ среднего процента успешности выполнения заданий </w:t>
      </w:r>
      <w:r/>
    </w:p>
    <w:p>
      <w:pPr>
        <w:pStyle w:val="940"/>
        <w:jc w:val="both"/>
        <w:rPr>
          <w:i/>
        </w:rPr>
      </w:pPr>
      <w:r>
        <w:rPr>
          <w:i/>
        </w:rPr>
        <w:t xml:space="preserve">по различным разделам ким по информатике и ИКТ за 2020г и 2021 год</w:t>
      </w:r>
      <w:r/>
    </w:p>
    <w:p>
      <w:pPr>
        <w:pStyle w:val="940"/>
        <w:jc w:val="both"/>
        <w:rPr>
          <w:i/>
        </w:rPr>
      </w:pPr>
      <w:r>
        <w:rPr>
          <w:i/>
        </w:rPr>
      </w:r>
      <w:r/>
    </w:p>
    <w:p>
      <w:pPr>
        <w:pStyle w:val="940"/>
        <w:jc w:val="both"/>
        <w:rPr>
          <w:i/>
          <w:lang w:val="en-US" w:eastAsia="en-US"/>
        </w:rPr>
      </w:pPr>
      <w:r>
        <w:rPr>
          <w:i/>
          <w:lang w:val="en-US" w:eastAsia="en-US"/>
        </w:rPr>
        <mc:AlternateContent>
          <mc:Choice Requires="wpg">
            <w:drawing>
              <wp:anchor xmlns:wp="http://schemas.openxmlformats.org/drawingml/2006/wordprocessingDrawing" distT="0" distB="0" distL="114935" distR="114935" simplePos="0" relativeHeight="17" behindDoc="1" locked="0" layoutInCell="0" allowOverlap="1">
                <wp:simplePos x="0" y="0"/>
                <wp:positionH relativeFrom="column">
                  <wp:posOffset>320040</wp:posOffset>
                </wp:positionH>
                <wp:positionV relativeFrom="paragraph">
                  <wp:posOffset>-67310</wp:posOffset>
                </wp:positionV>
                <wp:extent cx="5864225" cy="2988945"/>
                <wp:effectExtent l="0" t="0" r="0" b="0"/>
                <wp:wrapTight wrapText="bothSides">
                  <wp:wrapPolygon edited="1">
                    <wp:start x="-31" y="-64"/>
                    <wp:lineTo x="-31" y="21596"/>
                    <wp:lineTo x="21631" y="21596"/>
                    <wp:lineTo x="21631" y="-64"/>
                    <wp:lineTo x="-31" y="-64"/>
                  </wp:wrapPolygon>
                </wp:wrapTight>
                <wp:docPr id="23" name="Image18"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hidden="0"/>
                        <pic:cNvPicPr>
                          <a:picLocks noChangeAspect="1"/>
                        </pic:cNvPicPr>
                        <pic:nvPr isPhoto="0" userDrawn="0"/>
                      </pic:nvPicPr>
                      <pic:blipFill>
                        <a:blip r:embed="rId46"/>
                        <a:stretch/>
                      </pic:blipFill>
                      <pic:spPr bwMode="auto">
                        <a:xfrm>
                          <a:off x="0" y="0"/>
                          <a:ext cx="5864225" cy="2988945"/>
                        </a:xfrm>
                        <a:prstGeom prst="rect">
                          <a:avLst/>
                        </a:prstGeom>
                        <a:ln w="9525">
                          <a:solidFill>
                            <a:srgbClr val="A5A5A5"/>
                          </a:solid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17;o:allowoverlap:true;o:allowincell:false;mso-position-horizontal-relative:text;margin-left:25.2pt;mso-position-horizontal:absolute;mso-position-vertical-relative:text;margin-top:-5.3pt;mso-position-vertical:absolute;width:461.8pt;height:235.3pt;" wrapcoords="-143 -295 -143 99981 100144 99981 100144 -295 -143 -295" strokecolor="#A5A5A5" strokeweight="0.75pt">
                <v:path textboxrect="0,0,0,0"/>
                <v:imagedata r:id="rId46" o:title=""/>
              </v:shape>
            </w:pict>
          </mc:Fallback>
        </mc:AlternateContent>
      </w:r>
      <w:r/>
    </w:p>
    <w:p>
      <w:pPr>
        <w:pStyle w:val="940"/>
        <w:jc w:val="both"/>
        <w:rPr>
          <w:i/>
          <w:lang w:val="en-US" w:eastAsia="en-US"/>
        </w:rPr>
      </w:pPr>
      <w:r>
        <w:rPr>
          <w:i/>
          <w:lang w:val="en-US" w:eastAsia="en-US"/>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940"/>
        <w:jc w:val="both"/>
        <w:rPr>
          <w:i/>
        </w:rPr>
      </w:pPr>
      <w:r>
        <w:rPr>
          <w:i/>
        </w:rPr>
      </w:r>
      <w:r/>
    </w:p>
    <w:p>
      <w:pPr>
        <w:pStyle w:val="1420"/>
        <w:ind w:left="0" w:right="0" w:firstLine="708"/>
        <w:jc w:val="both"/>
        <w:spacing w:before="0" w:after="0"/>
      </w:pPr>
      <w:r>
        <w:rPr>
          <w:bCs/>
          <w:iCs/>
          <w:sz w:val="24"/>
          <w:szCs w:val="24"/>
          <w:lang w:eastAsia="ru-RU"/>
        </w:rPr>
        <w:t xml:space="preserve">Из диаграммы  видно, что показатели практически по всем разделам одинаковы или разница </w:t>
      </w:r>
      <w:r>
        <w:rPr>
          <w:sz w:val="24"/>
          <w:szCs w:val="24"/>
        </w:rPr>
        <w:t xml:space="preserve">не существенна</w:t>
      </w:r>
      <w:r>
        <w:rPr>
          <w:sz w:val="24"/>
        </w:rPr>
        <w:t xml:space="preserve">, кроме трех разделов: </w:t>
      </w:r>
      <w:r/>
    </w:p>
    <w:p>
      <w:pPr>
        <w:pStyle w:val="1420"/>
        <w:numPr>
          <w:ilvl w:val="0"/>
          <w:numId w:val="51"/>
        </w:numPr>
        <w:ind w:left="0" w:right="0" w:firstLine="0"/>
        <w:jc w:val="both"/>
        <w:spacing w:before="0" w:after="0"/>
      </w:pPr>
      <w:r>
        <w:rPr>
          <w:sz w:val="24"/>
          <w:szCs w:val="24"/>
        </w:rPr>
        <w:t xml:space="preserve">Технологии</w:t>
      </w:r>
      <w:r>
        <w:rPr>
          <w:spacing w:val="35"/>
          <w:sz w:val="24"/>
          <w:szCs w:val="24"/>
        </w:rPr>
        <w:t xml:space="preserve"> </w:t>
      </w:r>
      <w:r>
        <w:rPr>
          <w:sz w:val="24"/>
          <w:szCs w:val="24"/>
        </w:rPr>
        <w:t xml:space="preserve">поиска </w:t>
      </w:r>
      <w:r>
        <w:rPr>
          <w:spacing w:val="35"/>
          <w:sz w:val="24"/>
          <w:szCs w:val="24"/>
        </w:rPr>
        <w:t xml:space="preserve"> </w:t>
      </w:r>
      <w:r>
        <w:rPr>
          <w:sz w:val="24"/>
          <w:szCs w:val="24"/>
        </w:rPr>
        <w:t xml:space="preserve">и </w:t>
      </w:r>
      <w:r>
        <w:rPr>
          <w:spacing w:val="35"/>
          <w:sz w:val="24"/>
          <w:szCs w:val="24"/>
        </w:rPr>
        <w:t xml:space="preserve"> </w:t>
      </w:r>
      <w:r>
        <w:rPr>
          <w:sz w:val="24"/>
          <w:szCs w:val="24"/>
        </w:rPr>
        <w:t xml:space="preserve">хранения информации (на 17 %, скорее всего это изменением формы экзамена);</w:t>
      </w:r>
      <w:r/>
    </w:p>
    <w:p>
      <w:pPr>
        <w:pStyle w:val="1420"/>
        <w:numPr>
          <w:ilvl w:val="0"/>
          <w:numId w:val="51"/>
        </w:numPr>
        <w:ind w:left="0" w:right="0" w:firstLine="0"/>
        <w:jc w:val="both"/>
        <w:spacing w:before="0" w:after="0"/>
      </w:pPr>
      <w:r>
        <w:rPr>
          <w:sz w:val="24"/>
          <w:szCs w:val="24"/>
        </w:rPr>
        <w:t xml:space="preserve">Архитектура</w:t>
      </w:r>
      <w:r>
        <w:rPr>
          <w:spacing w:val="8"/>
          <w:sz w:val="24"/>
          <w:szCs w:val="24"/>
        </w:rPr>
        <w:t xml:space="preserve"> </w:t>
      </w:r>
      <w:r>
        <w:rPr>
          <w:sz w:val="24"/>
          <w:szCs w:val="24"/>
        </w:rPr>
        <w:t xml:space="preserve">компьютеров</w:t>
      </w:r>
      <w:r>
        <w:rPr>
          <w:spacing w:val="7"/>
          <w:sz w:val="24"/>
          <w:szCs w:val="24"/>
        </w:rPr>
        <w:t xml:space="preserve"> </w:t>
      </w:r>
      <w:r>
        <w:rPr>
          <w:sz w:val="24"/>
          <w:szCs w:val="24"/>
        </w:rPr>
        <w:t xml:space="preserve">и</w:t>
      </w:r>
      <w:r>
        <w:rPr>
          <w:spacing w:val="7"/>
          <w:sz w:val="24"/>
          <w:szCs w:val="24"/>
        </w:rPr>
        <w:t xml:space="preserve"> </w:t>
      </w:r>
      <w:r>
        <w:rPr>
          <w:sz w:val="24"/>
          <w:szCs w:val="24"/>
        </w:rPr>
        <w:t xml:space="preserve">ком</w:t>
      </w:r>
      <w:r>
        <w:rPr>
          <w:spacing w:val="-1"/>
          <w:sz w:val="24"/>
          <w:szCs w:val="24"/>
        </w:rPr>
        <w:t xml:space="preserve">пьютерных</w:t>
      </w:r>
      <w:r>
        <w:rPr>
          <w:spacing w:val="-8"/>
          <w:sz w:val="24"/>
          <w:szCs w:val="24"/>
        </w:rPr>
        <w:t xml:space="preserve"> </w:t>
      </w:r>
      <w:r>
        <w:rPr>
          <w:sz w:val="24"/>
          <w:szCs w:val="24"/>
        </w:rPr>
        <w:t xml:space="preserve">сетей (на 10 %, скорее всего это связано с появлением нового задания и изменением формы экзамена);</w:t>
      </w:r>
      <w:r/>
    </w:p>
    <w:p>
      <w:pPr>
        <w:pStyle w:val="1420"/>
        <w:numPr>
          <w:ilvl w:val="0"/>
          <w:numId w:val="51"/>
        </w:numPr>
        <w:ind w:left="0" w:right="0" w:firstLine="0"/>
        <w:jc w:val="both"/>
        <w:spacing w:before="0" w:after="0"/>
        <w:rPr>
          <w:sz w:val="24"/>
          <w:szCs w:val="24"/>
        </w:rPr>
      </w:pPr>
      <w:r>
        <w:rPr>
          <w:sz w:val="24"/>
          <w:szCs w:val="24"/>
        </w:rPr>
        <w:t xml:space="preserve">Программирование (на 8,4 %, скорее всего это связано с появлением новых заданий, увеличением количества заданий и изменением формы экзамена).</w:t>
      </w:r>
      <w:r/>
    </w:p>
    <w:p>
      <w:pPr>
        <w:pStyle w:val="1420"/>
        <w:ind w:left="0" w:right="0" w:firstLine="0"/>
        <w:jc w:val="both"/>
        <w:spacing w:before="0" w:after="0"/>
        <w:rPr>
          <w:sz w:val="24"/>
          <w:szCs w:val="24"/>
        </w:rPr>
      </w:pPr>
      <w:r>
        <w:rPr>
          <w:sz w:val="24"/>
          <w:szCs w:val="24"/>
        </w:rPr>
      </w:r>
      <w:r/>
    </w:p>
    <w:p>
      <w:pPr>
        <w:pStyle w:val="940"/>
        <w:jc w:val="right"/>
        <w:rPr>
          <w:i/>
        </w:rPr>
      </w:pPr>
      <w:r>
        <w:rPr>
          <w:i/>
        </w:rPr>
        <w:t xml:space="preserve">Диаграмма </w:t>
      </w:r>
      <w:r/>
    </w:p>
    <w:p>
      <w:pPr>
        <w:pStyle w:val="940"/>
        <w:jc w:val="right"/>
        <w:rPr>
          <w:i/>
        </w:rPr>
      </w:pPr>
      <w:r>
        <w:rPr>
          <w:i/>
        </w:rPr>
        <w:t xml:space="preserve">Средний процент успешности выполнения заданий </w:t>
      </w:r>
      <w:r/>
    </w:p>
    <w:p>
      <w:pPr>
        <w:pStyle w:val="940"/>
        <w:jc w:val="right"/>
        <w:rPr>
          <w:i/>
        </w:rPr>
      </w:pPr>
      <w:r>
        <mc:AlternateContent>
          <mc:Choice Requires="wpg">
            <w:drawing>
              <wp:anchor xmlns:wp="http://schemas.openxmlformats.org/drawingml/2006/wordprocessingDrawing" distT="0" distB="0" distL="114935" distR="114935" simplePos="0" relativeHeight="18" behindDoc="1" locked="0" layoutInCell="0" allowOverlap="1">
                <wp:simplePos x="0" y="0"/>
                <wp:positionH relativeFrom="column">
                  <wp:posOffset>3175</wp:posOffset>
                </wp:positionH>
                <wp:positionV relativeFrom="paragraph">
                  <wp:posOffset>276860</wp:posOffset>
                </wp:positionV>
                <wp:extent cx="6110605" cy="2986405"/>
                <wp:effectExtent l="0" t="0" r="0" b="0"/>
                <wp:wrapTight wrapText="bothSides">
                  <wp:wrapPolygon edited="1">
                    <wp:start x="-32" y="1"/>
                    <wp:lineTo x="-32" y="21520"/>
                    <wp:lineTo x="21596" y="21520"/>
                    <wp:lineTo x="21596" y="1"/>
                    <wp:lineTo x="-32" y="1"/>
                  </wp:wrapPolygon>
                </wp:wrapTight>
                <wp:docPr id="24" name="Image19" descr=""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hidden="0"/>
                        <pic:cNvPicPr>
                          <a:picLocks noChangeAspect="1"/>
                        </pic:cNvPicPr>
                        <pic:nvPr isPhoto="0" userDrawn="0"/>
                      </pic:nvPicPr>
                      <pic:blipFill>
                        <a:blip r:embed="rId47"/>
                        <a:srcRect l="-18" t="-36" r="-18" b="-36"/>
                        <a:stretch/>
                      </pic:blipFill>
                      <pic:spPr bwMode="auto">
                        <a:xfrm>
                          <a:off x="0" y="0"/>
                          <a:ext cx="6110605" cy="29864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18;o:allowoverlap:true;o:allowincell:false;mso-position-horizontal-relative:text;margin-left:0.2pt;mso-position-horizontal:absolute;mso-position-vertical-relative:text;margin-top:21.8pt;mso-position-vertical:absolute;width:481.1pt;height:235.1pt;" wrapcoords="-147 5 -147 99630 99981 99630 99981 5 -147 5" stroked="false">
                <v:path textboxrect="0,0,0,0"/>
                <v:imagedata r:id="rId47" o:title=""/>
              </v:shape>
            </w:pict>
          </mc:Fallback>
        </mc:AlternateContent>
      </w:r>
      <w:r>
        <w:rPr>
          <w:i/>
        </w:rPr>
        <w:t xml:space="preserve">п</w:t>
      </w:r>
      <w:r>
        <w:rPr>
          <w:i/>
        </w:rPr>
        <w:t xml:space="preserve">о различным разделам ким по информатике и ИКТ за 2021год</w:t>
      </w:r>
      <w:r/>
    </w:p>
    <w:p>
      <w:pPr>
        <w:pStyle w:val="940"/>
        <w:jc w:val="both"/>
        <w:rPr>
          <w:i/>
          <w:lang w:val="en-US"/>
        </w:rPr>
      </w:pPr>
      <w:r>
        <w:rPr>
          <w:i/>
          <w:lang w:val="en-US"/>
        </w:rPr>
      </w:r>
      <w:r/>
    </w:p>
    <w:p>
      <w:pPr>
        <w:pStyle w:val="940"/>
        <w:ind w:firstLine="708"/>
        <w:jc w:val="both"/>
        <w:widowControl w:val="off"/>
      </w:pPr>
      <w:r>
        <w:rPr>
          <w:rFonts w:eastAsia="Times New Roman"/>
          <w:bCs/>
          <w:iCs/>
        </w:rPr>
        <w:t xml:space="preserve">Из диаграммы видно, что разделы </w:t>
      </w:r>
      <w:r>
        <w:rPr>
          <w:rFonts w:eastAsia="Times New Roman"/>
        </w:rPr>
        <w:t xml:space="preserve">архитектура</w:t>
      </w:r>
      <w:r>
        <w:rPr>
          <w:rFonts w:eastAsia="Times New Roman"/>
          <w:spacing w:val="8"/>
        </w:rPr>
        <w:t xml:space="preserve"> </w:t>
      </w:r>
      <w:r>
        <w:rPr>
          <w:rFonts w:eastAsia="Times New Roman"/>
        </w:rPr>
        <w:t xml:space="preserve">компьютеров</w:t>
      </w:r>
      <w:r>
        <w:rPr>
          <w:rFonts w:eastAsia="Times New Roman"/>
          <w:spacing w:val="7"/>
        </w:rPr>
        <w:t xml:space="preserve"> </w:t>
      </w:r>
      <w:r>
        <w:rPr>
          <w:rFonts w:eastAsia="Times New Roman"/>
        </w:rPr>
        <w:t xml:space="preserve">и</w:t>
      </w:r>
      <w:r>
        <w:rPr>
          <w:rFonts w:eastAsia="Times New Roman"/>
          <w:spacing w:val="7"/>
        </w:rPr>
        <w:t xml:space="preserve"> </w:t>
      </w:r>
      <w:r>
        <w:rPr>
          <w:rFonts w:eastAsia="Times New Roman"/>
        </w:rPr>
        <w:t xml:space="preserve">ком</w:t>
      </w:r>
      <w:r>
        <w:rPr>
          <w:rFonts w:eastAsia="Times New Roman"/>
          <w:spacing w:val="-1"/>
        </w:rPr>
        <w:t xml:space="preserve">пьютерных</w:t>
      </w:r>
      <w:r>
        <w:rPr>
          <w:rFonts w:eastAsia="Times New Roman"/>
          <w:spacing w:val="-8"/>
        </w:rPr>
        <w:t xml:space="preserve"> </w:t>
      </w:r>
      <w:r>
        <w:rPr>
          <w:rFonts w:eastAsia="Times New Roman"/>
        </w:rPr>
        <w:t xml:space="preserve">сетей, моделирование</w:t>
      </w:r>
      <w:r>
        <w:rPr>
          <w:rFonts w:eastAsia="Times New Roman"/>
          <w:spacing w:val="30"/>
        </w:rPr>
        <w:t xml:space="preserve"> </w:t>
      </w:r>
      <w:r>
        <w:rPr>
          <w:rFonts w:eastAsia="Times New Roman"/>
        </w:rPr>
        <w:t xml:space="preserve">и</w:t>
      </w:r>
      <w:r>
        <w:rPr>
          <w:rFonts w:eastAsia="Times New Roman"/>
          <w:spacing w:val="30"/>
        </w:rPr>
        <w:t xml:space="preserve"> </w:t>
      </w:r>
      <w:r>
        <w:rPr>
          <w:rFonts w:eastAsia="Times New Roman"/>
        </w:rPr>
        <w:t xml:space="preserve">компьютерный</w:t>
      </w:r>
      <w:r>
        <w:rPr>
          <w:rFonts w:eastAsia="Times New Roman"/>
        </w:rPr>
        <w:t xml:space="preserve"> </w:t>
      </w:r>
      <w:r>
        <w:rPr>
          <w:rFonts w:eastAsia="Times New Roman"/>
        </w:rPr>
        <w:t xml:space="preserve">эксперимент, технологии</w:t>
      </w:r>
      <w:r>
        <w:rPr>
          <w:rFonts w:eastAsia="Times New Roman"/>
          <w:spacing w:val="35"/>
        </w:rPr>
        <w:t xml:space="preserve"> </w:t>
      </w:r>
      <w:r>
        <w:rPr>
          <w:rFonts w:eastAsia="Times New Roman"/>
        </w:rPr>
        <w:t xml:space="preserve">поиска и</w:t>
      </w:r>
      <w:r>
        <w:rPr>
          <w:rFonts w:eastAsia="Times New Roman"/>
          <w:spacing w:val="35"/>
        </w:rPr>
        <w:t xml:space="preserve"> </w:t>
      </w:r>
      <w:r>
        <w:rPr>
          <w:rFonts w:eastAsia="Times New Roman"/>
        </w:rPr>
        <w:t xml:space="preserve">хранения информации обучающиеся показали наиболее высокие показатели, выше среднего уровня. По разделам информация</w:t>
      </w:r>
      <w:r>
        <w:rPr>
          <w:rFonts w:eastAsia="Times New Roman"/>
          <w:spacing w:val="-9"/>
        </w:rPr>
        <w:t xml:space="preserve"> </w:t>
      </w:r>
      <w:r>
        <w:rPr>
          <w:rFonts w:eastAsia="Times New Roman"/>
        </w:rPr>
        <w:t xml:space="preserve">и</w:t>
      </w:r>
      <w:r>
        <w:rPr>
          <w:rFonts w:eastAsia="Times New Roman"/>
          <w:spacing w:val="-8"/>
        </w:rPr>
        <w:t xml:space="preserve"> </w:t>
      </w:r>
      <w:r>
        <w:rPr>
          <w:rFonts w:eastAsia="Times New Roman"/>
        </w:rPr>
        <w:t xml:space="preserve">её</w:t>
      </w:r>
      <w:r>
        <w:rPr>
          <w:rFonts w:eastAsia="Times New Roman"/>
          <w:spacing w:val="-9"/>
        </w:rPr>
        <w:t xml:space="preserve"> </w:t>
      </w:r>
      <w:r>
        <w:rPr>
          <w:rFonts w:eastAsia="Times New Roman"/>
        </w:rPr>
        <w:t xml:space="preserve">кодирование, </w:t>
      </w:r>
      <w:r>
        <w:rPr>
          <w:rFonts w:eastAsia="Times New Roman"/>
        </w:rPr>
        <w:t xml:space="preserve">обработка</w:t>
      </w:r>
      <w:r>
        <w:rPr>
          <w:rFonts w:eastAsia="Times New Roman"/>
          <w:spacing w:val="22"/>
        </w:rPr>
        <w:t xml:space="preserve"> </w:t>
      </w:r>
      <w:r>
        <w:rPr>
          <w:rFonts w:eastAsia="Times New Roman"/>
        </w:rPr>
        <w:t xml:space="preserve">числовой</w:t>
      </w:r>
      <w:r>
        <w:rPr>
          <w:rFonts w:eastAsia="Times New Roman"/>
          <w:spacing w:val="22"/>
        </w:rPr>
        <w:t xml:space="preserve"> </w:t>
      </w:r>
      <w:r>
        <w:rPr>
          <w:rFonts w:eastAsia="Times New Roman"/>
        </w:rPr>
        <w:t xml:space="preserve">информации, </w:t>
      </w:r>
      <w:r>
        <w:rPr>
          <w:rFonts w:eastAsia="Times New Roman"/>
          <w:spacing w:val="-1"/>
        </w:rPr>
        <w:t xml:space="preserve">элементы</w:t>
      </w:r>
      <w:r>
        <w:rPr>
          <w:rFonts w:eastAsia="Times New Roman"/>
          <w:spacing w:val="-8"/>
        </w:rPr>
        <w:t xml:space="preserve"> </w:t>
      </w:r>
      <w:r>
        <w:rPr>
          <w:rFonts w:eastAsia="Times New Roman"/>
          <w:spacing w:val="-1"/>
        </w:rPr>
        <w:t xml:space="preserve">теории</w:t>
      </w:r>
      <w:r>
        <w:rPr>
          <w:rFonts w:eastAsia="Times New Roman"/>
          <w:spacing w:val="-8"/>
        </w:rPr>
        <w:t xml:space="preserve"> </w:t>
      </w:r>
      <w:r>
        <w:rPr>
          <w:rFonts w:eastAsia="Times New Roman"/>
        </w:rPr>
        <w:t xml:space="preserve">алгоритмов, </w:t>
      </w:r>
      <w:r>
        <w:rPr>
          <w:rFonts w:eastAsia="Times New Roman"/>
          <w:spacing w:val="-1"/>
        </w:rPr>
        <w:t xml:space="preserve">основы логики, </w:t>
      </w:r>
      <w:r>
        <w:rPr>
          <w:rFonts w:eastAsia="Times New Roman"/>
        </w:rPr>
        <w:t xml:space="preserve">системы</w:t>
      </w:r>
      <w:r>
        <w:rPr>
          <w:rFonts w:eastAsia="Times New Roman"/>
          <w:spacing w:val="-10"/>
        </w:rPr>
        <w:t xml:space="preserve"> </w:t>
      </w:r>
      <w:r>
        <w:rPr>
          <w:rFonts w:eastAsia="Times New Roman"/>
        </w:rPr>
        <w:t xml:space="preserve">счисления – средний результат. И традиционно западает раздел – программирование (21,3 %). Это связано с тем, что в области в основном информатика изучается на базовом уровне и в 2021 году увеличилось количество заданий по программированию.</w:t>
      </w:r>
      <w:r/>
    </w:p>
    <w:p>
      <w:pPr>
        <w:pStyle w:val="943"/>
        <w:numPr>
          <w:ilvl w:val="0"/>
          <w:numId w:val="0"/>
        </w:numPr>
        <w:ind w:left="567" w:firstLine="0"/>
      </w:pPr>
      <w:r>
        <w:rPr>
          <w:rFonts w:ascii="Times New Roman" w:hAnsi="Times New Roman" w:cs="Times New Roman"/>
          <w:iCs/>
          <w:lang w:val="ru-RU"/>
        </w:rPr>
        <w:t xml:space="preserve">3.2.3</w:t>
      </w:r>
      <w:r>
        <w:rPr>
          <w:rFonts w:ascii="Times New Roman" w:hAnsi="Times New Roman" w:cs="Times New Roman"/>
          <w:b w:val="0"/>
          <w:iCs/>
          <w:lang w:val="ru-RU"/>
        </w:rPr>
        <w:t xml:space="preserve">. </w:t>
      </w:r>
      <w:r>
        <w:rPr>
          <w:rFonts w:ascii="Times New Roman" w:hAnsi="Times New Roman" w:cs="Times New Roman"/>
          <w:b w:val="0"/>
          <w:iCs/>
        </w:rPr>
        <w:t xml:space="preserve">Выводы</w:t>
      </w:r>
      <w:r>
        <w:rPr>
          <w:rFonts w:ascii="Times New Roman" w:hAnsi="Times New Roman" w:cs="Times New Roman"/>
          <w:b w:val="0"/>
          <w:bCs w:val="0"/>
        </w:rPr>
        <w:t xml:space="preserve"> об итогах анализа выполнения заданий, групп заданий: </w:t>
      </w:r>
      <w:r/>
    </w:p>
    <w:p>
      <w:pPr>
        <w:pStyle w:val="940"/>
        <w:rPr>
          <w:b/>
          <w:bCs/>
        </w:rPr>
      </w:pPr>
      <w:r>
        <w:rPr>
          <w:b/>
          <w:bCs/>
        </w:rPr>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Перечень элементов содержания / умений и видов деятельности, усвоение которых всеми школьниками региона в целом можно считать достаточным.</w:t>
      </w:r>
      <w:r/>
    </w:p>
    <w:p>
      <w:pPr>
        <w:pStyle w:val="1400"/>
        <w:contextualSpacing/>
        <w:ind w:left="0" w:right="0" w:firstLine="708"/>
        <w:jc w:val="both"/>
        <w:spacing w:before="0" w:after="0" w:line="240" w:lineRule="auto"/>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 xml:space="preserve">Умения и виды деятельности из разделов</w:t>
      </w:r>
      <w:r/>
    </w:p>
    <w:p>
      <w:pPr>
        <w:pStyle w:val="1400"/>
        <w:numPr>
          <w:ilvl w:val="0"/>
          <w:numId w:val="54"/>
        </w:numPr>
        <w:contextualSpacing/>
        <w:ind w:left="0" w:right="0" w:firstLine="0"/>
        <w:jc w:val="both"/>
        <w:spacing w:before="0" w:after="0" w:line="240" w:lineRule="auto"/>
      </w:pPr>
      <w:r>
        <w:rPr>
          <w:rFonts w:ascii="Times New Roman" w:hAnsi="Times New Roman" w:cs="Times New Roman"/>
          <w:sz w:val="24"/>
          <w:szCs w:val="24"/>
        </w:rPr>
        <w:t xml:space="preserve">архитектура</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компьютеров</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и</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ком</w:t>
      </w:r>
      <w:r>
        <w:rPr>
          <w:rFonts w:ascii="Times New Roman" w:hAnsi="Times New Roman" w:cs="Times New Roman"/>
          <w:spacing w:val="-1"/>
          <w:sz w:val="24"/>
          <w:szCs w:val="24"/>
        </w:rPr>
        <w:t xml:space="preserve">пьютерных</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сетей, </w:t>
      </w:r>
      <w:r/>
    </w:p>
    <w:p>
      <w:pPr>
        <w:pStyle w:val="1400"/>
        <w:numPr>
          <w:ilvl w:val="0"/>
          <w:numId w:val="54"/>
        </w:numPr>
        <w:contextualSpacing/>
        <w:ind w:left="0" w:right="0" w:firstLine="0"/>
        <w:jc w:val="both"/>
        <w:spacing w:before="0" w:after="0" w:line="240" w:lineRule="auto"/>
      </w:pPr>
      <w:r>
        <w:rPr>
          <w:rFonts w:ascii="Times New Roman" w:hAnsi="Times New Roman" w:cs="Times New Roman"/>
          <w:sz w:val="24"/>
          <w:szCs w:val="24"/>
        </w:rPr>
        <w:t xml:space="preserve">моделирование</w:t>
      </w:r>
      <w:r>
        <w:rPr>
          <w:rFonts w:ascii="Times New Roman" w:hAnsi="Times New Roman" w:cs="Times New Roman"/>
          <w:spacing w:val="30"/>
          <w:sz w:val="24"/>
          <w:szCs w:val="24"/>
        </w:rPr>
        <w:t xml:space="preserve"> </w:t>
      </w:r>
      <w:r>
        <w:rPr>
          <w:rFonts w:ascii="Times New Roman" w:hAnsi="Times New Roman" w:cs="Times New Roman"/>
          <w:sz w:val="24"/>
          <w:szCs w:val="24"/>
        </w:rPr>
        <w:t xml:space="preserve">и</w:t>
      </w:r>
      <w:r>
        <w:rPr>
          <w:rFonts w:ascii="Times New Roman" w:hAnsi="Times New Roman" w:cs="Times New Roman"/>
          <w:spacing w:val="30"/>
          <w:sz w:val="24"/>
          <w:szCs w:val="24"/>
        </w:rPr>
        <w:t xml:space="preserve"> </w:t>
      </w:r>
      <w:r>
        <w:rPr>
          <w:rFonts w:ascii="Times New Roman" w:hAnsi="Times New Roman" w:cs="Times New Roman"/>
          <w:sz w:val="24"/>
          <w:szCs w:val="24"/>
        </w:rPr>
        <w:t xml:space="preserve">компьютерный</w:t>
      </w:r>
      <w:r>
        <w:rPr>
          <w:rFonts w:ascii="Times New Roman" w:hAnsi="Times New Roman" w:cs="Times New Roman"/>
          <w:sz w:val="24"/>
          <w:szCs w:val="24"/>
        </w:rPr>
        <w:t xml:space="preserve"> </w:t>
      </w:r>
      <w:r>
        <w:rPr>
          <w:rFonts w:ascii="Times New Roman" w:hAnsi="Times New Roman" w:cs="Times New Roman"/>
          <w:sz w:val="24"/>
          <w:szCs w:val="24"/>
        </w:rPr>
        <w:t xml:space="preserve">эксперимент, </w:t>
      </w:r>
      <w:r/>
    </w:p>
    <w:p>
      <w:pPr>
        <w:pStyle w:val="1400"/>
        <w:numPr>
          <w:ilvl w:val="0"/>
          <w:numId w:val="54"/>
        </w:numPr>
        <w:contextualSpacing/>
        <w:ind w:left="0" w:right="0" w:firstLine="0"/>
        <w:jc w:val="both"/>
        <w:spacing w:before="0" w:after="0" w:line="240" w:lineRule="auto"/>
      </w:pPr>
      <w:r>
        <w:rPr>
          <w:rFonts w:ascii="Times New Roman" w:hAnsi="Times New Roman" w:cs="Times New Roman"/>
          <w:sz w:val="24"/>
          <w:szCs w:val="24"/>
        </w:rPr>
        <w:t xml:space="preserve">технологии</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поиска </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хранения информации обучающиеся </w:t>
      </w:r>
      <w:r/>
    </w:p>
    <w:p>
      <w:pPr>
        <w:pStyle w:val="1400"/>
        <w:contextualSpacing/>
        <w:ind w:left="0" w:right="0" w:firstLine="0"/>
        <w:jc w:val="both"/>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показали наиболее высокие показатели, выше среднего уровня.</w:t>
      </w:r>
      <w:r/>
    </w:p>
    <w:p>
      <w:pPr>
        <w:pStyle w:val="1400"/>
        <w:contextualSpacing/>
        <w:ind w:left="0" w:right="0" w:firstLine="708"/>
        <w:jc w:val="both"/>
        <w:spacing w:before="0" w:after="0" w:line="240" w:lineRule="auto"/>
        <w:rPr>
          <w:rFonts w:ascii="Times New Roman" w:hAnsi="Times New Roman" w:cs="Times New Roman"/>
          <w:bCs/>
          <w:iCs/>
          <w:sz w:val="24"/>
          <w:szCs w:val="24"/>
          <w:lang w:eastAsia="ru-RU"/>
        </w:rPr>
      </w:pPr>
      <w:r>
        <w:rPr>
          <w:rFonts w:ascii="Times New Roman" w:hAnsi="Times New Roman" w:cs="Times New Roman"/>
          <w:bCs/>
          <w:iCs/>
          <w:sz w:val="24"/>
          <w:szCs w:val="24"/>
          <w:lang w:eastAsia="ru-RU"/>
        </w:rPr>
        <w:t xml:space="preserve">Умения и виды деятельности из разделов</w:t>
      </w:r>
      <w:r/>
    </w:p>
    <w:p>
      <w:pPr>
        <w:pStyle w:val="1400"/>
        <w:numPr>
          <w:ilvl w:val="0"/>
          <w:numId w:val="34"/>
        </w:numPr>
        <w:contextualSpacing/>
        <w:ind w:left="0" w:right="0" w:firstLine="0"/>
        <w:jc w:val="both"/>
        <w:spacing w:before="0" w:after="0" w:line="240" w:lineRule="auto"/>
      </w:pPr>
      <w:r>
        <w:rPr>
          <w:rFonts w:ascii="Times New Roman" w:hAnsi="Times New Roman" w:cs="Times New Roman"/>
          <w:sz w:val="24"/>
          <w:szCs w:val="24"/>
        </w:rPr>
        <w:t xml:space="preserve">информация</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и</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её</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кодирование, </w:t>
      </w:r>
      <w:r/>
    </w:p>
    <w:p>
      <w:pPr>
        <w:pStyle w:val="1400"/>
        <w:numPr>
          <w:ilvl w:val="0"/>
          <w:numId w:val="34"/>
        </w:numPr>
        <w:contextualSpacing/>
        <w:ind w:left="0" w:right="0" w:firstLine="0"/>
        <w:jc w:val="both"/>
        <w:spacing w:before="0" w:after="0" w:line="240" w:lineRule="auto"/>
      </w:pPr>
      <w:r>
        <w:rPr>
          <w:rFonts w:ascii="Times New Roman" w:hAnsi="Times New Roman" w:cs="Times New Roman"/>
          <w:sz w:val="24"/>
          <w:szCs w:val="24"/>
        </w:rPr>
        <w:t xml:space="preserve">обработка</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числовой</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информации, </w:t>
      </w:r>
      <w:r/>
    </w:p>
    <w:p>
      <w:pPr>
        <w:pStyle w:val="1400"/>
        <w:numPr>
          <w:ilvl w:val="0"/>
          <w:numId w:val="34"/>
        </w:numPr>
        <w:contextualSpacing/>
        <w:ind w:left="0" w:right="0" w:firstLine="0"/>
        <w:jc w:val="both"/>
        <w:spacing w:before="0" w:after="0" w:line="240" w:lineRule="auto"/>
      </w:pPr>
      <w:r>
        <w:rPr>
          <w:rFonts w:ascii="Times New Roman" w:hAnsi="Times New Roman" w:cs="Times New Roman"/>
          <w:spacing w:val="-1"/>
          <w:sz w:val="24"/>
          <w:szCs w:val="24"/>
        </w:rPr>
        <w:t xml:space="preserve">элементы</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 xml:space="preserve">теории</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алгоритмов, </w:t>
      </w:r>
      <w:r/>
    </w:p>
    <w:p>
      <w:pPr>
        <w:pStyle w:val="1400"/>
        <w:numPr>
          <w:ilvl w:val="0"/>
          <w:numId w:val="34"/>
        </w:numPr>
        <w:contextualSpacing/>
        <w:ind w:left="0" w:right="0" w:firstLine="0"/>
        <w:jc w:val="both"/>
        <w:spacing w:before="0"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 xml:space="preserve">основы логики, </w:t>
      </w:r>
      <w:r/>
    </w:p>
    <w:p>
      <w:pPr>
        <w:pStyle w:val="1400"/>
        <w:numPr>
          <w:ilvl w:val="0"/>
          <w:numId w:val="34"/>
        </w:numPr>
        <w:contextualSpacing/>
        <w:ind w:left="0" w:right="0" w:firstLine="0"/>
        <w:jc w:val="both"/>
        <w:spacing w:before="0" w:after="0" w:line="240" w:lineRule="auto"/>
      </w:pPr>
      <w:r>
        <w:rPr>
          <w:rFonts w:ascii="Times New Roman" w:hAnsi="Times New Roman" w:cs="Times New Roman"/>
          <w:sz w:val="24"/>
          <w:szCs w:val="24"/>
        </w:rPr>
        <w:t xml:space="preserve">системы</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счисления показали средний результат.</w:t>
      </w:r>
      <w:r/>
    </w:p>
    <w:p>
      <w:pPr>
        <w:pStyle w:val="940"/>
        <w:ind w:firstLine="708"/>
        <w:jc w:val="both"/>
        <w:rPr>
          <w:rFonts w:eastAsia="Times New Roman"/>
          <w:bCs/>
          <w:iCs/>
        </w:rPr>
      </w:pPr>
      <w:r>
        <w:rPr>
          <w:rFonts w:eastAsia="Times New Roman"/>
          <w:bCs/>
          <w:iCs/>
        </w:rPr>
        <w:t xml:space="preserve">Приведем перечень элементов содержания, умений и видов деятельности, усвоение которых школьниками региона в целом можно считать достаточным: знания о системах счисления и двоичном представлении информации в памяти компьютера; умение строить таблицы истинно</w:t>
      </w:r>
      <w:r>
        <w:rPr>
          <w:rFonts w:eastAsia="Times New Roman"/>
          <w:bCs/>
          <w:iCs/>
        </w:rPr>
        <w:t xml:space="preserve">сти и логические схемы; знания о файловой системе организации данных или о технологии хранения, поиска и сортировки информации в базах данных; умение кодировать и декодировать информацию; проводить вычисления в электронных таблицах представлять и анализиро</w:t>
      </w:r>
      <w:r>
        <w:rPr>
          <w:rFonts w:eastAsia="Times New Roman"/>
          <w:bCs/>
          <w:iCs/>
        </w:rPr>
        <w:t xml:space="preserve">вать табличную информацию в виде графиков и диаграмм; умение исполнить алгоритм для конкретного исполнителя с фиксированным набором команд; осуществлять поиск и отбор информации; строить информационные модели объектов, систем и процессов в виде алгоритмов.</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Умения и виды деятельности из раздела программирование (21,3%) нельзя считать достаточными. Это связано с тем, что в области в основном информатика изучается на базовом уровне и в 2021 году увеличилось количество заданий по программированию.</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Рассмотрим перечень элементов содержания, умений и видов деятельности, усвоение которых школьниками региона в ц</w:t>
      </w:r>
      <w:r>
        <w:rPr>
          <w:rFonts w:ascii="Times New Roman" w:hAnsi="Times New Roman" w:cs="Times New Roman" w:eastAsia="Times New Roman"/>
          <w:bCs/>
          <w:iCs/>
          <w:sz w:val="24"/>
          <w:szCs w:val="24"/>
          <w:lang w:eastAsia="ru-RU"/>
        </w:rPr>
        <w:t xml:space="preserve">елом нельзя считать достаточным: 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 читать и отлаживать программы на языке программирования; з</w:t>
      </w:r>
      <w:r>
        <w:rPr>
          <w:rFonts w:ascii="Times New Roman" w:hAnsi="Times New Roman" w:cs="Times New Roman" w:eastAsia="Times New Roman"/>
          <w:bCs/>
          <w:iCs/>
          <w:sz w:val="24"/>
          <w:szCs w:val="24"/>
          <w:lang w:eastAsia="ru-RU"/>
        </w:rPr>
        <w:t xml:space="preserve">нание базовых принципов организации и функционирования компьютерных сетей, адресации в сети; вычислять логическое значение сложного высказывания по известным значениям элементарных высказываний; создавать программы на языке программирования по их описанию.</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Выводы об изменении успешности выполнения заданий разных лет по одной теме / проверяемому умению, виду деятельности (если это возможно сделать).</w:t>
      </w:r>
      <w:r/>
    </w:p>
    <w:p>
      <w:pPr>
        <w:pStyle w:val="1400"/>
        <w:contextualSpacing/>
        <w:ind w:left="0" w:right="0" w:firstLine="708"/>
        <w:jc w:val="both"/>
        <w:spacing w:before="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Ухудшение показателей произошло по многим элементам содержания, однако существенное ухудшение наблю</w:t>
      </w:r>
      <w:r>
        <w:rPr>
          <w:rFonts w:ascii="Times New Roman" w:hAnsi="Times New Roman" w:cs="Times New Roman"/>
          <w:iCs/>
          <w:sz w:val="24"/>
          <w:szCs w:val="24"/>
          <w:lang w:eastAsia="ru-RU"/>
        </w:rPr>
        <w:t xml:space="preserve">дается по элементам: вычисление количества информации, вычисление арифметического выражения в некоторой системе счисления, определение цифр в числе в некоторой системе счисления. Это связано с отличиями и усложнениями в заданиях по сравнению с демоверсией.</w:t>
      </w:r>
      <w:r/>
    </w:p>
    <w:p>
      <w:pPr>
        <w:pStyle w:val="1400"/>
        <w:contextualSpacing/>
        <w:ind w:left="0" w:right="0" w:firstLine="708"/>
        <w:jc w:val="both"/>
        <w:spacing w:before="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Существенное улучшение показателей получено по элементу содержания вычисление</w:t>
      </w:r>
      <w:r/>
    </w:p>
    <w:p>
      <w:pPr>
        <w:pStyle w:val="1400"/>
        <w:contextualSpacing/>
        <w:ind w:left="0" w:right="0" w:firstLine="0"/>
        <w:jc w:val="both"/>
        <w:spacing w:before="0" w:after="0" w:line="240" w:lineRule="auto"/>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логического выражения. Изменения в большую или меньшую сторону происходят по отдельным задачам, в целом показатели стабильные. Средний балл во всех </w:t>
      </w:r>
      <w:r>
        <w:rPr>
          <w:rFonts w:ascii="Times New Roman" w:hAnsi="Times New Roman" w:cs="Times New Roman"/>
          <w:iCs/>
          <w:sz w:val="24"/>
          <w:szCs w:val="24"/>
          <w:lang w:eastAsia="ru-RU"/>
        </w:rPr>
        <w:t xml:space="preserve">заданиях высокой сложности изменился в худшую сторону. Это говорит о том, что учащиеся стали меньше внимания уделять этим заданиям. Увеличение количества заданий по программированию и изменение формы проведения экзамена способствовало снижению показателей.</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Выводы о существенности вклада содержательных изменений (при наличии изменений) КИМ, использовавшихся в регионе в 2021 году, относительно КИМ прошлых лет.</w:t>
      </w:r>
      <w:r/>
    </w:p>
    <w:p>
      <w:pPr>
        <w:pStyle w:val="940"/>
        <w:ind w:firstLine="708"/>
        <w:jc w:val="both"/>
      </w:pPr>
      <w:r>
        <w:t xml:space="preserve">Изменения в КИМ, использовавшихся в регионе в 2021 году, относительно КИМ прошлых лет, </w:t>
      </w:r>
      <w:r>
        <w:t xml:space="preserve">изменение формы проведения экзамена, существенным образом повлияли на результаты. Изменения в формулировки заданий, появление новых, увеличение количества заданий по программированию повлекли значительное уменьшение процента выполнения в группе 81-100 т.б.</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Выводы о связи динамики результатов проведения ЕГЭ с использованием рекомендаций для системы образования субъекта Российской Федерации, включенных с статистико-аналитический отчет результатов ЕГЭ в 2020 году.</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Результаты единого государственного экзамена свидетельствуют о систематической и качественной массовой работе, проводимой в области, и достаточно высоком уровне профессиональной компетентности учителей информатики и ИКТ.</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Рассматривая отдельные темы, следует отметить хорошее решение заданий по темам «Системы счисления», «Элементы логики» и «Архитектура компьютеров и компьютерных сетей».</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По многим заданиям, по которым были даны рекомендации, включенные в статистико-аналитическ</w:t>
      </w:r>
      <w:r>
        <w:rPr>
          <w:rFonts w:ascii="Times New Roman" w:hAnsi="Times New Roman" w:cs="Times New Roman" w:eastAsia="Times New Roman"/>
          <w:bCs/>
          <w:iCs/>
          <w:sz w:val="24"/>
          <w:szCs w:val="24"/>
          <w:lang w:eastAsia="ru-RU"/>
        </w:rPr>
        <w:t xml:space="preserve">ий отчет результатов ЕГЭ в 2020 году, наблюдается стабильность или повышение среднего балла. Однако при подготовке в 2021/2022гг необходимо больше внимания уделять программированию, выделять на освоение этих разделов уроки не только в 11 классе, но и 9-10.</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Следует обратить внимание на изучени</w:t>
      </w:r>
      <w:r>
        <w:rPr>
          <w:rFonts w:ascii="Times New Roman" w:hAnsi="Times New Roman" w:cs="Times New Roman" w:eastAsia="Times New Roman"/>
          <w:bCs/>
          <w:iCs/>
          <w:sz w:val="24"/>
          <w:szCs w:val="24"/>
          <w:lang w:eastAsia="ru-RU"/>
        </w:rPr>
        <w:t xml:space="preserve">е понятийного аппарата и основных формул, связанных с элементами теории алгоритмов, передачей данных. При обучении на профильном уровне следует большее внимание уделять разработке программ (задачи 24 -27). Как при профильном, так и при базовом обучении сле</w:t>
      </w:r>
      <w:r>
        <w:rPr>
          <w:rFonts w:ascii="Times New Roman" w:hAnsi="Times New Roman" w:cs="Times New Roman" w:eastAsia="Times New Roman"/>
          <w:bCs/>
          <w:iCs/>
          <w:sz w:val="24"/>
          <w:szCs w:val="24"/>
          <w:lang w:eastAsia="ru-RU"/>
        </w:rPr>
        <w:t xml:space="preserve">дует максимальное внимание уделять решению задач, в том числе решению практических задач на построение алгоритмов с помощью компьютера. Необходимо, чтобы учащиеся умели решать как прямые, так и обратные задачи, умели оценивать возможные результаты работы. </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Для своевременной диагностики учебных достижений по предмету следует решать пробные и тренировочные варианты, причем учитывать материал как минимум последних двух лет.</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Выводы о связи динамики результатов проведения ЕГЭ с проведенными мероприятиями, предложенными для включения в дорожную карту в 2020 году</w:t>
      </w:r>
      <w:r/>
    </w:p>
    <w:p>
      <w:pPr>
        <w:pStyle w:val="1400"/>
        <w:contextualSpacing/>
        <w:ind w:left="0" w:right="0" w:firstLine="708"/>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Мероприятия, которые были предложены для включения в дорожную карту в 2020 году, позволили не так болезненно перейти на новый формат проведения экзамена. </w:t>
      </w:r>
      <w:r/>
    </w:p>
    <w:p>
      <w:pPr>
        <w:pStyle w:val="1400"/>
        <w:contextualSpacing/>
        <w:ind w:left="0" w:right="0" w:firstLine="0"/>
        <w:jc w:val="both"/>
        <w:spacing w:before="0" w:after="0" w:line="240" w:lineRule="auto"/>
        <w:rPr>
          <w:rFonts w:ascii="Times New Roman" w:hAnsi="Times New Roman" w:cs="Times New Roman" w:eastAsia="Times New Roman"/>
          <w:bCs/>
          <w:iCs/>
          <w:sz w:val="24"/>
          <w:szCs w:val="24"/>
          <w:lang w:eastAsia="ru-RU"/>
        </w:rPr>
      </w:pPr>
      <w:r>
        <w:rPr>
          <w:rFonts w:ascii="Times New Roman" w:hAnsi="Times New Roman" w:cs="Times New Roman" w:eastAsia="Times New Roman"/>
          <w:bCs/>
          <w:iCs/>
          <w:sz w:val="24"/>
          <w:szCs w:val="24"/>
          <w:lang w:eastAsia="ru-RU"/>
        </w:rPr>
        <w:t xml:space="preserve">Средний тестовый бал в 2021 году составил 57,8 % (в 2020 году – 60,4%), что на 2,6% меньше прошлого года и на 5% меньше среднего балла по России (62,8%).</w:t>
      </w:r>
      <w:r/>
    </w:p>
    <w:p>
      <w:pPr>
        <w:pStyle w:val="1400"/>
        <w:contextualSpacing/>
        <w:ind w:left="0" w:right="0" w:firstLine="708"/>
        <w:jc w:val="both"/>
        <w:spacing w:before="0" w:after="0" w:line="240" w:lineRule="auto"/>
        <w:rPr>
          <w:rFonts w:ascii="Times New Roman" w:hAnsi="Times New Roman" w:cs="Times New Roman" w:eastAsia="Times New Roman"/>
          <w:bCs/>
          <w:i/>
          <w:iCs/>
          <w:sz w:val="24"/>
          <w:szCs w:val="24"/>
          <w:lang w:eastAsia="ru-RU"/>
        </w:rPr>
      </w:pPr>
      <w:r>
        <w:rPr>
          <w:rFonts w:ascii="Times New Roman" w:hAnsi="Times New Roman" w:cs="Times New Roman" w:eastAsia="Times New Roman"/>
          <w:bCs/>
          <w:i/>
          <w:iCs/>
          <w:sz w:val="24"/>
          <w:szCs w:val="24"/>
          <w:lang w:eastAsia="ru-RU"/>
        </w:rPr>
        <w:t xml:space="preserve">Прочие выводы</w:t>
      </w:r>
      <w:r/>
    </w:p>
    <w:p>
      <w:pPr>
        <w:pStyle w:val="1400"/>
        <w:contextualSpacing/>
        <w:ind w:left="0" w:right="0" w:firstLine="708"/>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успешной сдачи</w:t>
      </w:r>
      <w:r>
        <w:rPr>
          <w:rFonts w:ascii="Times New Roman" w:hAnsi="Times New Roman" w:cs="Times New Roman"/>
          <w:sz w:val="24"/>
          <w:szCs w:val="24"/>
          <w:lang w:eastAsia="ru-RU"/>
        </w:rPr>
        <w:t xml:space="preserve"> выпускниками единого государственного экзамена необходима систематическая работа с элементами содержания на каждом уроке. Это реально в рамках применения в образовательном процессе учебно-методических комплексов, утвержденных Министерством просвещения РФ.</w:t>
      </w:r>
      <w:r/>
    </w:p>
    <w:p>
      <w:pPr>
        <w:pStyle w:val="1400"/>
        <w:contextualSpacing/>
        <w:ind w:left="0" w:right="0" w:firstLine="708"/>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Лицеи и гимназии в образовательном процессе по профилю должны использовать учебники углубленного уровня. В общеобразовательных организациях эти учебники должны использовать на факультативах.</w:t>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1400"/>
        <w:contextualSpacing/>
        <w:ind w:left="0" w:right="0" w:firstLine="0"/>
        <w:jc w:val="both"/>
        <w:spacing w:before="0"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r>
      <w:r/>
    </w:p>
    <w:p>
      <w:pPr>
        <w:pStyle w:val="942"/>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Раздел 4. РЕКОМЕНДАЦИИ ДЛЯ СИСТЕМЫ ОБРАЗОВАНИЯ СУБЪЕКТА РОССИЙСКОЙ ФЕДЕРАЦИИ</w:t>
      </w:r>
      <w:r/>
    </w:p>
    <w:p>
      <w:pPr>
        <w:pStyle w:val="940"/>
        <w:jc w:val="both"/>
        <w:rPr>
          <w:smallCaps/>
          <w:sz w:val="28"/>
          <w:szCs w:val="28"/>
        </w:rPr>
      </w:pPr>
      <w:r>
        <w:rPr>
          <w:smallCaps/>
          <w:sz w:val="28"/>
          <w:szCs w:val="28"/>
        </w:rPr>
      </w:r>
      <w:r/>
    </w:p>
    <w:p>
      <w:pPr>
        <w:pStyle w:val="1400"/>
        <w:contextualSpacing/>
        <w:ind w:left="0" w:right="0" w:firstLine="0"/>
        <w:keepLines/>
        <w:keepNext/>
        <w:spacing w:before="200" w:after="0" w:line="240" w:lineRule="auto"/>
        <w:rPr>
          <w:rFonts w:ascii="Times New Roman" w:hAnsi="Times New Roman" w:cs="Times New Roman" w:eastAsia="SimSun;宋体"/>
          <w:b/>
          <w:bCs/>
          <w:smallCaps/>
          <w:vanish/>
          <w:sz w:val="28"/>
          <w:szCs w:val="24"/>
          <w:lang w:eastAsia="ru-RU"/>
        </w:rPr>
      </w:pPr>
      <w:r>
        <w:rPr>
          <w:rFonts w:ascii="Times New Roman" w:hAnsi="Times New Roman" w:cs="Times New Roman" w:eastAsia="SimSun;宋体"/>
          <w:b/>
          <w:bCs/>
          <w:smallCaps/>
          <w:vanish/>
          <w:sz w:val="28"/>
          <w:szCs w:val="24"/>
          <w:lang w:eastAsia="ru-RU"/>
        </w:rPr>
      </w:r>
      <w:r/>
    </w:p>
    <w:p>
      <w:pPr>
        <w:pStyle w:val="943"/>
        <w:numPr>
          <w:ilvl w:val="0"/>
          <w:numId w:val="0"/>
        </w:numPr>
        <w:ind w:left="0" w:firstLine="0"/>
        <w:jc w:val="both"/>
      </w:pPr>
      <w:r>
        <w:rPr>
          <w:rFonts w:ascii="Times New Roman" w:hAnsi="Times New Roman" w:cs="Times New Roman"/>
          <w:lang w:val="ru-RU"/>
        </w:rPr>
        <w:t xml:space="preserve">4.1. </w:t>
      </w:r>
      <w:r>
        <w:rPr>
          <w:rFonts w:ascii="Times New Roman" w:hAnsi="Times New Roman" w:cs="Times New Roman"/>
        </w:rPr>
        <w:t xml:space="preserve">Рекомендации по совершенствованию организации и методики преподавания предмета в субъекте Российской Федерации на основе выявленных типичных затруднений и ошибок</w:t>
      </w:r>
      <w:r/>
    </w:p>
    <w:p>
      <w:pPr>
        <w:pStyle w:val="943"/>
        <w:numPr>
          <w:ilvl w:val="0"/>
          <w:numId w:val="0"/>
        </w:numPr>
        <w:ind w:left="567" w:firstLine="0"/>
      </w:pPr>
      <w:r>
        <w:rPr>
          <w:rFonts w:ascii="Times New Roman" w:hAnsi="Times New Roman" w:cs="Times New Roman"/>
          <w:bCs w:val="0"/>
          <w:lang w:val="ru-RU"/>
        </w:rPr>
        <w:t xml:space="preserve">4.1.1.</w:t>
      </w:r>
      <w:r>
        <w:rPr>
          <w:rFonts w:ascii="Times New Roman" w:hAnsi="Times New Roman" w:cs="Times New Roman"/>
          <w:b w:val="0"/>
          <w:bCs w:val="0"/>
          <w:lang w:val="ru-RU"/>
        </w:rPr>
        <w:t xml:space="preserve"> </w:t>
      </w:r>
      <w:r>
        <w:rPr>
          <w:rFonts w:ascii="Times New Roman" w:hAnsi="Times New Roman" w:cs="Times New Roman"/>
          <w:b w:val="0"/>
          <w:bCs w:val="0"/>
        </w:rPr>
        <w:t xml:space="preserve">по совершенствованию преподавания учебного предмета всем обучающимся</w:t>
      </w:r>
      <w:r/>
    </w:p>
    <w:p>
      <w:pPr>
        <w:pStyle w:val="940"/>
        <w:jc w:val="both"/>
      </w:pPr>
      <w:r/>
      <w:r/>
    </w:p>
    <w:p>
      <w:pPr>
        <w:pStyle w:val="940"/>
        <w:ind w:firstLine="708"/>
        <w:jc w:val="both"/>
      </w:pPr>
      <w:r>
        <w:t xml:space="preserve">В качестве рекомендаций по совершенствованию преподавания предмета «Информатика и ИКТ» с целью устранения типичных ошибочных ответов можно предложить следующее. Как правило, падение процента выполнения пр</w:t>
      </w:r>
      <w:r>
        <w:t xml:space="preserve">оисходит в заданиях, в которых происходит изменение в формулировках. Это свидетельствует о том, что обучающиеся не имеют достаточных знаний, отрабатывают решение шаблонные задания и не готовы применять имеющиеся знания в изменившейся ситуации. Следует боль</w:t>
      </w:r>
      <w:r>
        <w:t xml:space="preserve">ше внимания уделять получению фундаментальных знаний, избегая при этом формального заучивания, а добиваясь вдумчивого осознанного понимания, которое необходимо для успешного применения имеющихся знаний для решения нестандартных задач в новых формулировках.</w:t>
      </w:r>
      <w:r/>
    </w:p>
    <w:p>
      <w:pPr>
        <w:pStyle w:val="940"/>
        <w:ind w:firstLine="708"/>
        <w:jc w:val="both"/>
      </w:pPr>
      <w:r>
        <w:t xml:space="preserve">Рекомендуется:</w:t>
      </w:r>
      <w:r/>
    </w:p>
    <w:p>
      <w:pPr>
        <w:pStyle w:val="940"/>
        <w:ind w:firstLine="708"/>
        <w:jc w:val="both"/>
      </w:pPr>
      <w:r>
        <w:t xml:space="preserve">Отвести больше времени темам, связанным с алгеброй логики, уделять особое в</w:t>
      </w:r>
      <w:r>
        <w:t xml:space="preserve">нимание формированию у обучающихся логического мышления, умения анализировать и делать логические выводы. Добиваться на уроках получения учениками основательных знаний по разделам: логические функции, тождества, правила преобразования логических выражений.</w:t>
      </w:r>
      <w:r/>
    </w:p>
    <w:p>
      <w:pPr>
        <w:pStyle w:val="940"/>
        <w:ind w:firstLine="708"/>
        <w:jc w:val="both"/>
      </w:pPr>
      <w:r>
        <w:t xml:space="preserve">Уделять больше внимание практическому программированию, отрабатывать навыки реального программирования путем решения базовых типовых задач.</w:t>
      </w:r>
      <w:r/>
    </w:p>
    <w:p>
      <w:pPr>
        <w:pStyle w:val="940"/>
        <w:ind w:firstLine="708"/>
        <w:jc w:val="both"/>
      </w:pPr>
      <w:r>
        <w:t xml:space="preserve">Обсуждать на методических объединениях учителей-предметников причины падения процента выполнения отдельных заданий и методы их устранения.</w:t>
      </w:r>
      <w:r/>
    </w:p>
    <w:p>
      <w:pPr>
        <w:pStyle w:val="940"/>
        <w:jc w:val="both"/>
      </w:pPr>
      <w:r>
        <w:t xml:space="preserve">Рекомендуется обеспечить повышение квалификации для учителей-предметников, работающих в выпускных классах (9-11) в сетевом взаимодействии, с привлечением председателей и экспертов-консультантов (в течение года), а также предусмотреть в дополнител</w:t>
      </w:r>
      <w:r>
        <w:t xml:space="preserve">ьных профессиональных программах повышения квалификации для учителей предметников, работающих с выпускниками, готовящимися к сдаче ЕГЭ, занятия по разбору контрольно-измерительных материалов прошлых лет, анализу проблемных тем и критериям оценивания работ.</w:t>
      </w:r>
      <w:r/>
    </w:p>
    <w:p>
      <w:pPr>
        <w:pStyle w:val="943"/>
        <w:numPr>
          <w:ilvl w:val="0"/>
          <w:numId w:val="0"/>
        </w:numPr>
        <w:ind w:left="567" w:firstLine="0"/>
        <w:jc w:val="both"/>
        <w:spacing w:before="0" w:after="0"/>
        <w:rPr>
          <w:rFonts w:ascii="Times New Roman" w:hAnsi="Times New Roman" w:cs="Times New Roman"/>
          <w:bCs w:val="0"/>
          <w:szCs w:val="28"/>
          <w:lang w:val="ru-RU"/>
        </w:rPr>
      </w:pPr>
      <w:r>
        <w:rPr>
          <w:rFonts w:ascii="Times New Roman" w:hAnsi="Times New Roman" w:cs="Times New Roman"/>
          <w:bCs w:val="0"/>
          <w:szCs w:val="28"/>
          <w:lang w:val="ru-RU"/>
        </w:rPr>
      </w:r>
      <w:r/>
    </w:p>
    <w:p>
      <w:pPr>
        <w:pStyle w:val="943"/>
        <w:numPr>
          <w:ilvl w:val="0"/>
          <w:numId w:val="0"/>
        </w:numPr>
        <w:ind w:left="567" w:firstLine="0"/>
        <w:jc w:val="both"/>
        <w:spacing w:before="0" w:after="0"/>
      </w:pPr>
      <w:r>
        <w:rPr>
          <w:rFonts w:ascii="Times New Roman" w:hAnsi="Times New Roman" w:cs="Times New Roman"/>
          <w:bCs w:val="0"/>
          <w:szCs w:val="28"/>
          <w:lang w:val="ru-RU"/>
        </w:rPr>
        <w:t xml:space="preserve">4.1.2.</w:t>
      </w:r>
      <w:r>
        <w:rPr>
          <w:rFonts w:ascii="Times New Roman" w:hAnsi="Times New Roman" w:cs="Times New Roman"/>
          <w:b w:val="0"/>
          <w:bCs w:val="0"/>
          <w:szCs w:val="28"/>
          <w:lang w:val="ru-RU"/>
        </w:rPr>
        <w:t xml:space="preserve"> по</w:t>
      </w:r>
      <w:r>
        <w:rPr>
          <w:rFonts w:ascii="Times New Roman" w:hAnsi="Times New Roman" w:cs="Times New Roman"/>
          <w:b w:val="0"/>
          <w:bCs w:val="0"/>
          <w:szCs w:val="28"/>
        </w:rPr>
        <w:t xml:space="preserve"> организации дифференцированного обучения школьников с разным</w:t>
      </w:r>
      <w:r>
        <w:rPr>
          <w:rFonts w:ascii="Times New Roman" w:hAnsi="Times New Roman" w:cs="Times New Roman"/>
          <w:b w:val="0"/>
          <w:bCs w:val="0"/>
          <w:szCs w:val="28"/>
          <w:lang w:val="ru-RU"/>
        </w:rPr>
        <w:t xml:space="preserve">и</w:t>
      </w:r>
      <w:r>
        <w:rPr>
          <w:rFonts w:ascii="Times New Roman" w:hAnsi="Times New Roman" w:cs="Times New Roman"/>
          <w:b w:val="0"/>
          <w:bCs w:val="0"/>
          <w:szCs w:val="28"/>
        </w:rPr>
        <w:t xml:space="preserve"> уровн</w:t>
      </w:r>
      <w:r>
        <w:rPr>
          <w:rFonts w:ascii="Times New Roman" w:hAnsi="Times New Roman" w:cs="Times New Roman"/>
          <w:b w:val="0"/>
          <w:bCs w:val="0"/>
          <w:szCs w:val="28"/>
          <w:lang w:val="ru-RU"/>
        </w:rPr>
        <w:t xml:space="preserve">я</w:t>
      </w:r>
      <w:r>
        <w:rPr>
          <w:rFonts w:ascii="Times New Roman" w:hAnsi="Times New Roman" w:cs="Times New Roman"/>
          <w:b w:val="0"/>
          <w:bCs w:val="0"/>
          <w:szCs w:val="28"/>
        </w:rPr>
        <w:t xml:space="preserve">м</w:t>
      </w:r>
      <w:r>
        <w:rPr>
          <w:rFonts w:ascii="Times New Roman" w:hAnsi="Times New Roman" w:cs="Times New Roman"/>
          <w:b w:val="0"/>
          <w:bCs w:val="0"/>
          <w:szCs w:val="28"/>
          <w:lang w:val="ru-RU"/>
        </w:rPr>
        <w:t xml:space="preserve">и</w:t>
      </w:r>
      <w:r>
        <w:rPr>
          <w:rFonts w:ascii="Times New Roman" w:hAnsi="Times New Roman" w:cs="Times New Roman"/>
          <w:b w:val="0"/>
          <w:bCs w:val="0"/>
          <w:szCs w:val="28"/>
        </w:rPr>
        <w:t xml:space="preserve"> предметной подготовки</w:t>
      </w:r>
      <w:r/>
    </w:p>
    <w:p>
      <w:pPr>
        <w:pStyle w:val="940"/>
        <w:jc w:val="both"/>
      </w:pPr>
      <w:r/>
      <w:r/>
    </w:p>
    <w:p>
      <w:pPr>
        <w:pStyle w:val="940"/>
        <w:ind w:firstLine="708"/>
        <w:jc w:val="both"/>
      </w:pPr>
      <w:r>
        <w:t xml:space="preserve">Желательно увеличить количество часов в неделю по Информатике и ИКТ (по ФГОС 1 час в неделю) за счет факультативных занятий или дистанционной формы обучения.</w:t>
      </w:r>
      <w:r/>
    </w:p>
    <w:p>
      <w:pPr>
        <w:pStyle w:val="940"/>
        <w:ind w:firstLine="708"/>
        <w:jc w:val="both"/>
      </w:pPr>
      <w:r>
        <w:t xml:space="preserve">При подготовке к экзамену целесообразно выделить последовательность базовых тем и соответственно им рассматривать задания из вариантов прошлых лет. К таким темам относятся:</w:t>
      </w:r>
      <w:r/>
    </w:p>
    <w:p>
      <w:pPr>
        <w:pStyle w:val="940"/>
        <w:numPr>
          <w:ilvl w:val="0"/>
          <w:numId w:val="12"/>
        </w:numPr>
        <w:ind w:left="0" w:firstLine="0"/>
        <w:jc w:val="both"/>
        <w:tabs>
          <w:tab w:val="left" w:pos="284" w:leader="none"/>
          <w:tab w:val="clear" w:pos="708" w:leader="none"/>
        </w:tabs>
      </w:pPr>
      <w:r>
        <w:t xml:space="preserve">Системы счисления.</w:t>
      </w:r>
      <w:r/>
    </w:p>
    <w:p>
      <w:pPr>
        <w:pStyle w:val="940"/>
        <w:numPr>
          <w:ilvl w:val="0"/>
          <w:numId w:val="12"/>
        </w:numPr>
        <w:ind w:left="0" w:firstLine="0"/>
        <w:jc w:val="both"/>
        <w:tabs>
          <w:tab w:val="left" w:pos="284" w:leader="none"/>
          <w:tab w:val="clear" w:pos="708" w:leader="none"/>
        </w:tabs>
      </w:pPr>
      <w:r>
        <w:t xml:space="preserve">Логические выражения.</w:t>
      </w:r>
      <w:r/>
    </w:p>
    <w:p>
      <w:pPr>
        <w:pStyle w:val="940"/>
        <w:numPr>
          <w:ilvl w:val="0"/>
          <w:numId w:val="12"/>
        </w:numPr>
        <w:ind w:left="0" w:firstLine="0"/>
        <w:jc w:val="both"/>
        <w:tabs>
          <w:tab w:val="left" w:pos="284" w:leader="none"/>
          <w:tab w:val="clear" w:pos="708" w:leader="none"/>
        </w:tabs>
      </w:pPr>
      <w:r>
        <w:t xml:space="preserve">Поиск и обработка информации.</w:t>
      </w:r>
      <w:r/>
    </w:p>
    <w:p>
      <w:pPr>
        <w:pStyle w:val="940"/>
        <w:numPr>
          <w:ilvl w:val="0"/>
          <w:numId w:val="12"/>
        </w:numPr>
        <w:ind w:left="0" w:firstLine="0"/>
        <w:jc w:val="both"/>
        <w:tabs>
          <w:tab w:val="left" w:pos="284" w:leader="none"/>
          <w:tab w:val="clear" w:pos="708" w:leader="none"/>
        </w:tabs>
      </w:pPr>
      <w:r>
        <w:t xml:space="preserve">Задачи на вычисление объема информации.</w:t>
      </w:r>
      <w:r/>
    </w:p>
    <w:p>
      <w:pPr>
        <w:pStyle w:val="940"/>
        <w:ind w:firstLine="708"/>
        <w:jc w:val="both"/>
      </w:pPr>
      <w:r>
        <w:t xml:space="preserve">Далее следует дать основы техники алгоритмизации, желательно на языке программирования Паскаль или С++. Необходимо разобрать следующие темы:</w:t>
      </w:r>
      <w:r/>
    </w:p>
    <w:p>
      <w:pPr>
        <w:pStyle w:val="940"/>
        <w:numPr>
          <w:ilvl w:val="0"/>
          <w:numId w:val="10"/>
        </w:numPr>
        <w:ind w:left="0" w:firstLine="0"/>
        <w:jc w:val="both"/>
        <w:tabs>
          <w:tab w:val="left" w:pos="284" w:leader="none"/>
          <w:tab w:val="clear" w:pos="708" w:leader="none"/>
        </w:tabs>
      </w:pPr>
      <w:r>
        <w:t xml:space="preserve">Простейшая программа. Ввод/вывод данных.</w:t>
      </w:r>
      <w:r/>
    </w:p>
    <w:p>
      <w:pPr>
        <w:pStyle w:val="940"/>
        <w:numPr>
          <w:ilvl w:val="0"/>
          <w:numId w:val="10"/>
        </w:numPr>
        <w:ind w:left="0" w:firstLine="0"/>
        <w:jc w:val="both"/>
        <w:tabs>
          <w:tab w:val="left" w:pos="284" w:leader="none"/>
          <w:tab w:val="clear" w:pos="708" w:leader="none"/>
        </w:tabs>
      </w:pPr>
      <w:r>
        <w:t xml:space="preserve">Условный оператор.</w:t>
      </w:r>
      <w:r/>
    </w:p>
    <w:p>
      <w:pPr>
        <w:pStyle w:val="940"/>
        <w:numPr>
          <w:ilvl w:val="0"/>
          <w:numId w:val="10"/>
        </w:numPr>
        <w:ind w:left="0" w:firstLine="0"/>
        <w:jc w:val="both"/>
        <w:tabs>
          <w:tab w:val="left" w:pos="284" w:leader="none"/>
          <w:tab w:val="clear" w:pos="708" w:leader="none"/>
        </w:tabs>
      </w:pPr>
      <w:r>
        <w:t xml:space="preserve">Цикл с условием. Решение задач на выделение цифр из числа.</w:t>
      </w:r>
      <w:r/>
    </w:p>
    <w:p>
      <w:pPr>
        <w:pStyle w:val="940"/>
        <w:numPr>
          <w:ilvl w:val="0"/>
          <w:numId w:val="10"/>
        </w:numPr>
        <w:ind w:left="0" w:firstLine="0"/>
        <w:jc w:val="both"/>
        <w:tabs>
          <w:tab w:val="left" w:pos="284" w:leader="none"/>
          <w:tab w:val="clear" w:pos="708" w:leader="none"/>
        </w:tabs>
      </w:pPr>
      <w:r>
        <w:t xml:space="preserve">Цикл с заранее известным числом повторений. Решение задач на обработку</w:t>
      </w:r>
      <w:r/>
    </w:p>
    <w:p>
      <w:pPr>
        <w:pStyle w:val="940"/>
        <w:numPr>
          <w:ilvl w:val="0"/>
          <w:numId w:val="10"/>
        </w:numPr>
        <w:ind w:left="0" w:firstLine="0"/>
        <w:jc w:val="both"/>
        <w:tabs>
          <w:tab w:val="left" w:pos="284" w:leader="none"/>
          <w:tab w:val="clear" w:pos="708" w:leader="none"/>
        </w:tabs>
      </w:pPr>
      <w:r>
        <w:t xml:space="preserve">последовательности чисел.</w:t>
      </w:r>
      <w:r/>
    </w:p>
    <w:p>
      <w:pPr>
        <w:pStyle w:val="940"/>
        <w:numPr>
          <w:ilvl w:val="0"/>
          <w:numId w:val="10"/>
        </w:numPr>
        <w:ind w:left="0" w:firstLine="0"/>
        <w:jc w:val="both"/>
        <w:tabs>
          <w:tab w:val="left" w:pos="284" w:leader="none"/>
          <w:tab w:val="clear" w:pos="708" w:leader="none"/>
        </w:tabs>
      </w:pPr>
      <w:r>
        <w:t xml:space="preserve">Обработка одномерных массивов.</w:t>
      </w:r>
      <w:r/>
    </w:p>
    <w:p>
      <w:pPr>
        <w:pStyle w:val="940"/>
        <w:ind w:firstLine="708"/>
        <w:jc w:val="both"/>
      </w:pPr>
      <w:r>
        <w:t xml:space="preserve">Изучение этих тем с одной стороны, заложит основы техники алгоритмизации, н</w:t>
      </w:r>
      <w:r>
        <w:t xml:space="preserve">еобходимые для решения заданий 24, 25, 26, 27, с другой стороны послужит базой для решения простых заданий. Основной упор при подготовке в 2021/2022гг в связи с переходом к компьютерной форме ЕГЭ необходимо сделать на формирование навыков программирования.</w:t>
      </w:r>
      <w:r/>
    </w:p>
    <w:p>
      <w:pPr>
        <w:pStyle w:val="940"/>
        <w:ind w:firstLine="708"/>
        <w:jc w:val="both"/>
      </w:pPr>
      <w:r>
        <w:t xml:space="preserve">Для группы сильных школьников можно придерживаться следующего плана:</w:t>
      </w:r>
      <w:r/>
    </w:p>
    <w:p>
      <w:pPr>
        <w:pStyle w:val="940"/>
        <w:numPr>
          <w:ilvl w:val="0"/>
          <w:numId w:val="2"/>
        </w:numPr>
        <w:ind w:left="0" w:firstLine="0"/>
        <w:jc w:val="both"/>
        <w:tabs>
          <w:tab w:val="left" w:pos="284" w:leader="none"/>
          <w:tab w:val="clear" w:pos="708" w:leader="none"/>
        </w:tabs>
      </w:pPr>
      <w:r>
        <w:t xml:space="preserve">Обработка чисел с заданной значностью.</w:t>
      </w:r>
      <w:r/>
    </w:p>
    <w:p>
      <w:pPr>
        <w:pStyle w:val="940"/>
        <w:numPr>
          <w:ilvl w:val="0"/>
          <w:numId w:val="2"/>
        </w:numPr>
        <w:ind w:left="0" w:firstLine="0"/>
        <w:jc w:val="both"/>
        <w:tabs>
          <w:tab w:val="left" w:pos="284" w:leader="none"/>
          <w:tab w:val="clear" w:pos="708" w:leader="none"/>
        </w:tabs>
      </w:pPr>
      <w:r>
        <w:t xml:space="preserve">Условный оператор. Поиск максимального из трех чисел и т.д.</w:t>
      </w:r>
      <w:r/>
    </w:p>
    <w:p>
      <w:pPr>
        <w:pStyle w:val="940"/>
        <w:numPr>
          <w:ilvl w:val="0"/>
          <w:numId w:val="2"/>
        </w:numPr>
        <w:ind w:left="0" w:firstLine="0"/>
        <w:jc w:val="both"/>
        <w:tabs>
          <w:tab w:val="left" w:pos="284" w:leader="none"/>
          <w:tab w:val="clear" w:pos="708" w:leader="none"/>
        </w:tabs>
      </w:pPr>
      <w:r>
        <w:t xml:space="preserve">Оператор цикла с предусловием. Разбиение числа на цифры (поиск суммы/количества заданных цифр, наибольшей/наименьшей цифры). </w:t>
      </w:r>
      <w:r/>
    </w:p>
    <w:p>
      <w:pPr>
        <w:pStyle w:val="940"/>
        <w:numPr>
          <w:ilvl w:val="0"/>
          <w:numId w:val="2"/>
        </w:numPr>
        <w:ind w:left="0" w:firstLine="0"/>
        <w:jc w:val="both"/>
        <w:tabs>
          <w:tab w:val="left" w:pos="284" w:leader="none"/>
          <w:tab w:val="clear" w:pos="708" w:leader="none"/>
        </w:tabs>
      </w:pPr>
      <w:r>
        <w:t xml:space="preserve">Обработка последовательности чисел, вводимых до нуля.</w:t>
      </w:r>
      <w:r/>
    </w:p>
    <w:p>
      <w:pPr>
        <w:pStyle w:val="940"/>
        <w:numPr>
          <w:ilvl w:val="0"/>
          <w:numId w:val="2"/>
        </w:numPr>
        <w:ind w:left="0" w:firstLine="0"/>
        <w:jc w:val="both"/>
        <w:tabs>
          <w:tab w:val="left" w:pos="284" w:leader="none"/>
          <w:tab w:val="clear" w:pos="708" w:leader="none"/>
        </w:tabs>
      </w:pPr>
      <w:r>
        <w:t xml:space="preserve">Оператор цикла с заданным числом итераций. Поиск делителей в числе. Обработка чисел в последовательности из N элементов.</w:t>
      </w:r>
      <w:r/>
    </w:p>
    <w:p>
      <w:pPr>
        <w:pStyle w:val="940"/>
        <w:numPr>
          <w:ilvl w:val="0"/>
          <w:numId w:val="2"/>
        </w:numPr>
        <w:ind w:left="0" w:firstLine="0"/>
        <w:jc w:val="both"/>
        <w:tabs>
          <w:tab w:val="left" w:pos="284" w:leader="none"/>
          <w:tab w:val="clear" w:pos="708" w:leader="none"/>
        </w:tabs>
      </w:pPr>
      <w:r>
        <w:t xml:space="preserve">Обработка массива. Поиск элемента с заданным свойством, проверка свойств массива (упорядоченность, симметричность), преобразование элементов массива (замена, увеличение/уменьшение).</w:t>
      </w:r>
      <w:r/>
    </w:p>
    <w:p>
      <w:pPr>
        <w:pStyle w:val="940"/>
        <w:numPr>
          <w:ilvl w:val="0"/>
          <w:numId w:val="2"/>
        </w:numPr>
        <w:ind w:left="0" w:firstLine="0"/>
        <w:jc w:val="both"/>
        <w:tabs>
          <w:tab w:val="left" w:pos="284" w:leader="none"/>
          <w:tab w:val="clear" w:pos="708" w:leader="none"/>
        </w:tabs>
      </w:pPr>
      <w:r>
        <w:t xml:space="preserve">Обработка пар элементов в массиве. Поиск соседних пар элементов с заданным свойством, поиск пар различных элементов с указанным свойством.</w:t>
      </w:r>
      <w:r/>
    </w:p>
    <w:p>
      <w:pPr>
        <w:pStyle w:val="940"/>
        <w:numPr>
          <w:ilvl w:val="0"/>
          <w:numId w:val="2"/>
        </w:numPr>
        <w:ind w:left="0" w:firstLine="0"/>
        <w:jc w:val="both"/>
        <w:tabs>
          <w:tab w:val="left" w:pos="284" w:leader="none"/>
          <w:tab w:val="clear" w:pos="708" w:leader="none"/>
        </w:tabs>
      </w:pPr>
      <w:r>
        <w:t xml:space="preserve">Обработка набора чисел без использования массива. Поиск первого и второго максимума, формирование массивов остатков при делимости и т.д.</w:t>
      </w:r>
      <w:r/>
    </w:p>
    <w:p>
      <w:pPr>
        <w:pStyle w:val="940"/>
        <w:ind w:firstLine="708"/>
        <w:jc w:val="both"/>
      </w:pPr>
      <w:r>
        <w:t xml:space="preserve">Для группы слабых обучаемых, но планирующих участвовать в ЕГЭ по Информатике и ИКТ, рекомендуется следующий план обучения:</w:t>
      </w:r>
      <w:r/>
    </w:p>
    <w:p>
      <w:pPr>
        <w:pStyle w:val="940"/>
        <w:numPr>
          <w:ilvl w:val="0"/>
          <w:numId w:val="14"/>
        </w:numPr>
        <w:ind w:left="0" w:firstLine="0"/>
        <w:jc w:val="both"/>
        <w:tabs>
          <w:tab w:val="left" w:pos="284" w:leader="none"/>
          <w:tab w:val="clear" w:pos="708" w:leader="none"/>
        </w:tabs>
      </w:pPr>
      <w:r>
        <w:t xml:space="preserve">Разбиение числа с заданной значностью на цифры (например, в трехзначном числе найти сумму цифр).</w:t>
      </w:r>
      <w:r/>
    </w:p>
    <w:p>
      <w:pPr>
        <w:pStyle w:val="940"/>
        <w:numPr>
          <w:ilvl w:val="0"/>
          <w:numId w:val="14"/>
        </w:numPr>
        <w:ind w:left="0" w:firstLine="0"/>
        <w:jc w:val="both"/>
        <w:tabs>
          <w:tab w:val="left" w:pos="284" w:leader="none"/>
          <w:tab w:val="clear" w:pos="708" w:leader="none"/>
        </w:tabs>
      </w:pPr>
      <w:r>
        <w:t xml:space="preserve">Условный оператор (верно ли, что в четырехзначном числе сумма первых двух цифр больше суммы последних двух цифр).</w:t>
      </w:r>
      <w:r/>
    </w:p>
    <w:p>
      <w:pPr>
        <w:pStyle w:val="940"/>
        <w:numPr>
          <w:ilvl w:val="0"/>
          <w:numId w:val="14"/>
        </w:numPr>
        <w:ind w:left="0" w:firstLine="0"/>
        <w:jc w:val="both"/>
        <w:tabs>
          <w:tab w:val="left" w:pos="284" w:leader="none"/>
          <w:tab w:val="clear" w:pos="708" w:leader="none"/>
        </w:tabs>
      </w:pPr>
      <w:r>
        <w:t xml:space="preserve">Выделение цифр в числе с помощью оператора цикла с предусловием (в целом числе найти сумму его четных цифр).</w:t>
      </w:r>
      <w:r/>
    </w:p>
    <w:p>
      <w:pPr>
        <w:pStyle w:val="940"/>
        <w:numPr>
          <w:ilvl w:val="0"/>
          <w:numId w:val="14"/>
        </w:numPr>
        <w:ind w:left="0" w:firstLine="0"/>
        <w:jc w:val="both"/>
        <w:tabs>
          <w:tab w:val="left" w:pos="284" w:leader="none"/>
          <w:tab w:val="clear" w:pos="708" w:leader="none"/>
        </w:tabs>
      </w:pPr>
      <w:r>
        <w:t xml:space="preserve">Обработка последовательности чисел с помощью цикла с заданным числом итераций (среди десяти чисел найти количество чисел, оканчивающихся на 5.</w:t>
      </w:r>
      <w:r/>
    </w:p>
    <w:p>
      <w:pPr>
        <w:pStyle w:val="940"/>
        <w:numPr>
          <w:ilvl w:val="0"/>
          <w:numId w:val="14"/>
        </w:numPr>
        <w:ind w:left="0" w:firstLine="0"/>
        <w:jc w:val="both"/>
        <w:tabs>
          <w:tab w:val="left" w:pos="284" w:leader="none"/>
          <w:tab w:val="clear" w:pos="708" w:leader="none"/>
        </w:tabs>
      </w:pPr>
      <w:r>
        <w:t xml:space="preserve">Поиск чисел с заданным свойством среди диапазона чисел, с помощью цикла с заданным числом итераций (среди чисел от 30 до 5000 найти количество чисел, делящихся нацело на 3)</w:t>
      </w:r>
      <w:r/>
    </w:p>
    <w:p>
      <w:pPr>
        <w:pStyle w:val="940"/>
        <w:numPr>
          <w:ilvl w:val="0"/>
          <w:numId w:val="14"/>
        </w:numPr>
        <w:ind w:left="0" w:firstLine="0"/>
        <w:jc w:val="both"/>
        <w:tabs>
          <w:tab w:val="left" w:pos="284" w:leader="none"/>
          <w:tab w:val="clear" w:pos="708" w:leader="none"/>
        </w:tabs>
      </w:pPr>
      <w:r>
        <w:t xml:space="preserve">Обработка массива. Поиск суммы, количества элементов с заданным свойством.</w:t>
      </w:r>
      <w:r/>
    </w:p>
    <w:p>
      <w:pPr>
        <w:pStyle w:val="940"/>
        <w:numPr>
          <w:ilvl w:val="0"/>
          <w:numId w:val="14"/>
        </w:numPr>
        <w:ind w:left="0" w:firstLine="0"/>
        <w:jc w:val="both"/>
        <w:tabs>
          <w:tab w:val="left" w:pos="284" w:leader="none"/>
          <w:tab w:val="clear" w:pos="708" w:leader="none"/>
        </w:tabs>
      </w:pPr>
      <w:r>
        <w:t xml:space="preserve">Поиск максимального/минимального элемента. Замена элементов массива с заданными свойствами.</w:t>
      </w:r>
      <w:r/>
    </w:p>
    <w:p>
      <w:pPr>
        <w:pStyle w:val="940"/>
        <w:numPr>
          <w:ilvl w:val="0"/>
          <w:numId w:val="14"/>
        </w:numPr>
        <w:ind w:left="0" w:firstLine="0"/>
        <w:jc w:val="both"/>
        <w:tabs>
          <w:tab w:val="left" w:pos="284" w:leader="none"/>
          <w:tab w:val="clear" w:pos="708" w:leader="none"/>
        </w:tabs>
      </w:pPr>
      <w:r>
        <w:t xml:space="preserve">Обработка пар соседних элементов массива (найти количество пар соседних элементов массива, где в паре оба числа не делятся на 5).</w:t>
      </w:r>
      <w:r/>
    </w:p>
    <w:p>
      <w:pPr>
        <w:pStyle w:val="940"/>
        <w:ind w:firstLine="708"/>
      </w:pPr>
      <w:r>
        <w:t xml:space="preserve">Рассмотрев решения основной части варианта экзамена, можно приступать к решению готовых вариантов прошлых лет и демо-вариантов, оттачивая навыки решения задач.</w:t>
      </w:r>
      <w:r/>
    </w:p>
    <w:p>
      <w:pPr>
        <w:pStyle w:val="943"/>
        <w:numPr>
          <w:ilvl w:val="0"/>
          <w:numId w:val="0"/>
        </w:numPr>
        <w:ind w:left="0" w:firstLine="0"/>
        <w:jc w:val="both"/>
      </w:pPr>
      <w:r>
        <w:rPr>
          <w:rFonts w:ascii="Times New Roman" w:hAnsi="Times New Roman" w:cs="Times New Roman"/>
          <w:lang w:val="ru-RU"/>
        </w:rPr>
        <w:t xml:space="preserve">4.2. </w:t>
      </w:r>
      <w:r>
        <w:rPr>
          <w:rFonts w:ascii="Times New Roman" w:hAnsi="Times New Roman" w:cs="Times New Roman"/>
        </w:rPr>
        <w:t xml:space="preserve">Рекомендации по темам для обсуждения на методических объединениях учителей-предметников, возможные направления повышения квалификации</w:t>
      </w:r>
      <w:r/>
    </w:p>
    <w:p>
      <w:pPr>
        <w:pStyle w:val="940"/>
        <w:jc w:val="both"/>
      </w:pPr>
      <w:r/>
      <w:r/>
    </w:p>
    <w:p>
      <w:pPr>
        <w:pStyle w:val="940"/>
        <w:ind w:firstLine="708"/>
        <w:jc w:val="both"/>
      </w:pPr>
      <w:r>
        <w:t xml:space="preserve">Направлениями повышения квалификации, как в системе дополнительного профессионального образования, так и через самообразование могут быть следующие:</w:t>
      </w:r>
      <w:r/>
    </w:p>
    <w:p>
      <w:pPr>
        <w:pStyle w:val="940"/>
        <w:numPr>
          <w:ilvl w:val="0"/>
          <w:numId w:val="15"/>
        </w:numPr>
        <w:ind w:left="0" w:firstLine="0"/>
        <w:jc w:val="both"/>
        <w:tabs>
          <w:tab w:val="left" w:pos="284" w:leader="none"/>
          <w:tab w:val="clear" w:pos="708" w:leader="none"/>
        </w:tabs>
      </w:pPr>
      <w:r>
        <w:t xml:space="preserve">Компьютерные сети. Адресация в Интернете. Построение масок.</w:t>
      </w:r>
      <w:r/>
    </w:p>
    <w:p>
      <w:pPr>
        <w:pStyle w:val="940"/>
        <w:numPr>
          <w:ilvl w:val="0"/>
          <w:numId w:val="15"/>
        </w:numPr>
        <w:ind w:left="0" w:firstLine="0"/>
        <w:jc w:val="both"/>
        <w:tabs>
          <w:tab w:val="left" w:pos="284" w:leader="none"/>
          <w:tab w:val="clear" w:pos="708" w:leader="none"/>
        </w:tabs>
      </w:pPr>
      <w:r>
        <w:t xml:space="preserve">Преобразование логических выражений</w:t>
      </w:r>
      <w:r/>
    </w:p>
    <w:p>
      <w:pPr>
        <w:pStyle w:val="940"/>
        <w:numPr>
          <w:ilvl w:val="0"/>
          <w:numId w:val="15"/>
        </w:numPr>
        <w:ind w:left="0" w:firstLine="0"/>
        <w:jc w:val="both"/>
        <w:tabs>
          <w:tab w:val="left" w:pos="284" w:leader="none"/>
          <w:tab w:val="clear" w:pos="708" w:leader="none"/>
        </w:tabs>
      </w:pPr>
      <w:r>
        <w:t xml:space="preserve">Анализ программы с подпрограммами. Анализ рекурсивных подпрограмм (процедур и функций).</w:t>
      </w:r>
      <w:r/>
    </w:p>
    <w:p>
      <w:pPr>
        <w:pStyle w:val="940"/>
        <w:numPr>
          <w:ilvl w:val="0"/>
          <w:numId w:val="15"/>
        </w:numPr>
        <w:ind w:left="0" w:firstLine="0"/>
        <w:jc w:val="both"/>
        <w:tabs>
          <w:tab w:val="left" w:pos="284" w:leader="none"/>
          <w:tab w:val="clear" w:pos="708" w:leader="none"/>
        </w:tabs>
      </w:pPr>
      <w:r>
        <w:t xml:space="preserve">Исправление ошибок в программе с условными операторами и циклом.</w:t>
      </w:r>
      <w:r/>
    </w:p>
    <w:p>
      <w:pPr>
        <w:pStyle w:val="940"/>
        <w:numPr>
          <w:ilvl w:val="0"/>
          <w:numId w:val="15"/>
        </w:numPr>
        <w:ind w:left="0" w:firstLine="0"/>
        <w:jc w:val="both"/>
        <w:tabs>
          <w:tab w:val="left" w:pos="284" w:leader="none"/>
          <w:tab w:val="clear" w:pos="708" w:leader="none"/>
        </w:tabs>
      </w:pPr>
      <w:r>
        <w:t xml:space="preserve">Дерево игры. Поиск выигрышных стратегий.</w:t>
      </w:r>
      <w:r/>
    </w:p>
    <w:p>
      <w:pPr>
        <w:pStyle w:val="940"/>
        <w:numPr>
          <w:ilvl w:val="0"/>
          <w:numId w:val="15"/>
        </w:numPr>
        <w:ind w:left="0" w:firstLine="0"/>
        <w:jc w:val="both"/>
        <w:tabs>
          <w:tab w:val="left" w:pos="284" w:leader="none"/>
          <w:tab w:val="clear" w:pos="708" w:leader="none"/>
        </w:tabs>
      </w:pPr>
      <w:r>
        <w:t xml:space="preserve">Обработка данных, вводимых в виде числовой последовательности. Использование алгоритма перебора всех возможных пар чисел.</w:t>
      </w:r>
      <w:r/>
    </w:p>
    <w:p>
      <w:pPr>
        <w:pStyle w:val="940"/>
        <w:ind w:firstLine="708"/>
        <w:jc w:val="both"/>
      </w:pPr>
      <w:r>
        <w:t xml:space="preserve">Для обсуждения на методических объединениях учителей-предметников могут быть</w:t>
      </w:r>
      <w:r/>
    </w:p>
    <w:p>
      <w:pPr>
        <w:pStyle w:val="940"/>
        <w:jc w:val="both"/>
      </w:pPr>
      <w:r>
        <w:t xml:space="preserve">рекомендованы следующие темы.</w:t>
      </w:r>
      <w:r/>
    </w:p>
    <w:p>
      <w:pPr>
        <w:pStyle w:val="940"/>
        <w:numPr>
          <w:ilvl w:val="0"/>
          <w:numId w:val="4"/>
        </w:numPr>
        <w:ind w:left="0" w:firstLine="0"/>
        <w:jc w:val="both"/>
        <w:tabs>
          <w:tab w:val="left" w:pos="284" w:leader="none"/>
          <w:tab w:val="clear" w:pos="708" w:leader="none"/>
        </w:tabs>
      </w:pPr>
      <w:r>
        <w:t xml:space="preserve">«Обоснование выбора структуры данных для решения задачи». Здесь необходимо рассмотреть задачи, решаемые как с использование массива, так и без него. Показать</w:t>
      </w:r>
      <w:r/>
    </w:p>
    <w:p>
      <w:pPr>
        <w:pStyle w:val="940"/>
        <w:jc w:val="both"/>
        <w:tabs>
          <w:tab w:val="left" w:pos="284" w:leader="none"/>
          <w:tab w:val="clear" w:pos="708" w:leader="none"/>
        </w:tabs>
      </w:pPr>
      <w:r>
        <w:t xml:space="preserve">эффективные р</w:t>
      </w:r>
      <w:r>
        <w:t xml:space="preserve">ешения. Сюда относятся приемы поиска второго максимума, определение массива остатков при делении, определение массива фиксированной длины для учета расстояния между парами элементов и т.д. Необходимо ознакомиться с методикой преподавания подобной тематики.</w:t>
      </w:r>
      <w:r/>
    </w:p>
    <w:p>
      <w:pPr>
        <w:pStyle w:val="940"/>
        <w:numPr>
          <w:ilvl w:val="0"/>
          <w:numId w:val="4"/>
        </w:numPr>
        <w:ind w:left="0" w:firstLine="0"/>
        <w:jc w:val="both"/>
        <w:tabs>
          <w:tab w:val="left" w:pos="284" w:leader="none"/>
          <w:tab w:val="clear" w:pos="708" w:leader="none"/>
        </w:tabs>
      </w:pPr>
      <w:r>
        <w:t xml:space="preserve">«Методика освоения учащимися формального исполнения алгоритмов». Необходимо</w:t>
      </w:r>
      <w:r/>
    </w:p>
    <w:p>
      <w:pPr>
        <w:pStyle w:val="940"/>
        <w:jc w:val="both"/>
        <w:tabs>
          <w:tab w:val="left" w:pos="284" w:leader="none"/>
          <w:tab w:val="clear" w:pos="708" w:leader="none"/>
        </w:tabs>
      </w:pPr>
      <w:r>
        <w:t xml:space="preserve">раскрыть приемы прочтения готовых алгоритмов, научить обучаемых формально выполнять</w:t>
      </w:r>
      <w:r/>
    </w:p>
    <w:p>
      <w:pPr>
        <w:pStyle w:val="940"/>
        <w:jc w:val="both"/>
        <w:tabs>
          <w:tab w:val="left" w:pos="284" w:leader="none"/>
          <w:tab w:val="clear" w:pos="708" w:leader="none"/>
        </w:tabs>
      </w:pPr>
      <w:r>
        <w:t xml:space="preserve">не только простые алгоритмы, но и рекурсивные алгоритмы, алгоритмы обработки массивов.</w:t>
      </w:r>
      <w:r/>
    </w:p>
    <w:p>
      <w:pPr>
        <w:pStyle w:val="943"/>
        <w:numPr>
          <w:ilvl w:val="0"/>
          <w:numId w:val="0"/>
        </w:numPr>
        <w:ind w:left="0" w:firstLine="0"/>
        <w:jc w:val="both"/>
      </w:pPr>
      <w:r>
        <w:rPr>
          <w:rFonts w:ascii="Times New Roman" w:hAnsi="Times New Roman" w:cs="Times New Roman"/>
          <w:lang w:val="ru-RU"/>
        </w:rPr>
        <w:t xml:space="preserve">4.3. </w:t>
      </w:r>
      <w:r>
        <w:rPr>
          <w:rFonts w:ascii="Times New Roman" w:hAnsi="Times New Roman" w:cs="Times New Roman"/>
        </w:rPr>
        <w:t xml:space="preserve">Адрес размещения на информационных интернет-ресурсах ОИВ (подведомственных учреждений) в неизменном или расширенном виде приведенных в статистико-аналитическ</w:t>
      </w:r>
      <w:r>
        <w:rPr>
          <w:rFonts w:ascii="Times New Roman" w:hAnsi="Times New Roman" w:cs="Times New Roman"/>
          <w:lang w:val="ru-RU"/>
        </w:rPr>
        <w:t xml:space="preserve">ом</w:t>
      </w:r>
      <w:r>
        <w:rPr>
          <w:rFonts w:ascii="Times New Roman" w:hAnsi="Times New Roman" w:cs="Times New Roman"/>
        </w:rPr>
        <w:t xml:space="preserve"> отчет</w:t>
      </w:r>
      <w:r>
        <w:rPr>
          <w:rFonts w:ascii="Times New Roman" w:hAnsi="Times New Roman" w:cs="Times New Roman"/>
          <w:lang w:val="ru-RU"/>
        </w:rPr>
        <w:t xml:space="preserve">е</w:t>
      </w:r>
      <w:r>
        <w:rPr>
          <w:rFonts w:ascii="Times New Roman" w:hAnsi="Times New Roman" w:cs="Times New Roman"/>
        </w:rPr>
        <w:t xml:space="preserve">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w:t>
      </w:r>
      <w:r>
        <w:rPr>
          <w:rFonts w:ascii="Times New Roman" w:hAnsi="Times New Roman" w:cs="Times New Roman"/>
          <w:lang w:val="ru-RU"/>
        </w:rPr>
        <w:t xml:space="preserve">.</w:t>
      </w:r>
      <w:r/>
    </w:p>
    <w:p>
      <w:pPr>
        <w:pStyle w:val="940"/>
      </w:pPr>
      <w:r/>
      <w:r/>
    </w:p>
    <w:p>
      <w:pPr>
        <w:pStyle w:val="940"/>
      </w:pPr>
      <w:r/>
      <w:hyperlink r:id="rId48" w:tooltip="http://minobr.astrobl.ru/osnovnaya-stranica/informacionnye-materialy" w:history="1">
        <w:r>
          <w:rPr>
            <w:rStyle w:val="1382"/>
            <w:sz w:val="28"/>
            <w:szCs w:val="28"/>
          </w:rPr>
          <w:t xml:space="preserve">http://minobr.astrobl.ru/osnovnaya-stranica/informacionnye-materialy</w:t>
        </w:r>
      </w:hyperlink>
      <w:r>
        <w:rPr>
          <w:sz w:val="28"/>
          <w:szCs w:val="28"/>
        </w:rPr>
        <w:t xml:space="preserve"> </w:t>
      </w:r>
      <w:r/>
    </w:p>
    <w:p>
      <w:pPr>
        <w:pStyle w:val="940"/>
        <w:rPr>
          <w:rFonts w:eastAsia="SimSun;宋体"/>
          <w:b/>
          <w:bCs/>
          <w:sz w:val="28"/>
          <w:szCs w:val="28"/>
        </w:rPr>
      </w:pPr>
      <w:r>
        <w:rPr>
          <w:rFonts w:eastAsia="SimSun;宋体"/>
          <w:b/>
          <w:bCs/>
          <w:sz w:val="28"/>
          <w:szCs w:val="28"/>
        </w:rPr>
      </w:r>
      <w:r/>
    </w:p>
    <w:p>
      <w:pPr>
        <w:pStyle w:val="940"/>
        <w:rPr>
          <w:rFonts w:eastAsia="SimSun;宋体"/>
          <w:b/>
          <w:bCs/>
          <w:sz w:val="28"/>
          <w:szCs w:val="28"/>
        </w:rPr>
      </w:pPr>
      <w:r>
        <w:rPr>
          <w:rFonts w:eastAsia="SimSun;宋体"/>
          <w:b/>
          <w:bCs/>
          <w:sz w:val="28"/>
          <w:szCs w:val="28"/>
        </w:r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keepLines/>
        <w:keepNext/>
        <w:spacing w:before="200" w:after="0"/>
        <w:rPr>
          <w:rFonts w:eastAsia="SimSun;宋体"/>
          <w:b/>
          <w:bCs/>
          <w:sz w:val="28"/>
          <w:szCs w:val="28"/>
          <w:lang w:val="en-US"/>
        </w:rPr>
      </w:pPr>
      <w:r>
        <w:rPr>
          <w:rFonts w:eastAsia="SimSun;宋体"/>
          <w:b/>
          <w:bCs/>
          <w:sz w:val="28"/>
          <w:szCs w:val="28"/>
          <w:lang w:val="en-US"/>
        </w:rPr>
        <w:t xml:space="preserve">Раздел 5. Предложения в ДОРОЖНУЮ КАРТУ по развитию региональной системы образования</w:t>
      </w:r>
      <w:r/>
    </w:p>
    <w:p>
      <w:pPr>
        <w:pStyle w:val="940"/>
        <w:jc w:val="both"/>
        <w:keepLines/>
        <w:keepNext/>
        <w:spacing w:before="200" w:after="0"/>
      </w:pPr>
      <w:r>
        <w:rPr>
          <w:rFonts w:eastAsia="SimSun;宋体"/>
          <w:b/>
          <w:bCs/>
          <w:sz w:val="28"/>
        </w:rPr>
        <w:t xml:space="preserve">5.1. </w:t>
      </w:r>
      <w:r>
        <w:rPr>
          <w:rFonts w:eastAsia="SimSun;宋体"/>
          <w:b/>
          <w:bCs/>
          <w:sz w:val="28"/>
          <w:lang w:val="en-US"/>
        </w:rPr>
        <w:t xml:space="preserve">Анализ эффективности мероприятий, указанных в предложениях в дорожную карту по развитию региональной системы образования на 2020 - 2021 г.</w:t>
      </w:r>
      <w:r/>
    </w:p>
    <w:p>
      <w:pPr>
        <w:pStyle w:val="940"/>
        <w:ind w:left="1440" w:firstLine="0"/>
        <w:rPr>
          <w:rFonts w:eastAsia="SimSun;宋体"/>
          <w:b/>
          <w:bCs/>
          <w:sz w:val="28"/>
          <w:lang w:val="en-US"/>
        </w:rPr>
      </w:pPr>
      <w:r>
        <w:rPr>
          <w:rFonts w:eastAsia="SimSun;宋体"/>
          <w:b/>
          <w:bCs/>
          <w:sz w:val="28"/>
          <w:lang w:val="en-US"/>
        </w:rPr>
      </w:r>
      <w:r/>
    </w:p>
    <w:p>
      <w:pPr>
        <w:pStyle w:val="940"/>
        <w:jc w:val="right"/>
        <w:keepNext/>
        <w:spacing w:before="0" w:after="200"/>
        <w:rPr>
          <w:bCs/>
          <w:i/>
          <w:sz w:val="18"/>
          <w:szCs w:val="18"/>
        </w:rPr>
      </w:pPr>
      <w:r>
        <w:rPr>
          <w:bCs/>
          <w:i/>
          <w:sz w:val="18"/>
          <w:szCs w:val="18"/>
        </w:rPr>
        <w:t xml:space="preserve">Таблица 2-14</w:t>
      </w:r>
      <w:r/>
    </w:p>
    <w:tbl>
      <w:tblPr>
        <w:tblW w:w="9712" w:type="dxa"/>
        <w:tblInd w:w="-5" w:type="dxa"/>
        <w:tblLayout w:type="fixed"/>
        <w:tblCellMar>
          <w:left w:w="108" w:type="dxa"/>
          <w:top w:w="0" w:type="dxa"/>
          <w:right w:w="108" w:type="dxa"/>
          <w:bottom w:w="0" w:type="dxa"/>
        </w:tblCellMar>
        <w:tblLook w:val="04A0" w:firstRow="1" w:lastRow="0" w:firstColumn="1" w:lastColumn="0" w:noHBand="0" w:noVBand="1"/>
      </w:tblPr>
      <w:tblGrid>
        <w:gridCol w:w="636"/>
        <w:gridCol w:w="2614"/>
        <w:gridCol w:w="3782"/>
        <w:gridCol w:w="2671"/>
      </w:tblGrid>
      <w:tr>
        <w:trPr>
          <w:trHeight w:val="365"/>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w:t>
            </w:r>
            <w:r/>
          </w:p>
        </w:tc>
        <w:tc>
          <w:tcPr>
            <w:tcBorders>
              <w:top w:val="single" w:color="000000" w:sz="4" w:space="0"/>
              <w:left w:val="single" w:color="000000" w:sz="4" w:space="0"/>
              <w:bottom w:val="single" w:color="000000" w:sz="4" w:space="0"/>
            </w:tcBorders>
            <w:tcW w:w="2614" w:type="dxa"/>
            <w:vAlign w:val="center"/>
            <w:textDirection w:val="lrTb"/>
            <w:noWrap w:val="false"/>
          </w:tcPr>
          <w:p>
            <w:pPr>
              <w:pStyle w:val="940"/>
              <w:jc w:val="center"/>
            </w:pPr>
            <w:r>
              <w:t xml:space="preserve">Название мероприятия</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jc w:val="center"/>
            </w:pPr>
            <w:r>
              <w:t xml:space="preserve">Показатели</w:t>
            </w:r>
            <w:r/>
          </w:p>
          <w:p>
            <w:pPr>
              <w:pStyle w:val="940"/>
              <w:jc w:val="center"/>
            </w:pPr>
            <w:r>
              <w:t xml:space="preserve">(дата, формат, место проведения, категории участников)</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jc w:val="center"/>
            </w:pPr>
            <w:r>
              <w:t xml:space="preserve">Выводы об эффективности (или ее отсутствии), </w:t>
              <w:br/>
              <w:t xml:space="preserve">свидетельствующие о выводах факты, выводы о необходимости корректировки мероприятия, его отмены или о необходимости продолжения практики подобных мероприятий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jc w:val="center"/>
              <w:spacing w:before="0" w:after="160" w:line="254" w:lineRule="auto"/>
            </w:pPr>
            <w:r>
              <w:t xml:space="preserve">Проведение комплекса работ с ОО, демонстрирующими стабильно низкие результаты</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1.1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Базовая диагностика/уточнение проблематики</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1.10.2020 года  проведен установочный семина</w:t>
            </w:r>
            <w:r>
              <w:t xml:space="preserve">р «Инструменты диагностики актуального состояния школы и анализа основных школьных процессов» для руководителей и заместителей руководителей следующих общеобразовательных организаций Астраханской области, демонстрирующих низкие образовательные результаты: </w:t>
            </w:r>
            <w:r/>
          </w:p>
          <w:p>
            <w:pPr>
              <w:pStyle w:val="940"/>
            </w:pPr>
            <w:r>
              <w:t xml:space="preserve">МБОУ «Капустиноярская СОШ МО «Ахтубинский район», МБОУ «Новониколаевская СОШ МО «Ахтубинский район», МБОУ «Бахтемирская СОШ МО «Ахтубинский район», МБОУ «Золотухинская СОШ МО «Ахт</w:t>
            </w:r>
            <w:r>
              <w:t xml:space="preserve">убинский район», МБОУ «Удачненская СОШ МО «Ахтубинский район», МБОУ «Новокрасинская СОШ» (МО «Володарский район»), МБОУ «Пришибинская СОШ» (МО «Енотаевский район»), МБОУ «Чулпанская СОШ», МЬОУ «Оранерейнинская СОШ», МБОУ «Маячненская СОШ» (МО «Икрянинский </w:t>
            </w:r>
            <w:r>
              <w:t xml:space="preserve">район»), МКОУ «Бюречикосинская СОШ», МКОУ «Бударинская СОШ» (МО «Лиманский район»), МБОУ «СОШ п. Трусово», МБОУ «СОШ с. Солянка» (МО «Наримановский район»), МБОУ «СОШ с. Вязовка» (МО «Черноярский район»), МКОУ «СОШ с. Хошеутово» (МО «Харабалинский район»).</w:t>
            </w:r>
            <w:r/>
          </w:p>
          <w:p>
            <w:pPr>
              <w:pStyle w:val="940"/>
            </w:pPr>
            <w:r>
              <w:t xml:space="preserve">На основе фактической и статистической информации о текущем состоянии и документарной экспертиз с 1.10 2021 по 5.11.2020 проведено аналитическое исследование деятельности вышеуказанных организаций.</w:t>
            </w:r>
            <w:r/>
          </w:p>
          <w:p>
            <w:pPr>
              <w:pStyle w:val="940"/>
            </w:pPr>
            <w:r>
              <w:t xml:space="preserve">Далее в течение 2020-2021 годы диагностические исследования, обобщение, выводы, формирование отчетов, полевые работы проводились в течение всего периода.</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На основе аналитического материала, полученного в ходе сбор</w:t>
            </w:r>
            <w:r>
              <w:t xml:space="preserve">а и изучения массивов фактических данных о деятельности указанных общеобразовательных организаций, а также полученные электронным способом с помощью специально разработанной программы графики соответствия и рейтингования систематизированы основные проблемы</w:t>
            </w:r>
            <w:r/>
          </w:p>
          <w:p>
            <w:pPr>
              <w:pStyle w:val="940"/>
            </w:pPr>
            <w:r>
              <w:t xml:space="preserve">Подтверждены региональные критерии отнесения общеобразовательных организаций к категории функционирующих в неблагоприятных социальных условиях с различными социальными статусами и затратами ресурсов.</w:t>
            </w:r>
            <w:r/>
          </w:p>
          <w:p>
            <w:pPr>
              <w:pStyle w:val="940"/>
            </w:pPr>
            <w:r>
              <w:t xml:space="preserve">Подготовлен комплект аналитических и диагностических материалов для проектирования профессионального развития управленческих и педагогических работников данных образовательных организаций.</w:t>
            </w:r>
            <w:r/>
          </w:p>
          <w:p>
            <w:pPr>
              <w:pStyle w:val="940"/>
            </w:pPr>
            <w:r>
              <w:t xml:space="preserve">Центром неп</w:t>
            </w:r>
            <w:r>
              <w:t xml:space="preserve">рерывного повышения профессионального мастерства ГАОУ АО ДПО «Институт развития образования» (далее ЦНППМ разработан план профессионального развития, включающий систему мероприятий (курсы повышения квалификации, семинары, вебинары, консультирование и т.д.)</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1.2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Оказание помощи в разработке программ развития с учетом проблем, выявленных в конкретной ОО</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ЦНППМ подготовлены рекомендации по деятельности общеобразовательных организаций на краткосрочную перспективу, включая 2021 год с целью обеспечения перехода в условно определяемую категорию «эффективных школ».</w:t>
            </w:r>
            <w:r/>
          </w:p>
          <w:p>
            <w:pPr>
              <w:pStyle w:val="940"/>
            </w:pPr>
            <w:r>
              <w:t xml:space="preserve">Проведен семинар-совещание «Основные характеристики «эффективной школы» с участием представителей регионального и муниципальных органов исполнительной власти Астраханской области, осуществляющих управление в сфере образования.</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Образовательными организациями на основе аналитических материалов и рекомендаций на краткосрочную перспективу разработаны и представлены  в ЦНППМ программы развития, ряд из которых по итогам проверки ЦНППМ был доработан. </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1.3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Реализация программ повышения квалификации в соответствии с выявленными проблемами, включающими образовательные модули, тренинги</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 Разработана и реализована программа дополнительного профессионального образования (повышение квалификации) «Проектирование изменений в общеобразовательной организации»:</w:t>
            </w:r>
            <w:r/>
          </w:p>
          <w:p>
            <w:pPr>
              <w:pStyle w:val="940"/>
            </w:pPr>
            <w:r>
              <w:t xml:space="preserve">- 20-21 ноября 2020</w:t>
              <w:tab/>
              <w:t xml:space="preserve">проведена очная обучающая сессия «Компоненты стратегического планирования для перехода школ в эффективный режим работы»;</w:t>
            </w:r>
            <w:r/>
          </w:p>
          <w:p>
            <w:pPr>
              <w:pStyle w:val="940"/>
            </w:pPr>
            <w:r>
              <w:t xml:space="preserve">- 22 ноября - 23 декабря проведена заочная обучающая сессия «Выявление проблем при стратегическом планировании»</w:t>
            </w:r>
            <w:r/>
          </w:p>
          <w:p>
            <w:pPr>
              <w:pStyle w:val="940"/>
            </w:pPr>
            <w:r>
              <w:t xml:space="preserve">- 24 декабря 2020 проведена итоговая очная обучающая сессия</w:t>
            </w:r>
            <w:r/>
          </w:p>
          <w:p>
            <w:pPr>
              <w:pStyle w:val="940"/>
            </w:pPr>
            <w:r>
              <w:t xml:space="preserve">В течение 2020-2021 учебного года проведены вебинары: </w:t>
            </w:r>
            <w:r/>
          </w:p>
          <w:p>
            <w:pPr>
              <w:pStyle w:val="940"/>
            </w:pPr>
            <w:r>
              <w:t xml:space="preserve">-«Тренды и челленджи образования в XXI веке» -20-21 ноября 2020,</w:t>
            </w:r>
            <w:r/>
          </w:p>
          <w:p>
            <w:pPr>
              <w:pStyle w:val="940"/>
            </w:pPr>
            <w:r>
              <w:t xml:space="preserve">- «Онлайн-фасилитация: практические решения для образовательных активностей в онлайне» - 16 декабря 2020, </w:t>
            </w:r>
            <w:r/>
          </w:p>
          <w:p>
            <w:pPr>
              <w:pStyle w:val="940"/>
            </w:pPr>
            <w:r>
              <w:t xml:space="preserve">-«Учитель 2.0. в условиях новой цифровой реальности» - 16 декабря 2020, </w:t>
            </w:r>
            <w:r/>
          </w:p>
          <w:p>
            <w:pPr>
              <w:pStyle w:val="940"/>
            </w:pPr>
            <w:r>
              <w:t xml:space="preserve">-«Смешанное обучение как новый способ организации учебного процесса» - 17 декабря 2020, </w:t>
            </w:r>
            <w:r/>
          </w:p>
          <w:p>
            <w:pPr>
              <w:pStyle w:val="940"/>
            </w:pPr>
            <w:r>
              <w:t xml:space="preserve">-«Тайм-менеджмент как универсальная компетенция педагога» - 17 декабря 2020, </w:t>
            </w:r>
            <w:r/>
          </w:p>
          <w:p>
            <w:pPr>
              <w:pStyle w:val="940"/>
            </w:pPr>
            <w:r>
              <w:t xml:space="preserve">-«Способы формирования учебных планов при смешанном обучении» - 18 декабря 2020</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В образовательных организациях,  демонстрирующих низкие образовательные результаты сформированы  управленческие команды, способные самостоятельно решать методические проблемы на местах.</w:t>
            </w:r>
            <w:r/>
          </w:p>
          <w:p>
            <w:pPr>
              <w:pStyle w:val="940"/>
            </w:pPr>
            <w:r>
              <w:t xml:space="preserve">Члены управленческих команд прошедшие обучение: систематизировали знания по теории и методам управления </w:t>
            </w:r>
            <w:r/>
          </w:p>
          <w:p>
            <w:pPr>
              <w:pStyle w:val="940"/>
            </w:pPr>
            <w:r>
              <w:t xml:space="preserve">образовательной организацией;</w:t>
            </w:r>
            <w:r/>
          </w:p>
          <w:p>
            <w:pPr>
              <w:pStyle w:val="940"/>
            </w:pPr>
            <w:r>
              <w:t xml:space="preserve">основам менеджмента, управлению персоналом, основам управления проектами </w:t>
            </w:r>
            <w:r/>
          </w:p>
          <w:p>
            <w:pPr>
              <w:pStyle w:val="940"/>
            </w:pPr>
            <w:r>
              <w:t xml:space="preserve">- сформировали современные представления о стратегическом менеджменте, стратегическом планировании в сфере образования;</w:t>
            </w:r>
            <w:r/>
          </w:p>
          <w:p>
            <w:pPr>
              <w:pStyle w:val="940"/>
            </w:pPr>
            <w:r>
              <w:t xml:space="preserve">- расширили знания в сфере стратегического анализа.</w:t>
            </w:r>
            <w:r/>
          </w:p>
          <w:p>
            <w:pPr>
              <w:pStyle w:val="940"/>
            </w:pPr>
            <w:r>
              <w:t xml:space="preserve">Усилиями управленческих команд  и педагогических коллективов реализуются программы развития вышеуказанных образовательных организаций.</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1.4</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В постоянном режиме организованы консультации с привлеченными к выполнению этих работ экспертами, персонально закрепленными за каждой общеобразовательной организацией, участвующей в проекте</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Своевременно оказанная консалтинговая помощь позволяет образовательным организациям оперативно решать вопросы повышения качества образования</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numPr>
                <w:ilvl w:val="0"/>
                <w:numId w:val="32"/>
              </w:numPr>
              <w:contextualSpacing/>
              <w:ind w:left="0" w:firstLine="360"/>
              <w:spacing w:before="0" w:after="160" w:line="254" w:lineRule="auto"/>
            </w:pPr>
            <w:r>
              <w:t xml:space="preserve">Проведение открытых заседаний предметных секций регионального учебно-методического объединения с учас</w:t>
            </w:r>
            <w:r>
              <w:t xml:space="preserve">тием председателей предметных комиссий ЕГЭ с обсуждением аналитических материалов по итогам проведения ГИА в 2020 году в формате «профессиональный разговор учителей» (по традиционно сложившемуся алгоритму на базе ГАОУ АО ДПО «Институт развития образования)</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2614" w:type="dxa"/>
            <w:textDirection w:val="lrTb"/>
            <w:noWrap w:val="false"/>
          </w:tcPr>
          <w:p>
            <w:pPr>
              <w:pStyle w:val="940"/>
              <w:spacing w:before="0" w:after="160" w:line="254" w:lineRule="auto"/>
            </w:pPr>
            <w:r>
              <w:rPr>
                <w:lang w:eastAsia="en-US"/>
              </w:rPr>
              <w:t xml:space="preserve">«Анализ отчёта по результатам ЕГЭ 2020» (информатика и ИКТ)</w:t>
            </w:r>
            <w:r/>
          </w:p>
        </w:tc>
        <w:tc>
          <w:tcPr>
            <w:tcBorders>
              <w:top w:val="single" w:color="000000" w:sz="4" w:space="0"/>
              <w:left w:val="single" w:color="000000" w:sz="4" w:space="0"/>
              <w:bottom w:val="single" w:color="000000" w:sz="4" w:space="0"/>
            </w:tcBorders>
            <w:tcW w:w="3782" w:type="dxa"/>
            <w:textDirection w:val="lrTb"/>
            <w:noWrap w:val="false"/>
          </w:tcPr>
          <w:p>
            <w:pPr>
              <w:pStyle w:val="940"/>
              <w:spacing w:before="0" w:after="160" w:line="254" w:lineRule="auto"/>
              <w:rPr>
                <w:lang w:eastAsia="en-US"/>
              </w:rPr>
            </w:pPr>
            <w:r>
              <w:rPr>
                <w:lang w:eastAsia="en-US"/>
              </w:rPr>
              <w:t xml:space="preserve">1 гр., 3 часа, открытая дискуссия на базе ГАОУ АО ДПО «Институт развития образования», в том числе с ВКС. Участники – члены секции регионального учебно-методического объединения, учителя информатики </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rPr>
                <w:lang w:eastAsia="en-US"/>
              </w:rPr>
              <w:t xml:space="preserve">В процессе анализа и обсуждения результатов ЕГЭ – 1</w:t>
            </w:r>
            <w:r>
              <w:rPr>
                <w:lang w:eastAsia="en-US"/>
              </w:rPr>
              <w:t xml:space="preserve">1 в формате открытой дискуссии на  заседании предметной секции регионального учебно-методического объединения с участием председателя предметной комиссии ЕГЭ по информатике особое внимание было уделено анализу выполнения отдельных заданий или групп заданий</w:t>
            </w:r>
            <w:r>
              <w:rPr>
                <w:sz w:val="22"/>
                <w:szCs w:val="22"/>
                <w:lang w:eastAsia="en-US"/>
              </w:rPr>
              <w:t xml:space="preserve"> </w:t>
            </w:r>
            <w:r>
              <w:rPr>
                <w:lang w:eastAsia="en-US"/>
              </w:rPr>
              <w:t xml:space="preserve">предмету.</w:t>
            </w:r>
            <w:r/>
          </w:p>
          <w:p>
            <w:pPr>
              <w:pStyle w:val="940"/>
            </w:pPr>
            <w:r>
              <w:t xml:space="preserve">Были выделены и рассмотрены задания, которые вызвали особые затруднения у участников экзамена по информатике.</w:t>
            </w:r>
            <w:r/>
          </w:p>
          <w:p>
            <w:pPr>
              <w:pStyle w:val="940"/>
            </w:pPr>
            <w:r>
              <w:t xml:space="preserve">Определены умения, несформированностью или недостаточной сформированностью которых обусловлено</w:t>
            </w:r>
            <w:r>
              <w:rPr>
                <w:sz w:val="22"/>
                <w:szCs w:val="22"/>
                <w:lang w:eastAsia="en-US"/>
              </w:rPr>
              <w:t xml:space="preserve"> </w:t>
            </w:r>
            <w:r>
              <w:t xml:space="preserve">слабое выполнение ряда заданий.</w:t>
            </w:r>
            <w:r/>
          </w:p>
          <w:p>
            <w:pPr>
              <w:pStyle w:val="940"/>
            </w:pPr>
            <w:r>
              <w:t xml:space="preserve">Определены пути развития процессов и способов представления (трансляции) инновационного опыта работы образовательных организаций региона, демонстрирующих высокие результаты ЕГЭ по информатике.</w:t>
            </w:r>
            <w:r/>
          </w:p>
          <w:p>
            <w:pPr>
              <w:pStyle w:val="940"/>
            </w:pPr>
            <w:r>
              <w:t xml:space="preserve">Разработаны рекомендации по изменению программы повышения квалификации учителей информатики</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3.Организация 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3.1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"Эффективная подготовка к ЕГЭ: этапы, инструменты, особенности"</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65 человек 2 часа, семинар, учителя –предметники, в том числе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Участники семинара освоили этапы и инструменты, повышающие эффективности подготовки обучающихся к ЕГЭ</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rPr>
                <w:lang w:val="en-US"/>
              </w:rPr>
            </w:pPr>
            <w:r>
              <w:rPr>
                <w:lang w:val="en-US"/>
              </w:rPr>
              <w:t xml:space="preserve">3.2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Интерпретация и разбор заданий ЕГЭ по информатике</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17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restart"/>
            <w:textDirection w:val="lrTb"/>
            <w:noWrap w:val="false"/>
          </w:tcPr>
          <w:p>
            <w:pPr>
              <w:pStyle w:val="940"/>
            </w:pPr>
            <w:r>
              <w:t xml:space="preserve">Вебинары позволили сформировать, развить у учителей информатики знания и умения, обеспечивающие эффективность подготовки к решению заданий, вызвавших наибольшую сложность в 2020 году.</w:t>
            </w:r>
            <w:r/>
          </w:p>
          <w:p>
            <w:pPr>
              <w:pStyle w:val="940"/>
            </w:pPr>
            <w:r>
              <w:t xml:space="preserve">А также обеспечило: </w:t>
            </w:r>
            <w:r/>
          </w:p>
          <w:p>
            <w:pPr>
              <w:pStyle w:val="940"/>
              <w:numPr>
                <w:ilvl w:val="0"/>
                <w:numId w:val="41"/>
              </w:numPr>
              <w:ind w:left="116" w:firstLine="0"/>
              <w:spacing w:before="0" w:after="160" w:line="254" w:lineRule="auto"/>
            </w:pPr>
            <w:r>
              <w:t xml:space="preserve">понимание участниками роли ГИА – 11 в контексте общероссийской системы оценки качества образования;</w:t>
            </w:r>
            <w:r/>
          </w:p>
          <w:p>
            <w:pPr>
              <w:pStyle w:val="940"/>
            </w:pPr>
            <w:r>
              <w:t xml:space="preserve">•</w:t>
            </w:r>
            <w:r>
              <w:tab/>
              <w:t xml:space="preserve">формирование у обучающихся системы базовых теоретико-методических знаний о современных технологиях объективной оценки образовательных достижений, о содержании нормативных документов, определяющих структуру и содержание КИМ для проведения ГИА по о</w:t>
            </w:r>
            <w:r>
              <w:t xml:space="preserve">бразовательным программам среднего общего образования и критериев оценивания экзаменационных работ, выполненных на основе этих КИМ ЕГЭ, процедуру проведения ЕГЭ и порядок проверки и оценки ответов выпускников на задания с развернутым ответом по литературе;</w:t>
            </w:r>
            <w:r/>
          </w:p>
          <w:p>
            <w:pPr>
              <w:pStyle w:val="940"/>
            </w:pPr>
            <w:r>
              <w:t xml:space="preserve">•</w:t>
            </w:r>
            <w:r>
              <w:tab/>
              <w:t xml:space="preserve">формированию у них представления о структуре и содержании  КИМ по литературе; назначении заданий различного типа (с кратким ответом, с развернутым ответом), принципах и методах их разработки;</w:t>
            </w:r>
            <w:r/>
          </w:p>
          <w:p>
            <w:pPr>
              <w:pStyle w:val="940"/>
            </w:pPr>
            <w:r>
              <w:t xml:space="preserve">а также развитию у участников следующих умений: </w:t>
            </w:r>
            <w:r/>
          </w:p>
          <w:p>
            <w:pPr>
              <w:pStyle w:val="940"/>
            </w:pPr>
            <w:r>
              <w:t xml:space="preserve">‒</w:t>
            </w:r>
            <w:r>
              <w:tab/>
              <w:t xml:space="preserve">работать с инструкциями, регламентирующими процедуру проверки и оценки ответов выпускников на задания с развернутым ответом; </w:t>
            </w:r>
            <w:r/>
          </w:p>
          <w:p>
            <w:pPr>
              <w:pStyle w:val="940"/>
            </w:pPr>
            <w:r>
              <w:t xml:space="preserve">‒</w:t>
            </w:r>
            <w:r>
              <w:tab/>
              <w:t xml:space="preserve">проверять и объективно оценивать ответы выпускников на задания с развернутым ответом;</w:t>
            </w:r>
            <w:r/>
          </w:p>
          <w:p>
            <w:pPr>
              <w:pStyle w:val="940"/>
            </w:pPr>
            <w:r>
              <w:t xml:space="preserve">‒</w:t>
            </w:r>
            <w:r>
              <w:tab/>
              <w:t xml:space="preserve">оформлять результаты проверки, соблюдая установленные технические требования</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rPr>
                <w:lang w:val="en-US"/>
              </w:rPr>
            </w:pPr>
            <w:r>
              <w:rPr>
                <w:lang w:val="en-US"/>
              </w:rPr>
              <w:t xml:space="preserve">3.3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Интерпретация и разбор заданий ЕГЭ по информатике (продолжение)</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17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rPr>
                <w:lang w:val="en-US"/>
              </w:rPr>
            </w:pPr>
            <w:r>
              <w:rPr>
                <w:lang w:val="en-US"/>
              </w:rPr>
              <w:t xml:space="preserve">3.4</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pPr>
            <w:r>
              <w:rPr>
                <w:lang w:eastAsia="en-US"/>
              </w:rPr>
              <w:t xml:space="preserve">Методика проверки и оценки выполнения заданий с развернутым ответом при проведении ГИА по образовательным программам СОО (информатика и ИКТ)</w:t>
            </w:r>
            <w:r/>
          </w:p>
        </w:tc>
        <w:tc>
          <w:tcPr>
            <w:tcBorders>
              <w:top w:val="single" w:color="000000" w:sz="4" w:space="0"/>
              <w:left w:val="single" w:color="000000" w:sz="4" w:space="0"/>
              <w:bottom w:val="single" w:color="000000" w:sz="4" w:space="0"/>
            </w:tcBorders>
            <w:tcW w:w="3782" w:type="dxa"/>
            <w:textDirection w:val="lrTb"/>
            <w:noWrap w:val="false"/>
          </w:tcPr>
          <w:p>
            <w:pPr>
              <w:pStyle w:val="940"/>
              <w:jc w:val="both"/>
              <w:spacing w:before="0" w:after="160" w:line="254" w:lineRule="auto"/>
            </w:pPr>
            <w:r>
              <w:rPr>
                <w:lang w:eastAsia="en-US"/>
              </w:rPr>
              <w:t xml:space="preserve">15</w:t>
            </w:r>
            <w:r>
              <w:rPr>
                <w:sz w:val="22"/>
                <w:szCs w:val="22"/>
                <w:lang w:eastAsia="en-US"/>
              </w:rPr>
              <w:t xml:space="preserve"> </w:t>
            </w:r>
            <w:r>
              <w:rPr>
                <w:lang w:eastAsia="en-US"/>
              </w:rPr>
              <w:t xml:space="preserve">человек,</w:t>
            </w:r>
            <w:r>
              <w:rPr>
                <w:sz w:val="22"/>
                <w:szCs w:val="22"/>
                <w:lang w:eastAsia="en-US"/>
              </w:rPr>
              <w:t xml:space="preserve"> </w:t>
            </w:r>
            <w:r>
              <w:rPr>
                <w:lang w:eastAsia="en-US"/>
              </w:rPr>
              <w:t xml:space="preserve">семинар, члены предметной комиссии,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jc w:val="both"/>
              <w:spacing w:before="0" w:after="160" w:line="254" w:lineRule="auto"/>
              <w:rPr>
                <w:lang w:eastAsia="en-US"/>
              </w:rPr>
            </w:pPr>
            <w:r>
              <w:rPr>
                <w:lang w:eastAsia="en-US"/>
              </w:rPr>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4.Организация онлайн консультаций в рамках реализации программ повышения квалификации по подходам к решению заданий, вызвавших наибольшие затруднения у выпускников по итогам ЕГЭ в 2020 году</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4.1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Возможность консультаций была предоставлена в рамках курсов повышения квалификации по дополнительной профессиональной программе «Обновление содержания и технологий обучения предмету</w:t>
            </w:r>
            <w:r>
              <w:rPr>
                <w:sz w:val="22"/>
                <w:szCs w:val="22"/>
              </w:rPr>
              <w:t xml:space="preserve"> </w:t>
            </w:r>
            <w:r>
              <w:t xml:space="preserve">с учетом предметной концепции и обновленных ФГОС»</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Количество слушателей – 97 человек, в том числе учителя информатики </w:t>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p>
            <w:pPr>
              <w:pStyle w:val="940"/>
            </w:pPr>
            <w:r/>
            <w:r/>
          </w:p>
        </w:tc>
        <w:tc>
          <w:tcPr>
            <w:tcBorders>
              <w:top w:val="single" w:color="000000" w:sz="4" w:space="0"/>
              <w:left w:val="single" w:color="000000" w:sz="4" w:space="0"/>
              <w:bottom w:val="single" w:color="000000" w:sz="4" w:space="0"/>
              <w:right w:val="single" w:color="000000" w:sz="4" w:space="0"/>
            </w:tcBorders>
            <w:tcW w:w="2671" w:type="dxa"/>
            <w:vAlign w:val="center"/>
            <w:textDirection w:val="lrTb"/>
            <w:noWrap w:val="false"/>
          </w:tcPr>
          <w:p>
            <w:pPr>
              <w:pStyle w:val="940"/>
            </w:pPr>
            <w:r>
              <w:t xml:space="preserve">Предметное содержание и вопросы ГИА осваивались слушателями в процессе освоения вариативных модулей 3 и 4, которые содержат темы по 13 учебным предметам (предметным областям) и вк</w:t>
            </w:r>
            <w:r>
              <w:t xml:space="preserve">лючают вопросы обновления технологий и содержания обучения русскому языку и литературе/ истории/ обществознанию/ географии/ математике/ информатике и астрономии/ химии и др. в соответствии с концепциями преподавания учебных предметов (предметных областей).</w:t>
            </w:r>
            <w:r/>
          </w:p>
        </w:tc>
      </w:tr>
      <w:tr>
        <w:trPr/>
        <w:tc>
          <w:tcPr>
            <w:gridSpan w:val="4"/>
            <w:tcBorders>
              <w:top w:val="single" w:color="000000" w:sz="4" w:space="0"/>
              <w:left w:val="single" w:color="000000" w:sz="4" w:space="0"/>
              <w:bottom w:val="single" w:color="000000" w:sz="4" w:space="0"/>
              <w:right w:val="single" w:color="000000" w:sz="4" w:space="0"/>
            </w:tcBorders>
            <w:tcW w:w="9712" w:type="dxa"/>
            <w:vAlign w:val="center"/>
            <w:textDirection w:val="lrTb"/>
            <w:noWrap w:val="false"/>
          </w:tcPr>
          <w:p>
            <w:pPr>
              <w:pStyle w:val="940"/>
            </w:pPr>
            <w:r>
              <w:t xml:space="preserve">5.Включение в повестки дня заседаний предметных секций регионального учебно-методического объединения учителей вопросов, связанных с организаций учебных занятий, ориентированных на подготовку выпускников к ЕГЭ</w:t>
            </w:r>
            <w:r/>
          </w:p>
        </w:tc>
      </w:tr>
      <w:tr>
        <w:trPr/>
        <w:tc>
          <w:tcPr>
            <w:tcBorders>
              <w:top w:val="single" w:color="000000" w:sz="4" w:space="0"/>
              <w:left w:val="single" w:color="000000" w:sz="4" w:space="0"/>
              <w:bottom w:val="single" w:color="000000" w:sz="4" w:space="0"/>
            </w:tcBorders>
            <w:tcW w:w="636" w:type="dxa"/>
            <w:vAlign w:val="center"/>
            <w:textDirection w:val="lrTb"/>
            <w:noWrap w:val="false"/>
          </w:tcPr>
          <w:p>
            <w:pPr>
              <w:pStyle w:val="940"/>
              <w:jc w:val="center"/>
            </w:pPr>
            <w:r>
              <w:t xml:space="preserve">5.1</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Разбор заданий к ЕГЭ: составление таблицы истинности логической функции; выполнение и анализ простых алгоритмов; анализ программ с циклами</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24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restart"/>
            <w:textDirection w:val="lrTb"/>
            <w:noWrap w:val="false"/>
          </w:tcPr>
          <w:p>
            <w:pPr>
              <w:pStyle w:val="940"/>
            </w:pPr>
            <w:r>
              <w:t xml:space="preserve">Включение в повестки дня заседаний предметных секций регионального учебно-методического объединения учителей информатики вопросов, связанных с организаци</w:t>
            </w:r>
            <w:r>
              <w:t xml:space="preserve">й учебных занятий, ориентированных на подготовку выпускников к ЕГЭ позволило систематизировать необходимые знания и развить у учителей информатики компетенции, обеспечивающие эффективность подготовки обучающихся к выполнению соответствующих заданий ГИА -11</w:t>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5.2</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Разбор заданий к ЕГЭ: рекурсивные алгоритмы; динамическое программирование</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18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5.3</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Разбор заданий ЕГЭ: основные подходы к составлению алгоритмов</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20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5.4</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Разбор заданий ЕГЭ: разбор заданий 19-21, посвящённых теории игр</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23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5.5</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Разбор заданий ЕГЭ: обработка целых чисел, делители числа</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17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restart"/>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5.6</w:t>
            </w:r>
            <w:r/>
          </w:p>
        </w:tc>
        <w:tc>
          <w:tcPr>
            <w:tcBorders>
              <w:top w:val="single" w:color="000000" w:sz="4" w:space="0"/>
              <w:left w:val="single" w:color="000000" w:sz="4" w:space="0"/>
              <w:bottom w:val="single" w:color="000000" w:sz="4" w:space="0"/>
            </w:tcBorders>
            <w:tcW w:w="2614" w:type="dxa"/>
            <w:textDirection w:val="lrTb"/>
            <w:noWrap w:val="false"/>
          </w:tcPr>
          <w:p>
            <w:pPr>
              <w:pStyle w:val="940"/>
              <w:jc w:val="both"/>
              <w:spacing w:before="0" w:after="160" w:line="254" w:lineRule="auto"/>
              <w:rPr>
                <w:lang w:eastAsia="en-US"/>
              </w:rPr>
            </w:pPr>
            <w:r>
              <w:rPr>
                <w:lang w:eastAsia="en-US"/>
              </w:rPr>
              <w:t xml:space="preserve">Разбор заданий ЕГЭ: обработка символьных строк</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24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r>
        <w:trPr/>
        <w:tc>
          <w:tcPr>
            <w:tcBorders>
              <w:top w:val="single" w:color="000000" w:sz="4" w:space="0"/>
              <w:left w:val="single" w:color="000000" w:sz="4" w:space="0"/>
              <w:bottom w:val="single" w:color="000000" w:sz="4" w:space="0"/>
            </w:tcBorders>
            <w:tcW w:w="636" w:type="dxa"/>
            <w:textDirection w:val="lrTb"/>
            <w:noWrap w:val="false"/>
          </w:tcPr>
          <w:p>
            <w:pPr>
              <w:pStyle w:val="940"/>
              <w:spacing w:before="0" w:after="160" w:line="254" w:lineRule="auto"/>
            </w:pPr>
            <w:r>
              <w:t xml:space="preserve">5.7</w:t>
            </w:r>
            <w:r/>
          </w:p>
        </w:tc>
        <w:tc>
          <w:tcPr>
            <w:tcBorders>
              <w:top w:val="single" w:color="000000" w:sz="4" w:space="0"/>
              <w:left w:val="single" w:color="000000" w:sz="4" w:space="0"/>
              <w:bottom w:val="single" w:color="000000" w:sz="4" w:space="0"/>
            </w:tcBorders>
            <w:tcW w:w="2614" w:type="dxa"/>
            <w:textDirection w:val="lrTb"/>
            <w:noWrap w:val="false"/>
          </w:tcPr>
          <w:p>
            <w:pPr>
              <w:pStyle w:val="940"/>
              <w:contextualSpacing/>
              <w:spacing w:before="0" w:after="0"/>
            </w:pPr>
            <w:r>
              <w:t xml:space="preserve">Разбор заданий ЕГЭ: анализ истинности логического выражения</w:t>
            </w:r>
            <w:r/>
          </w:p>
        </w:tc>
        <w:tc>
          <w:tcPr>
            <w:tcBorders>
              <w:top w:val="single" w:color="000000" w:sz="4" w:space="0"/>
              <w:left w:val="single" w:color="000000" w:sz="4" w:space="0"/>
              <w:bottom w:val="single" w:color="000000" w:sz="4" w:space="0"/>
            </w:tcBorders>
            <w:tcW w:w="3782" w:type="dxa"/>
            <w:vAlign w:val="center"/>
            <w:textDirection w:val="lrTb"/>
            <w:noWrap w:val="false"/>
          </w:tcPr>
          <w:p>
            <w:pPr>
              <w:pStyle w:val="940"/>
            </w:pPr>
            <w:r>
              <w:t xml:space="preserve">15 человек, вебинар, учителя информатики</w:t>
            </w:r>
            <w:r/>
          </w:p>
        </w:tc>
        <w:tc>
          <w:tcPr>
            <w:tcBorders>
              <w:top w:val="single" w:color="000000" w:sz="4" w:space="0"/>
              <w:left w:val="single" w:color="000000" w:sz="4" w:space="0"/>
              <w:bottom w:val="single" w:color="000000" w:sz="4" w:space="0"/>
              <w:right w:val="single" w:color="000000" w:sz="4" w:space="0"/>
            </w:tcBorders>
            <w:tcW w:w="2671" w:type="dxa"/>
            <w:vAlign w:val="center"/>
            <w:vMerge w:val="continue"/>
            <w:textDirection w:val="lrTb"/>
            <w:noWrap w:val="false"/>
          </w:tcPr>
          <w:p>
            <w:pPr>
              <w:pStyle w:val="940"/>
            </w:pPr>
            <w:r/>
            <w:r/>
          </w:p>
        </w:tc>
      </w:tr>
    </w:tbl>
    <w:p>
      <w:pPr>
        <w:pStyle w:val="940"/>
        <w:keepNext/>
        <w:spacing w:before="0" w:after="200"/>
        <w:rPr>
          <w:bCs/>
          <w:sz w:val="18"/>
          <w:szCs w:val="18"/>
        </w:rPr>
      </w:pPr>
      <w:r>
        <w:rPr>
          <w:bCs/>
          <w:sz w:val="18"/>
          <w:szCs w:val="18"/>
        </w:rPr>
      </w:r>
      <w:r/>
    </w:p>
    <w:p>
      <w:pPr>
        <w:pStyle w:val="940"/>
        <w:keepLines/>
        <w:keepNext/>
        <w:spacing w:before="200" w:after="0"/>
      </w:pPr>
      <w:r>
        <w:rPr>
          <w:rFonts w:eastAsia="SimSun;宋体"/>
          <w:b/>
          <w:bCs/>
          <w:sz w:val="28"/>
        </w:rPr>
        <w:t xml:space="preserve">5.2. </w:t>
      </w:r>
      <w:r>
        <w:rPr>
          <w:rFonts w:eastAsia="SimSun;宋体"/>
          <w:b/>
          <w:bCs/>
          <w:sz w:val="28"/>
          <w:lang w:val="en-US"/>
        </w:rPr>
        <w:t xml:space="preserve">Предложения в дорожную карту на 2021-2022 учебный год</w:t>
      </w:r>
      <w:r/>
    </w:p>
    <w:p>
      <w:pPr>
        <w:pStyle w:val="940"/>
        <w:ind w:left="567" w:firstLine="0"/>
        <w:jc w:val="both"/>
        <w:keepLines/>
        <w:keepNext/>
        <w:spacing w:before="200" w:after="0"/>
      </w:pPr>
      <w:r>
        <w:rPr>
          <w:rFonts w:eastAsia="SimSun;宋体"/>
          <w:b/>
          <w:bCs/>
          <w:sz w:val="28"/>
        </w:rPr>
        <w:t xml:space="preserve">5.2.1.</w:t>
      </w:r>
      <w:r>
        <w:rPr>
          <w:rFonts w:eastAsia="SimSun;宋体"/>
          <w:bCs/>
          <w:sz w:val="28"/>
        </w:rPr>
        <w:t xml:space="preserve"> </w:t>
      </w:r>
      <w:r>
        <w:rPr>
          <w:rFonts w:eastAsia="SimSun;宋体"/>
          <w:bCs/>
          <w:sz w:val="28"/>
          <w:lang w:val="en-US"/>
        </w:rPr>
        <w:t xml:space="preserve">Повышение квалификации учителей в 2021-2022 уч.</w:t>
      </w:r>
      <w:r>
        <w:rPr>
          <w:rFonts w:eastAsia="SimSun;宋体"/>
          <w:bCs/>
          <w:sz w:val="28"/>
        </w:rPr>
        <w:t xml:space="preserve"> </w:t>
      </w:r>
      <w:r>
        <w:rPr>
          <w:rFonts w:eastAsia="SimSun;宋体"/>
          <w:bCs/>
          <w:sz w:val="28"/>
          <w:lang w:val="en-US"/>
        </w:rPr>
        <w:t xml:space="preserve">г., в том числе учителей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2-15</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75"/>
        <w:gridCol w:w="3175"/>
        <w:gridCol w:w="3084"/>
        <w:gridCol w:w="2825"/>
      </w:tblGrid>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jc w:val="center"/>
              <w:spacing w:before="0" w:after="0"/>
              <w:rPr>
                <w:lang w:eastAsia="en-US"/>
              </w:rPr>
            </w:pPr>
            <w:r>
              <w:rPr>
                <w:lang w:eastAsia="en-US"/>
              </w:rPr>
              <w:t xml:space="preserve">Тема программы ДПО (повышения квалификации)</w:t>
            </w:r>
            <w:r/>
          </w:p>
        </w:tc>
        <w:tc>
          <w:tcPr>
            <w:tcBorders>
              <w:top w:val="single" w:color="000000" w:sz="4" w:space="0"/>
              <w:left w:val="single" w:color="000000" w:sz="4" w:space="0"/>
              <w:bottom w:val="single" w:color="000000" w:sz="4" w:space="0"/>
            </w:tcBorders>
            <w:tcW w:w="3084" w:type="dxa"/>
            <w:textDirection w:val="lrTb"/>
            <w:noWrap w:val="false"/>
          </w:tcPr>
          <w:p>
            <w:pPr>
              <w:pStyle w:val="940"/>
              <w:contextualSpacing/>
              <w:jc w:val="center"/>
              <w:spacing w:before="0" w:after="0"/>
              <w:rPr>
                <w:lang w:eastAsia="en-US"/>
              </w:rPr>
            </w:pPr>
            <w:r>
              <w:rPr>
                <w:lang w:eastAsia="en-US"/>
              </w:rPr>
              <w:t xml:space="preserve">Критерии отбора ОО, учителей для обучения по данной программе (например, ОО с аномально низкими результатами или все учителя по учебному предмету и т.п.)</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jc w:val="center"/>
              <w:spacing w:before="0" w:after="0"/>
              <w:rPr>
                <w:lang w:eastAsia="en-US"/>
              </w:rPr>
            </w:pPr>
            <w:r>
              <w:rPr>
                <w:lang w:eastAsia="en-US"/>
              </w:rPr>
              <w:t xml:space="preserve">Перечень ОО (указать конкретно), учителя которых рекомендуются для обучения по данной программ</w:t>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Проведение комплекса работ с ОО, демонстрирующими стабильно низкие результаты, включающего:</w:t>
            </w:r>
            <w:r/>
          </w:p>
        </w:tc>
        <w:tc>
          <w:tcPr>
            <w:tcBorders>
              <w:top w:val="single" w:color="000000" w:sz="4" w:space="0"/>
              <w:left w:val="single" w:color="000000" w:sz="4" w:space="0"/>
              <w:bottom w:val="single" w:color="000000" w:sz="4" w:space="0"/>
            </w:tcBorders>
            <w:tcW w:w="3084" w:type="dxa"/>
            <w:vMerge w:val="restart"/>
            <w:textDirection w:val="lrTb"/>
            <w:noWrap w:val="false"/>
          </w:tcPr>
          <w:p>
            <w:pPr>
              <w:pStyle w:val="940"/>
              <w:contextualSpacing/>
              <w:spacing w:before="0" w:after="0"/>
              <w:rPr>
                <w:lang w:eastAsia="en-US"/>
              </w:rPr>
            </w:pPr>
            <w:r>
              <w:rPr>
                <w:lang w:eastAsia="en-US"/>
              </w:rPr>
              <w:t xml:space="preserve">Количество ОО - в соответствии со списком, утвержденными министерством образования и науки Астраханской области</w:t>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r>
        <w:trPr/>
        <w:tc>
          <w:tcPr>
            <w:tcBorders>
              <w:top w:val="single" w:color="000000" w:sz="4" w:space="0"/>
              <w:left w:val="single" w:color="000000" w:sz="4" w:space="0"/>
              <w:bottom w:val="single" w:color="000000" w:sz="4" w:space="0"/>
            </w:tcBorders>
            <w:tcW w:w="575" w:type="dxa"/>
            <w:textDirection w:val="lrTb"/>
            <w:noWrap w:val="false"/>
          </w:tcPr>
          <w:p>
            <w:pPr>
              <w:pStyle w:val="940"/>
              <w:contextualSpacing/>
              <w:jc w:val="center"/>
              <w:spacing w:before="0" w:after="0"/>
              <w:rPr>
                <w:lang w:eastAsia="en-US"/>
              </w:rPr>
            </w:pPr>
            <w:r>
              <w:rPr>
                <w:lang w:eastAsia="en-US"/>
              </w:rPr>
              <w:t xml:space="preserve">1.1</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1.2</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1.3</w:t>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r>
            <w:r/>
          </w:p>
          <w:p>
            <w:pPr>
              <w:pStyle w:val="940"/>
              <w:contextualSpacing/>
              <w:jc w:val="center"/>
              <w:spacing w:before="0" w:after="0"/>
              <w:rPr>
                <w:lang w:eastAsia="en-US"/>
              </w:rPr>
            </w:pPr>
            <w:r>
              <w:rPr>
                <w:lang w:eastAsia="en-US"/>
              </w:rPr>
              <w:t xml:space="preserve">1.4</w:t>
            </w:r>
            <w:r/>
          </w:p>
        </w:tc>
        <w:tc>
          <w:tcPr>
            <w:tcBorders>
              <w:top w:val="single" w:color="000000" w:sz="4" w:space="0"/>
              <w:left w:val="single" w:color="000000" w:sz="4" w:space="0"/>
              <w:bottom w:val="single" w:color="000000" w:sz="4" w:space="0"/>
            </w:tcBorders>
            <w:tcW w:w="3175" w:type="dxa"/>
            <w:textDirection w:val="lrTb"/>
            <w:noWrap w:val="false"/>
          </w:tcPr>
          <w:p>
            <w:pPr>
              <w:pStyle w:val="940"/>
              <w:contextualSpacing/>
              <w:spacing w:before="0" w:after="0"/>
              <w:rPr>
                <w:lang w:eastAsia="en-US"/>
              </w:rPr>
            </w:pPr>
            <w:r>
              <w:rPr>
                <w:lang w:eastAsia="en-US"/>
              </w:rPr>
              <w:t xml:space="preserve">Базовую диагностику/уточнение проблематики</w:t>
            </w:r>
            <w:r/>
          </w:p>
          <w:p>
            <w:pPr>
              <w:pStyle w:val="940"/>
              <w:contextualSpacing/>
              <w:spacing w:before="0" w:after="0"/>
              <w:rPr>
                <w:lang w:eastAsia="en-US"/>
              </w:rPr>
            </w:pPr>
            <w:r>
              <w:rPr>
                <w:lang w:eastAsia="en-US"/>
              </w:rPr>
              <w:t xml:space="preserve">Разработка программы  повышения квалификации с учетом результатов диагностики</w:t>
            </w:r>
            <w:r/>
          </w:p>
          <w:p>
            <w:pPr>
              <w:pStyle w:val="940"/>
              <w:contextualSpacing/>
              <w:spacing w:before="0" w:after="0"/>
              <w:rPr>
                <w:lang w:eastAsia="en-US"/>
              </w:rPr>
            </w:pPr>
            <w:r>
              <w:rPr>
                <w:lang w:eastAsia="en-US"/>
              </w:rPr>
              <w:t xml:space="preserve">Реализацию программ повышения квалификации в соответствии с выявленными проблемами, включающими образовательные модули, тренинги</w:t>
            </w:r>
            <w:r/>
          </w:p>
          <w:p>
            <w:pPr>
              <w:pStyle w:val="940"/>
              <w:contextualSpacing/>
              <w:spacing w:before="0" w:after="0"/>
              <w:rPr>
                <w:lang w:eastAsia="en-US"/>
              </w:rPr>
            </w:pPr>
            <w:r>
              <w:rPr>
                <w:lang w:eastAsia="en-US"/>
              </w:rPr>
              <w:t xml:space="preserve">Организация проведения индивидуальных консультаций</w:t>
            </w:r>
            <w:r/>
          </w:p>
        </w:tc>
        <w:tc>
          <w:tcPr>
            <w:tcBorders>
              <w:top w:val="single" w:color="000000" w:sz="4" w:space="0"/>
              <w:left w:val="single" w:color="000000" w:sz="4" w:space="0"/>
              <w:bottom w:val="single" w:color="000000" w:sz="4" w:space="0"/>
            </w:tcBorders>
            <w:tcW w:w="3084" w:type="dxa"/>
            <w:vMerge w:val="continue"/>
            <w:textDirection w:val="lrTb"/>
            <w:noWrap w:val="false"/>
          </w:tcPr>
          <w:p>
            <w:pPr>
              <w:pStyle w:val="940"/>
              <w:contextualSpacing/>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2825" w:type="dxa"/>
            <w:textDirection w:val="lrTb"/>
            <w:noWrap w:val="false"/>
          </w:tcPr>
          <w:p>
            <w:pPr>
              <w:pStyle w:val="940"/>
              <w:contextualSpacing/>
              <w:spacing w:before="0" w:after="0"/>
              <w:rPr>
                <w:lang w:eastAsia="en-US"/>
              </w:rPr>
            </w:pPr>
            <w:r>
              <w:rPr>
                <w:lang w:eastAsia="en-US"/>
              </w:rPr>
            </w:r>
            <w:r/>
          </w:p>
        </w:tc>
      </w:tr>
    </w:tbl>
    <w:p>
      <w:pPr>
        <w:pStyle w:val="940"/>
        <w:keepNext/>
        <w:spacing w:before="0" w:after="200"/>
        <w:rPr>
          <w:bCs/>
          <w:sz w:val="18"/>
          <w:szCs w:val="18"/>
        </w:rPr>
      </w:pPr>
      <w:r>
        <w:rPr>
          <w:bCs/>
          <w:sz w:val="18"/>
          <w:szCs w:val="18"/>
        </w:rPr>
      </w:r>
      <w:r/>
    </w:p>
    <w:p>
      <w:pPr>
        <w:pStyle w:val="940"/>
        <w:ind w:left="567" w:firstLine="0"/>
        <w:jc w:val="both"/>
        <w:keepLines/>
        <w:keepNext/>
        <w:spacing w:before="200" w:after="0"/>
      </w:pPr>
      <w:r>
        <w:rPr>
          <w:rFonts w:eastAsia="SimSun;宋体"/>
          <w:b/>
          <w:bCs/>
          <w:sz w:val="28"/>
        </w:rPr>
        <w:t xml:space="preserve">5.2.2.</w:t>
      </w:r>
      <w:r>
        <w:rPr>
          <w:rFonts w:eastAsia="SimSun;宋体"/>
          <w:bCs/>
          <w:sz w:val="28"/>
        </w:rPr>
        <w:t xml:space="preserve"> </w:t>
      </w:r>
      <w:r>
        <w:rPr>
          <w:rFonts w:eastAsia="SimSun;宋体"/>
          <w:bCs/>
          <w:sz w:val="28"/>
          <w:lang w:val="en-US"/>
        </w:rPr>
        <w:t xml:space="preserve">Планируемые меры методической поддержки изучения учебных предметов в 2021-2022 уч.</w:t>
      </w:r>
      <w:r>
        <w:rPr>
          <w:rFonts w:eastAsia="SimSun;宋体"/>
          <w:bCs/>
          <w:sz w:val="28"/>
        </w:rPr>
        <w:t xml:space="preserve"> </w:t>
      </w:r>
      <w:r>
        <w:rPr>
          <w:rFonts w:eastAsia="SimSun;宋体"/>
          <w:bCs/>
          <w:sz w:val="28"/>
          <w:lang w:val="en-US"/>
        </w:rPr>
        <w:t xml:space="preserve">г. на региональном уровне, в том числе в ОО с аномально низкими результатами ЕГЭ 2021 г.</w:t>
      </w:r>
      <w:r/>
    </w:p>
    <w:p>
      <w:pPr>
        <w:pStyle w:val="940"/>
        <w:jc w:val="right"/>
        <w:keepNext/>
        <w:spacing w:before="0" w:after="200"/>
        <w:rPr>
          <w:bCs/>
          <w:i/>
          <w:sz w:val="18"/>
          <w:szCs w:val="18"/>
        </w:rPr>
      </w:pPr>
      <w:r>
        <w:rPr>
          <w:bCs/>
          <w:i/>
          <w:sz w:val="18"/>
          <w:szCs w:val="18"/>
        </w:rPr>
        <w:t xml:space="preserve">Таблица 2-16</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53"/>
        <w:gridCol w:w="799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Октябрь-ноябрь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открытых заседаний предметных секций рег</w:t>
            </w:r>
            <w:r>
              <w:t xml:space="preserve">ионального учебно-методического объединения с участием председателей предметных комиссий ЕГЭ для обсуждения аналитических материалов по итогам проведения ГИА в 2021 году в формате «профессиональный разговор учителей»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Развитие личностного потенциала обучающегося в условиях перехода на ФГОС – 21 с учетом анализа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1.2</w:t>
            </w:r>
            <w:r/>
          </w:p>
        </w:tc>
        <w:tc>
          <w:tcPr>
            <w:tcBorders>
              <w:top w:val="single" w:color="000000" w:sz="4" w:space="0"/>
              <w:left w:val="single" w:color="000000" w:sz="4" w:space="0"/>
              <w:bottom w:val="single" w:color="000000" w:sz="4" w:space="0"/>
            </w:tcBorders>
            <w:tcW w:w="1153" w:type="dxa"/>
            <w:textDirection w:val="lrTb"/>
            <w:noWrap w:val="false"/>
          </w:tcPr>
          <w:p>
            <w:pPr>
              <w:pStyle w:val="940"/>
              <w:spacing w:before="0" w:after="160" w:line="254" w:lineRule="auto"/>
              <w:rPr>
                <w:lang w:eastAsia="en-US"/>
              </w:rPr>
            </w:pPr>
            <w:r>
              <w:rPr>
                <w:lang w:eastAsia="en-US"/>
              </w:rPr>
              <w:t xml:space="preserve">Август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jc w:val="both"/>
              <w:rPr>
                <w:lang w:eastAsia="en-US"/>
              </w:rPr>
            </w:pPr>
            <w:r>
              <w:rPr>
                <w:lang w:eastAsia="en-US"/>
              </w:rPr>
              <w:t xml:space="preserve">Обновление содержания обучения информатике с учетом нового ФГОС ООО и результатов ГИА </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Ноябрь 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Размещение аналитических материалов и / или методических рекомендаций об общих результатах государственной итоговой аттестации обучающихся в форме ЕГЭ в открытом доступе на ресурсах ГАОУ АО ДПО «Институт развития образования»</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3.</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март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Организаци</w:t>
            </w:r>
            <w:r>
              <w:t xml:space="preserve">я открытых заседаний предметных секций регионального учебно-методического объединения по обучению подходам к подготовке выпускников к ЕГЭ с учетом типичных затруднений, выявленных по итогам проведения ЕГЭ в 2021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4.</w:t>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 2021 – май 2022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Орг</w:t>
            </w:r>
            <w:r>
              <w:t xml:space="preserve">анизация семинаров/вебинаров с участием экспертов и председателей предметных комиссий по обучению подходам к подготовке выпускников к ЕГЭ с учетом типичных затруднений, выявленных по итогам проведения ЕГЭ в 2020 году (по традиционно сложившемуся алгоритму)</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Декабрь</w:t>
            </w:r>
            <w:r/>
          </w:p>
          <w:p>
            <w:pPr>
              <w:pStyle w:val="940"/>
              <w:contextualSpacing/>
              <w:spacing w:before="0" w:after="0"/>
            </w:pPr>
            <w:r>
              <w:t xml:space="preserve">2021</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Совершенствование подготовки обучающихся к ЕГЭ. Семинар/вебинар с Поляковым К.Ю., автором углубленного курса информатики</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sz w:val="22"/>
                <w:szCs w:val="22"/>
                <w:lang w:eastAsia="en-US"/>
              </w:rPr>
            </w:pPr>
            <w:r>
              <w:rPr>
                <w:sz w:val="22"/>
                <w:szCs w:val="22"/>
                <w:lang w:eastAsia="en-US"/>
              </w:rPr>
            </w:r>
            <w:r/>
          </w:p>
        </w:tc>
        <w:tc>
          <w:tcPr>
            <w:tcBorders>
              <w:top w:val="single" w:color="000000" w:sz="4" w:space="0"/>
              <w:left w:val="single" w:color="000000" w:sz="4" w:space="0"/>
              <w:bottom w:val="single" w:color="000000" w:sz="4" w:space="0"/>
            </w:tcBorders>
            <w:tcW w:w="1153" w:type="dxa"/>
            <w:textDirection w:val="lrTb"/>
            <w:noWrap w:val="false"/>
          </w:tcPr>
          <w:p>
            <w:pPr>
              <w:pStyle w:val="940"/>
              <w:contextualSpacing/>
              <w:spacing w:before="0" w:after="0"/>
            </w:pPr>
            <w:r>
              <w:t xml:space="preserve">Февраль 202</w:t>
            </w:r>
            <w:r/>
          </w:p>
        </w:tc>
        <w:tc>
          <w:tcPr>
            <w:tcBorders>
              <w:top w:val="single" w:color="000000" w:sz="4" w:space="0"/>
              <w:left w:val="single" w:color="000000" w:sz="4" w:space="0"/>
              <w:bottom w:val="single" w:color="000000" w:sz="4" w:space="0"/>
              <w:right w:val="single" w:color="000000" w:sz="4" w:space="0"/>
            </w:tcBorders>
            <w:tcW w:w="7990" w:type="dxa"/>
            <w:textDirection w:val="lrTb"/>
            <w:noWrap w:val="false"/>
          </w:tcPr>
          <w:p>
            <w:pPr>
              <w:pStyle w:val="940"/>
              <w:contextualSpacing/>
              <w:spacing w:before="0" w:after="0"/>
            </w:pPr>
            <w:r>
              <w:t xml:space="preserve">Проведение совместного семинара с издательством «Бином»  по анонсу учебной литературы по информатике (в т.ч.  по работе с УМК  Босовой Л.Л.)</w:t>
            </w:r>
            <w:r/>
          </w:p>
          <w:p>
            <w:pPr>
              <w:pStyle w:val="940"/>
              <w:contextualSpacing/>
              <w:spacing w:before="0" w:after="0"/>
            </w:pPr>
            <w:r/>
            <w:r/>
          </w:p>
        </w:tc>
      </w:tr>
    </w:tbl>
    <w:p>
      <w:pPr>
        <w:pStyle w:val="940"/>
        <w:keepNext/>
        <w:spacing w:before="0" w:after="200"/>
        <w:rPr>
          <w:bCs/>
          <w:sz w:val="18"/>
          <w:szCs w:val="18"/>
        </w:rPr>
      </w:pPr>
      <w:r>
        <w:rPr>
          <w:bCs/>
          <w:sz w:val="18"/>
          <w:szCs w:val="18"/>
        </w:rPr>
      </w:r>
      <w:r/>
    </w:p>
    <w:p>
      <w:pPr>
        <w:pStyle w:val="940"/>
        <w:ind w:left="567" w:firstLine="0"/>
        <w:keepLines/>
        <w:keepNext/>
        <w:spacing w:before="200" w:after="0"/>
      </w:pPr>
      <w:r>
        <w:rPr>
          <w:rFonts w:eastAsia="SimSun;宋体"/>
          <w:b/>
          <w:bCs/>
          <w:sz w:val="28"/>
        </w:rPr>
        <w:t xml:space="preserve">5.2.3.</w:t>
      </w:r>
      <w:r>
        <w:rPr>
          <w:rFonts w:eastAsia="SimSun;宋体"/>
          <w:bCs/>
          <w:sz w:val="28"/>
        </w:rPr>
        <w:t xml:space="preserve"> </w:t>
      </w:r>
      <w:r>
        <w:rPr>
          <w:rFonts w:eastAsia="SimSun;宋体"/>
          <w:bCs/>
          <w:sz w:val="28"/>
          <w:lang w:val="en-US"/>
        </w:rPr>
        <w:t xml:space="preserve">Планируемые корректирующие диагностические работы с учетом результатов ЕГЭ 2021 г.</w:t>
      </w:r>
      <w:r/>
    </w:p>
    <w:p>
      <w:pPr>
        <w:pStyle w:val="940"/>
        <w:jc w:val="both"/>
      </w:pPr>
      <w:r>
        <w:rPr>
          <w:rFonts w:eastAsia="SimSun;宋体"/>
          <w:bCs/>
        </w:rPr>
        <w:t xml:space="preserve">Не планируются.</w:t>
      </w:r>
      <w:r/>
    </w:p>
    <w:p>
      <w:pPr>
        <w:pStyle w:val="940"/>
        <w:ind w:left="567" w:firstLine="0"/>
        <w:keepLines/>
        <w:keepNext/>
        <w:spacing w:before="200" w:after="0"/>
      </w:pPr>
      <w:r>
        <w:rPr>
          <w:rFonts w:eastAsia="SimSun;宋体"/>
          <w:b/>
          <w:bCs/>
          <w:sz w:val="28"/>
        </w:rPr>
        <w:t xml:space="preserve">5.2.4.</w:t>
      </w:r>
      <w:r>
        <w:rPr>
          <w:rFonts w:eastAsia="SimSun;宋体"/>
          <w:bCs/>
          <w:sz w:val="28"/>
        </w:rPr>
        <w:t xml:space="preserve"> </w:t>
      </w:r>
      <w:r>
        <w:rPr>
          <w:rFonts w:eastAsia="SimSun;宋体"/>
          <w:bCs/>
          <w:sz w:val="28"/>
          <w:lang w:val="en-US"/>
        </w:rPr>
        <w:t xml:space="preserve">Трансляция эффективных педагогических практик ОО с наиболее высокими результатами ЕГЭ 2021 г.</w:t>
      </w:r>
      <w:r/>
    </w:p>
    <w:p>
      <w:pPr>
        <w:pStyle w:val="940"/>
        <w:jc w:val="right"/>
        <w:keepNext/>
        <w:spacing w:before="0" w:after="200"/>
        <w:rPr>
          <w:bCs/>
          <w:i/>
          <w:sz w:val="18"/>
          <w:szCs w:val="18"/>
        </w:rPr>
      </w:pPr>
      <w:r>
        <w:rPr>
          <w:bCs/>
          <w:i/>
          <w:sz w:val="18"/>
          <w:szCs w:val="18"/>
        </w:rPr>
        <w:t xml:space="preserve">Таблица 2-17</w:t>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516"/>
        <w:gridCol w:w="1113"/>
        <w:gridCol w:w="8030"/>
      </w:tblGrid>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jc w:val="center"/>
              <w:spacing w:before="0" w:after="0"/>
              <w:rPr>
                <w:lang w:eastAsia="en-US"/>
              </w:rPr>
            </w:pPr>
            <w:r>
              <w:rPr>
                <w:lang w:eastAsia="en-US"/>
              </w:rPr>
              <w:t xml:space="preserve">Дата</w:t>
            </w:r>
            <w:r/>
          </w:p>
          <w:p>
            <w:pPr>
              <w:pStyle w:val="940"/>
              <w:contextualSpacing/>
              <w:jc w:val="center"/>
              <w:spacing w:before="0" w:after="0"/>
              <w:rPr>
                <w:lang w:eastAsia="en-US"/>
              </w:rPr>
            </w:pPr>
            <w:r>
              <w:rPr>
                <w:lang w:eastAsia="en-US"/>
              </w:rPr>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center"/>
              <w:spacing w:before="0" w:after="0"/>
              <w:rPr>
                <w:lang w:eastAsia="en-US"/>
              </w:rPr>
            </w:pPr>
            <w:r>
              <w:rPr>
                <w:lang w:eastAsia="en-US"/>
              </w:rPr>
              <w:t xml:space="preserve">Мероприятие</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октябрь-апрель</w:t>
            </w:r>
            <w:r/>
          </w:p>
          <w:p>
            <w:pPr>
              <w:pStyle w:val="940"/>
              <w:contextualSpacing/>
              <w:spacing w:before="0" w:after="0"/>
              <w:rPr>
                <w:sz w:val="23"/>
                <w:szCs w:val="23"/>
              </w:rPr>
            </w:pPr>
            <w:r>
              <w:rPr>
                <w:sz w:val="23"/>
                <w:szCs w:val="23"/>
              </w:rPr>
              <w:t xml:space="preserve">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Проведение вебинаров и видеоконференций с участием председателя предметной комиссий ЕГЭ по информатике, а также педагогов из школ с высокими результатами на экзаменах</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1.1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апрель</w:t>
            </w:r>
            <w:r/>
          </w:p>
          <w:p>
            <w:pPr>
              <w:pStyle w:val="940"/>
              <w:contextualSpacing/>
              <w:spacing w:before="0" w:after="0"/>
              <w:rPr>
                <w:sz w:val="23"/>
                <w:szCs w:val="23"/>
              </w:rPr>
            </w:pPr>
            <w:r>
              <w:rPr>
                <w:sz w:val="23"/>
                <w:szCs w:val="23"/>
              </w:rPr>
              <w:t xml:space="preserve">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Опыт работы по обучению информатики  в рамках реализации ФГОС: лучшие практики»</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октябрь 2021- апрель 2022</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Выступления учителей информатики, демонстрирующих стабильно высокие результаты ГИА на семинарах и заседаниях предметных секций регионального учебно-методического объединения с обобщением опыта преподавания информатики и подготовки выпускников к ГИА</w:t>
            </w:r>
            <w:r/>
          </w:p>
        </w:tc>
      </w:tr>
      <w:tr>
        <w:trPr/>
        <w:tc>
          <w:tcPr>
            <w:tcBorders>
              <w:top w:val="single" w:color="000000" w:sz="4" w:space="0"/>
              <w:left w:val="single" w:color="000000" w:sz="4" w:space="0"/>
              <w:bottom w:val="single" w:color="000000" w:sz="4" w:space="0"/>
            </w:tcBorders>
            <w:tcW w:w="516" w:type="dxa"/>
            <w:textDirection w:val="lrTb"/>
            <w:noWrap w:val="false"/>
          </w:tcPr>
          <w:p>
            <w:pPr>
              <w:pStyle w:val="940"/>
              <w:contextualSpacing/>
              <w:jc w:val="center"/>
              <w:spacing w:before="0" w:after="0"/>
              <w:rPr>
                <w:lang w:eastAsia="en-US"/>
              </w:rPr>
            </w:pPr>
            <w:r>
              <w:rPr>
                <w:lang w:eastAsia="en-US"/>
              </w:rPr>
              <w:t xml:space="preserve">2.1</w:t>
            </w:r>
            <w:r/>
          </w:p>
        </w:tc>
        <w:tc>
          <w:tcPr>
            <w:tcBorders>
              <w:top w:val="single" w:color="000000" w:sz="4" w:space="0"/>
              <w:left w:val="single" w:color="000000" w:sz="4" w:space="0"/>
              <w:bottom w:val="single" w:color="000000" w:sz="4" w:space="0"/>
            </w:tcBorders>
            <w:tcW w:w="1113" w:type="dxa"/>
            <w:textDirection w:val="lrTb"/>
            <w:noWrap w:val="false"/>
          </w:tcPr>
          <w:p>
            <w:pPr>
              <w:pStyle w:val="940"/>
              <w:contextualSpacing/>
              <w:spacing w:before="0" w:after="0"/>
              <w:rPr>
                <w:sz w:val="23"/>
                <w:szCs w:val="23"/>
              </w:rPr>
            </w:pPr>
            <w:r>
              <w:rPr>
                <w:sz w:val="23"/>
                <w:szCs w:val="23"/>
              </w:rPr>
              <w:t xml:space="preserve">февраль</w:t>
            </w:r>
            <w:r/>
          </w:p>
          <w:p>
            <w:pPr>
              <w:pStyle w:val="940"/>
              <w:contextualSpacing/>
              <w:spacing w:before="0" w:after="0"/>
              <w:rPr>
                <w:sz w:val="23"/>
                <w:szCs w:val="23"/>
              </w:rPr>
            </w:pPr>
            <w:r>
              <w:rPr>
                <w:sz w:val="23"/>
                <w:szCs w:val="23"/>
              </w:rPr>
              <w:t xml:space="preserve">2021</w:t>
            </w:r>
            <w:r/>
          </w:p>
        </w:tc>
        <w:tc>
          <w:tcPr>
            <w:tcBorders>
              <w:top w:val="single" w:color="000000" w:sz="4" w:space="0"/>
              <w:left w:val="single" w:color="000000" w:sz="4" w:space="0"/>
              <w:bottom w:val="single" w:color="000000" w:sz="4" w:space="0"/>
              <w:right w:val="single" w:color="000000" w:sz="4" w:space="0"/>
            </w:tcBorders>
            <w:tcW w:w="8030" w:type="dxa"/>
            <w:textDirection w:val="lrTb"/>
            <w:noWrap w:val="false"/>
          </w:tcPr>
          <w:p>
            <w:pPr>
              <w:pStyle w:val="940"/>
              <w:contextualSpacing/>
              <w:jc w:val="both"/>
              <w:spacing w:before="0" w:after="60"/>
              <w:rPr>
                <w:sz w:val="23"/>
                <w:szCs w:val="23"/>
              </w:rPr>
            </w:pPr>
            <w:r>
              <w:rPr>
                <w:sz w:val="23"/>
                <w:szCs w:val="23"/>
              </w:rPr>
              <w:t xml:space="preserve">Открытое заседание РУМО секции учителей информатики «ЕГЭ по информатике – 2021. Лучшие практики подготовки к ГИА на основе анализа результатов оценочных работ»</w:t>
            </w:r>
            <w:r/>
          </w:p>
        </w:tc>
      </w:tr>
    </w:tbl>
    <w:p>
      <w:pPr>
        <w:pStyle w:val="940"/>
        <w:keepLines/>
        <w:keepNext/>
        <w:spacing w:before="200" w:after="0"/>
      </w:pPr>
      <w:r>
        <w:rPr>
          <w:rFonts w:eastAsia="Times New Roman"/>
          <w:b/>
          <w:bCs/>
          <w:sz w:val="28"/>
          <w:szCs w:val="28"/>
          <w:lang w:val="en-US"/>
        </w:rPr>
        <w:t xml:space="preserve">  </w:t>
      </w:r>
      <w:r>
        <w:rPr>
          <w:rFonts w:eastAsia="Times New Roman"/>
          <w:bCs/>
          <w:sz w:val="28"/>
          <w:lang w:val="en-US"/>
        </w:rPr>
        <w:t xml:space="preserve">     </w:t>
      </w:r>
      <w:r>
        <w:rPr>
          <w:rFonts w:eastAsia="SimSun;宋体"/>
          <w:b/>
          <w:bCs/>
          <w:sz w:val="28"/>
          <w:lang w:val="en-US"/>
        </w:rPr>
        <w:t xml:space="preserve">5.2.5.</w:t>
      </w:r>
      <w:r>
        <w:rPr>
          <w:rFonts w:eastAsia="SimSun;宋体"/>
          <w:bCs/>
          <w:sz w:val="28"/>
          <w:lang w:val="en-US"/>
        </w:rPr>
        <w:t xml:space="preserve"> Работа по другим направлениям</w:t>
      </w:r>
      <w:r/>
    </w:p>
    <w:p>
      <w:pPr>
        <w:pStyle w:val="940"/>
        <w:jc w:val="both"/>
        <w:keepLines/>
        <w:keepNext/>
        <w:rPr>
          <w:rFonts w:eastAsia="SimSun;宋体"/>
          <w:bCs/>
        </w:rPr>
      </w:pPr>
      <w:r>
        <w:rPr>
          <w:rFonts w:eastAsia="SimSun;宋体"/>
          <w:bCs/>
        </w:rPr>
      </w:r>
      <w:r/>
    </w:p>
    <w:p>
      <w:pPr>
        <w:pStyle w:val="940"/>
        <w:ind w:firstLine="708"/>
        <w:jc w:val="both"/>
        <w:keepLines/>
        <w:keepNext/>
      </w:pPr>
      <w:r>
        <w:rPr>
          <w:rFonts w:eastAsia="SimSun;宋体"/>
          <w:bCs/>
          <w:lang w:val="en-US"/>
        </w:rPr>
        <w:t xml:space="preserve">Работа со школами с низкими результатами  будет продолжена в 2021-2022 году в соответствии с государственным заданием учредителя, определенным распоряжением министерства образования и науки Астраханской области от 30.12.2020</w:t>
      </w:r>
      <w:r>
        <w:rPr>
          <w:rFonts w:eastAsia="SimSun;宋体"/>
          <w:bCs/>
          <w:lang w:val="en-US"/>
        </w:rPr>
        <w:t xml:space="preserve"> № 1279 «Об утверждении государственного задания государственному автономному образовательному учреждению Астраханской области дополнительного профессионального образования «Институт развития образования» на 2021 год и на плановый период 2022 и 2023 годов»</w:t>
      </w:r>
      <w:r>
        <w:rPr>
          <w:rFonts w:eastAsia="SimSun;宋体"/>
          <w:bCs/>
        </w:rPr>
        <w:t xml:space="preserve">.</w:t>
      </w:r>
      <w:r/>
    </w:p>
    <w:p>
      <w:pPr>
        <w:pStyle w:val="940"/>
        <w:jc w:val="center"/>
        <w:keepLines/>
        <w:keepNext/>
        <w:spacing w:before="480" w:after="0"/>
        <w:rPr>
          <w:rFonts w:eastAsia="SimSun;宋体"/>
          <w:b/>
          <w:bCs/>
          <w:sz w:val="28"/>
          <w:szCs w:val="28"/>
          <w:lang w:val="en-US"/>
        </w:rPr>
      </w:pPr>
      <w:r>
        <w:rPr>
          <w:rFonts w:eastAsia="SimSun;宋体"/>
          <w:b/>
          <w:bCs/>
          <w:sz w:val="28"/>
          <w:szCs w:val="28"/>
          <w:lang w:val="en-US"/>
        </w:rPr>
        <w:t xml:space="preserve">СОСТАВИТЕЛИ ОТЧЕТА: </w:t>
      </w:r>
      <w:r/>
    </w:p>
    <w:p>
      <w:pPr>
        <w:pStyle w:val="940"/>
        <w:ind w:right="-284" w:firstLine="0"/>
        <w:jc w:val="center"/>
        <w:spacing w:line="360" w:lineRule="auto"/>
        <w:rPr>
          <w:sz w:val="28"/>
          <w:szCs w:val="28"/>
        </w:rPr>
      </w:pPr>
      <w:r>
        <w:rPr>
          <w:sz w:val="28"/>
          <w:szCs w:val="28"/>
        </w:rPr>
        <w:t xml:space="preserve">Наименование организации, проводящей анализ результатов ЕГЭ </w:t>
      </w:r>
      <w:r/>
    </w:p>
    <w:p>
      <w:pPr>
        <w:pStyle w:val="940"/>
        <w:ind w:right="-284" w:firstLine="0"/>
        <w:jc w:val="center"/>
        <w:spacing w:line="360" w:lineRule="auto"/>
        <w:rPr>
          <w:u w:val="single"/>
        </w:rPr>
      </w:pPr>
      <w:r>
        <w:rPr>
          <w:sz w:val="28"/>
          <w:szCs w:val="28"/>
        </w:rPr>
        <w:t xml:space="preserve">по предмету «Информатика и ИКТ»</w:t>
      </w:r>
      <w:r/>
    </w:p>
    <w:p>
      <w:pPr>
        <w:pStyle w:val="940"/>
        <w:ind w:right="-1" w:firstLine="708"/>
        <w:spacing w:line="360" w:lineRule="auto"/>
        <w:rPr>
          <w:sz w:val="28"/>
          <w:szCs w:val="28"/>
          <w:u w:val="single"/>
        </w:rPr>
      </w:pPr>
      <w:r>
        <w:rPr>
          <w:sz w:val="28"/>
          <w:szCs w:val="28"/>
          <w:u w:val="single"/>
        </w:rPr>
      </w:r>
      <w:r/>
    </w:p>
    <w:p>
      <w:pPr>
        <w:pStyle w:val="940"/>
        <w:ind w:right="-1" w:firstLine="708"/>
        <w:jc w:val="both"/>
        <w:spacing w:line="360" w:lineRule="auto"/>
        <w:rPr>
          <w:sz w:val="28"/>
          <w:szCs w:val="28"/>
        </w:rPr>
      </w:pPr>
      <w:r>
        <w:rPr>
          <w:sz w:val="28"/>
          <w:szCs w:val="28"/>
        </w:rPr>
        <w:t xml:space="preserve">Министерство образования и науки Астраханской области, ГАОУ АО ДПО «Институт развития образования», ГБУ АО «Центр мониторинга                       в образовании»</w:t>
      </w:r>
      <w:r/>
    </w:p>
    <w:p>
      <w:pPr>
        <w:pStyle w:val="940"/>
        <w:ind w:right="-284" w:firstLine="0"/>
        <w:jc w:val="center"/>
        <w:rPr>
          <w:sz w:val="28"/>
          <w:szCs w:val="28"/>
        </w:rPr>
      </w:pPr>
      <w:r>
        <w:rPr>
          <w:sz w:val="28"/>
          <w:szCs w:val="28"/>
        </w:rPr>
      </w:r>
      <w:r/>
    </w:p>
    <w:p>
      <w:pPr>
        <w:pStyle w:val="940"/>
        <w:ind w:right="-284" w:firstLine="0"/>
        <w:jc w:val="center"/>
        <w:rPr>
          <w:sz w:val="28"/>
          <w:szCs w:val="28"/>
        </w:rPr>
      </w:pPr>
      <w:r>
        <w:rPr>
          <w:sz w:val="28"/>
          <w:szCs w:val="28"/>
        </w:rPr>
      </w:r>
      <w:r/>
    </w:p>
    <w:p>
      <w:pPr>
        <w:pStyle w:val="940"/>
        <w:ind w:right="-284" w:firstLine="0"/>
        <w:jc w:val="center"/>
        <w:rPr>
          <w:sz w:val="28"/>
          <w:szCs w:val="28"/>
        </w:rPr>
      </w:pPr>
      <w:r>
        <w:rPr>
          <w:sz w:val="28"/>
          <w:szCs w:val="28"/>
        </w:rPr>
      </w:r>
      <w:r/>
    </w:p>
    <w:p>
      <w:pPr>
        <w:pStyle w:val="940"/>
        <w:ind w:right="-284" w:firstLine="0"/>
        <w:jc w:val="center"/>
        <w:rPr>
          <w:sz w:val="28"/>
          <w:szCs w:val="28"/>
        </w:rPr>
      </w:pPr>
      <w:r>
        <w:rPr>
          <w:sz w:val="28"/>
          <w:szCs w:val="28"/>
        </w:rPr>
      </w:r>
      <w:r/>
    </w:p>
    <w:tbl>
      <w:tblPr>
        <w:tblW w:w="9659" w:type="dxa"/>
        <w:tblInd w:w="-5" w:type="dxa"/>
        <w:tblLayout w:type="fixed"/>
        <w:tblCellMar>
          <w:left w:w="108" w:type="dxa"/>
          <w:top w:w="0" w:type="dxa"/>
          <w:right w:w="108" w:type="dxa"/>
          <w:bottom w:w="0" w:type="dxa"/>
        </w:tblCellMar>
        <w:tblLook w:val="04A0" w:firstRow="1" w:lastRow="0" w:firstColumn="1" w:lastColumn="0" w:noHBand="0" w:noVBand="1"/>
      </w:tblPr>
      <w:tblGrid>
        <w:gridCol w:w="396"/>
        <w:gridCol w:w="3055"/>
        <w:gridCol w:w="2993"/>
        <w:gridCol w:w="3215"/>
      </w:tblGrid>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
                <w:iCs/>
              </w:rPr>
            </w:pPr>
            <w:r>
              <w:rPr>
                <w:i/>
                <w:iCs/>
              </w:rPr>
              <w:t xml:space="preserve">Ответственный специалист, выполнявший анализ результатов ЕГЭ по предмету</w:t>
            </w:r>
            <w:r/>
          </w:p>
        </w:tc>
        <w:tc>
          <w:tcPr>
            <w:tcBorders>
              <w:top w:val="single" w:color="000000" w:sz="4" w:space="0"/>
              <w:left w:val="single" w:color="000000" w:sz="4" w:space="0"/>
              <w:bottom w:val="single" w:color="000000" w:sz="4" w:space="0"/>
            </w:tcBorders>
            <w:tcW w:w="2993"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Cs/>
              </w:rPr>
            </w:pPr>
            <w:r>
              <w:rPr>
                <w:iCs/>
              </w:rPr>
              <w:t xml:space="preserve">Председатель предметной </w:t>
            </w:r>
            <w:r/>
          </w:p>
          <w:p>
            <w:pPr>
              <w:pStyle w:val="940"/>
              <w:jc w:val="both"/>
              <w:rPr>
                <w:iCs/>
              </w:rPr>
            </w:pPr>
            <w:r>
              <w:rPr>
                <w:iCs/>
              </w:rPr>
              <w:t xml:space="preserve">комиссии</w:t>
            </w:r>
            <w:r/>
          </w:p>
        </w:tc>
        <w:tc>
          <w:tcPr>
            <w:tcBorders>
              <w:top w:val="single" w:color="000000" w:sz="4" w:space="0"/>
              <w:left w:val="single" w:color="000000" w:sz="4" w:space="0"/>
              <w:bottom w:val="single" w:color="000000" w:sz="4" w:space="0"/>
            </w:tcBorders>
            <w:tcW w:w="2993" w:type="dxa"/>
            <w:textDirection w:val="lrTb"/>
            <w:noWrap w:val="false"/>
          </w:tcPr>
          <w:p>
            <w:pPr>
              <w:pStyle w:val="940"/>
            </w:pPr>
            <w:r>
              <w:rPr>
                <w:iCs/>
              </w:rPr>
              <w:t xml:space="preserve">Касаткина  Татьяна Юрьевна, МБОУ                          г. Астрахани «Гимназия      № 4», учитель информатики, ФГБОУ ВО «Астраханский государственный университет», старший преподаватель кафедр информатики                           и прикладной математики</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pPr>
            <w:r>
              <w:rPr>
                <w:iCs/>
              </w:rPr>
              <w:t xml:space="preserve">Учебный предмет «Информатика и ИКТ»</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
                <w:iCs/>
              </w:rPr>
            </w:pPr>
            <w:r>
              <w:rPr>
                <w:i/>
                <w:iCs/>
              </w:rPr>
              <w:t xml:space="preserve">Специалисты, привлекаемые к анализу результатов ЕГЭ по предмету</w:t>
            </w:r>
            <w:r/>
          </w:p>
        </w:tc>
        <w:tc>
          <w:tcPr>
            <w:tcBorders>
              <w:top w:val="single" w:color="000000" w:sz="4" w:space="0"/>
              <w:left w:val="single" w:color="000000" w:sz="4" w:space="0"/>
              <w:bottom w:val="single" w:color="000000" w:sz="4" w:space="0"/>
            </w:tcBorders>
            <w:tcW w:w="2993" w:type="dxa"/>
            <w:textDirection w:val="lrTb"/>
            <w:noWrap w:val="false"/>
          </w:tcPr>
          <w:p>
            <w:pPr>
              <w:pStyle w:val="940"/>
              <w:jc w:val="both"/>
              <w:rPr>
                <w:i/>
                <w:iCs/>
              </w:rPr>
            </w:pPr>
            <w:r>
              <w:rPr>
                <w:i/>
                <w:iCs/>
              </w:rPr>
              <w:t xml:space="preserve">ФИО, место работы, должность, ученая степень, ученое звание</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rPr>
            </w:pPr>
            <w:r>
              <w:rPr>
                <w:i/>
                <w:iCs/>
              </w:rPr>
              <w:t xml:space="preserve">Принадлежность специалиста к региональной ПК по предмету (при наличии)</w:t>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1.</w:t>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
                <w:iCs/>
              </w:rPr>
            </w:pPr>
            <w:r>
              <w:rPr>
                <w:i/>
                <w:iCs/>
              </w:rPr>
            </w:r>
            <w:r/>
          </w:p>
        </w:tc>
        <w:tc>
          <w:tcPr>
            <w:tcBorders>
              <w:top w:val="single" w:color="000000" w:sz="4" w:space="0"/>
              <w:left w:val="single" w:color="000000" w:sz="4" w:space="0"/>
              <w:bottom w:val="single" w:color="000000" w:sz="4" w:space="0"/>
            </w:tcBorders>
            <w:tcW w:w="2993" w:type="dxa"/>
            <w:textDirection w:val="lrTb"/>
            <w:noWrap w:val="false"/>
          </w:tcPr>
          <w:p>
            <w:pPr>
              <w:pStyle w:val="940"/>
              <w:rPr>
                <w:iCs/>
              </w:rPr>
            </w:pPr>
            <w:r>
              <w:rPr>
                <w:iCs/>
              </w:rPr>
              <w:t xml:space="preserve">Ли Ирина Георгиевна,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начальник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2.</w:t>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pPr>
            <w:r/>
            <w:r/>
          </w:p>
        </w:tc>
        <w:tc>
          <w:tcPr>
            <w:tcBorders>
              <w:top w:val="single" w:color="000000" w:sz="4" w:space="0"/>
              <w:left w:val="single" w:color="000000" w:sz="4" w:space="0"/>
              <w:bottom w:val="single" w:color="000000" w:sz="4" w:space="0"/>
            </w:tcBorders>
            <w:tcW w:w="2993" w:type="dxa"/>
            <w:textDirection w:val="lrTb"/>
            <w:noWrap w:val="false"/>
          </w:tcPr>
          <w:p>
            <w:pPr>
              <w:pStyle w:val="940"/>
              <w:rPr>
                <w:iCs/>
              </w:rPr>
            </w:pPr>
            <w:r>
              <w:rPr>
                <w:iCs/>
              </w:rPr>
              <w:t xml:space="preserve">Рычин Иван Константинович, </w:t>
            </w:r>
            <w:r/>
          </w:p>
          <w:p>
            <w:pPr>
              <w:pStyle w:val="940"/>
              <w:rPr>
                <w:iCs/>
              </w:rPr>
            </w:pPr>
            <w:r>
              <w:rPr>
                <w:iCs/>
              </w:rPr>
              <w:t xml:space="preserve">министерство образования                 </w:t>
            </w:r>
            <w:r/>
          </w:p>
          <w:p>
            <w:pPr>
              <w:pStyle w:val="940"/>
              <w:rPr>
                <w:iCs/>
              </w:rPr>
            </w:pPr>
            <w:r>
              <w:rPr>
                <w:iCs/>
              </w:rPr>
              <w:t xml:space="preserve">и науки Астраханской </w:t>
            </w:r>
            <w:r/>
          </w:p>
          <w:p>
            <w:pPr>
              <w:pStyle w:val="940"/>
              <w:rPr>
                <w:iCs/>
              </w:rPr>
            </w:pPr>
            <w:r>
              <w:rPr>
                <w:iCs/>
              </w:rPr>
              <w:t xml:space="preserve">области, заместитель </w:t>
            </w:r>
            <w:r/>
          </w:p>
          <w:p>
            <w:pPr>
              <w:pStyle w:val="940"/>
              <w:rPr>
                <w:iCs/>
              </w:rPr>
            </w:pPr>
            <w:r>
              <w:rPr>
                <w:iCs/>
              </w:rPr>
              <w:t xml:space="preserve">начальника отдела </w:t>
            </w:r>
            <w:r/>
          </w:p>
          <w:p>
            <w:pPr>
              <w:pStyle w:val="940"/>
              <w:rPr>
                <w:iCs/>
              </w:rPr>
            </w:pPr>
            <w:r>
              <w:rPr>
                <w:iCs/>
              </w:rPr>
              <w:t xml:space="preserve">организации государственной </w:t>
            </w:r>
            <w:r/>
          </w:p>
          <w:p>
            <w:pPr>
              <w:pStyle w:val="940"/>
              <w:rPr>
                <w:iCs/>
              </w:rPr>
            </w:pPr>
            <w:r>
              <w:rPr>
                <w:iCs/>
              </w:rPr>
              <w:t xml:space="preserve">итоговой аттестации                           </w:t>
            </w:r>
            <w:r/>
          </w:p>
          <w:p>
            <w:pPr>
              <w:pStyle w:val="940"/>
              <w:rPr>
                <w:iCs/>
              </w:rPr>
            </w:pPr>
            <w:r>
              <w:rPr>
                <w:iCs/>
              </w:rPr>
              <w:t xml:space="preserve">и мониторинговых </w:t>
            </w:r>
            <w:r/>
          </w:p>
          <w:p>
            <w:pPr>
              <w:pStyle w:val="940"/>
              <w:rPr>
                <w:iCs/>
              </w:rPr>
            </w:pPr>
            <w:r>
              <w:rPr>
                <w:iCs/>
              </w:rPr>
              <w:t xml:space="preserve">исследований качества </w:t>
            </w:r>
            <w:r/>
          </w:p>
          <w:p>
            <w:pPr>
              <w:pStyle w:val="940"/>
              <w:rPr>
                <w:iCs/>
              </w:rPr>
            </w:pPr>
            <w:r>
              <w:rPr>
                <w:iCs/>
              </w:rPr>
              <w:t xml:space="preserve">образования управления </w:t>
            </w:r>
            <w:r/>
          </w:p>
          <w:p>
            <w:pPr>
              <w:pStyle w:val="940"/>
              <w:rPr>
                <w:iCs/>
              </w:rPr>
            </w:pPr>
            <w:r>
              <w:rPr>
                <w:iCs/>
              </w:rPr>
              <w:t xml:space="preserve">контрольно-надзорной деятельности и оценки </w:t>
            </w:r>
            <w:r/>
          </w:p>
          <w:p>
            <w:pPr>
              <w:pStyle w:val="940"/>
              <w:rPr>
                <w:iCs/>
              </w:rPr>
            </w:pPr>
            <w:r>
              <w:rPr>
                <w:iCs/>
              </w:rPr>
              <w:t xml:space="preserve">качества образования</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3.</w:t>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93" w:type="dxa"/>
            <w:textDirection w:val="lrTb"/>
            <w:noWrap w:val="false"/>
          </w:tcPr>
          <w:p>
            <w:pPr>
              <w:pStyle w:val="940"/>
              <w:rPr>
                <w:iCs/>
              </w:rPr>
            </w:pPr>
            <w:r>
              <w:rPr>
                <w:iCs/>
              </w:rPr>
              <w:t xml:space="preserve">Мясоедова Елена </w:t>
            </w:r>
            <w:r/>
          </w:p>
          <w:p>
            <w:pPr>
              <w:pStyle w:val="940"/>
              <w:rPr>
                <w:iCs/>
              </w:rPr>
            </w:pPr>
            <w:r>
              <w:rPr>
                <w:iCs/>
              </w:rPr>
              <w:t xml:space="preserve">Анатольевна, ГАОУ АО ДПО «Институт развития </w:t>
            </w:r>
            <w:r/>
          </w:p>
          <w:p>
            <w:pPr>
              <w:pStyle w:val="940"/>
            </w:pPr>
            <w:r>
              <w:rPr>
                <w:iCs/>
              </w:rPr>
              <w:t xml:space="preserve">образования», директор               </w:t>
            </w:r>
            <w:r/>
          </w:p>
          <w:p>
            <w:pPr>
              <w:pStyle w:val="940"/>
              <w:rPr>
                <w:iCs/>
              </w:rPr>
            </w:pPr>
            <w:r>
              <w:rPr>
                <w:iCs/>
              </w:rPr>
              <w:t xml:space="preserve">по реализации публичных </w:t>
            </w:r>
            <w:r/>
          </w:p>
          <w:p>
            <w:pPr>
              <w:pStyle w:val="940"/>
            </w:pPr>
            <w:r>
              <w:rPr>
                <w:iCs/>
              </w:rPr>
              <w:t xml:space="preserve">программ, к.п.н., доцент</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highlight w:val="yellow"/>
              </w:rPr>
            </w:pPr>
            <w:r>
              <w:rPr>
                <w:i/>
                <w:iCs/>
                <w:highlight w:val="yellow"/>
              </w:rPr>
            </w:r>
            <w:r/>
          </w:p>
        </w:tc>
      </w:tr>
      <w:tr>
        <w:trPr/>
        <w:tc>
          <w:tcPr>
            <w:tcBorders>
              <w:top w:val="single" w:color="000000" w:sz="4" w:space="0"/>
              <w:left w:val="single" w:color="000000" w:sz="4" w:space="0"/>
              <w:bottom w:val="single" w:color="000000" w:sz="4" w:space="0"/>
            </w:tcBorders>
            <w:tcW w:w="396" w:type="dxa"/>
            <w:textDirection w:val="lrTb"/>
            <w:noWrap w:val="false"/>
          </w:tcPr>
          <w:p>
            <w:pPr>
              <w:pStyle w:val="940"/>
              <w:jc w:val="both"/>
              <w:rPr>
                <w:iCs/>
              </w:rPr>
            </w:pPr>
            <w:r>
              <w:rPr>
                <w:iCs/>
              </w:rPr>
              <w:t xml:space="preserve">4.</w:t>
            </w:r>
            <w:r/>
          </w:p>
        </w:tc>
        <w:tc>
          <w:tcPr>
            <w:tcBorders>
              <w:top w:val="single" w:color="000000" w:sz="4" w:space="0"/>
              <w:left w:val="single" w:color="000000" w:sz="4" w:space="0"/>
              <w:bottom w:val="single" w:color="000000" w:sz="4" w:space="0"/>
            </w:tcBorders>
            <w:tcW w:w="3055" w:type="dxa"/>
            <w:textDirection w:val="lrTb"/>
            <w:noWrap w:val="false"/>
          </w:tcPr>
          <w:p>
            <w:pPr>
              <w:pStyle w:val="940"/>
              <w:jc w:val="both"/>
              <w:rPr>
                <w:iCs/>
              </w:rPr>
            </w:pPr>
            <w:r>
              <w:rPr>
                <w:iCs/>
              </w:rPr>
            </w:r>
            <w:r/>
          </w:p>
        </w:tc>
        <w:tc>
          <w:tcPr>
            <w:tcBorders>
              <w:top w:val="single" w:color="000000" w:sz="4" w:space="0"/>
              <w:left w:val="single" w:color="000000" w:sz="4" w:space="0"/>
              <w:bottom w:val="single" w:color="000000" w:sz="4" w:space="0"/>
            </w:tcBorders>
            <w:tcW w:w="2993" w:type="dxa"/>
            <w:textDirection w:val="lrTb"/>
            <w:noWrap w:val="false"/>
          </w:tcPr>
          <w:p>
            <w:pPr>
              <w:pStyle w:val="940"/>
              <w:rPr>
                <w:iCs/>
              </w:rPr>
            </w:pPr>
            <w:r>
              <w:rPr>
                <w:iCs/>
              </w:rPr>
              <w:t xml:space="preserve">Мальманова Роза Алимгалиевна, ГБУ АО «Центр мониторинга                      в образовании», начальник отдела сопровождения государственной итоговой аттестации</w:t>
            </w:r>
            <w:r/>
          </w:p>
        </w:tc>
        <w:tc>
          <w:tcPr>
            <w:tcBorders>
              <w:top w:val="single" w:color="000000" w:sz="4" w:space="0"/>
              <w:left w:val="single" w:color="000000" w:sz="4" w:space="0"/>
              <w:bottom w:val="single" w:color="000000" w:sz="4" w:space="0"/>
              <w:right w:val="single" w:color="000000" w:sz="4" w:space="0"/>
            </w:tcBorders>
            <w:tcW w:w="3215" w:type="dxa"/>
            <w:textDirection w:val="lrTb"/>
            <w:noWrap w:val="false"/>
          </w:tcPr>
          <w:p>
            <w:pPr>
              <w:pStyle w:val="940"/>
              <w:jc w:val="both"/>
              <w:rPr>
                <w:i/>
                <w:iCs/>
                <w:highlight w:val="yellow"/>
              </w:rPr>
            </w:pPr>
            <w:r>
              <w:rPr>
                <w:i/>
                <w:iCs/>
                <w:highlight w:val="yellow"/>
              </w:rPr>
            </w:r>
            <w:r/>
          </w:p>
        </w:tc>
      </w:tr>
    </w:tbl>
    <w:p>
      <w:pPr>
        <w:pStyle w:val="940"/>
      </w:pPr>
      <w:r/>
      <w:r/>
    </w:p>
    <w:p>
      <w:pPr>
        <w:pStyle w:val="940"/>
      </w:pPr>
      <w:r/>
      <w:r/>
    </w:p>
    <w:p>
      <w:pPr>
        <w:pStyle w:val="940"/>
      </w:pPr>
      <w:r/>
      <w:r/>
    </w:p>
    <w:p>
      <w:pPr>
        <w:pStyle w:val="940"/>
      </w:pPr>
      <w:r/>
      <w:r/>
    </w:p>
    <w:p>
      <w:pPr>
        <w:pStyle w:val="940"/>
      </w:pPr>
      <w:r/>
      <w:r/>
    </w:p>
    <w:sectPr>
      <w:footerReference w:type="default" r:id="rId10"/>
      <w:footnotePr>
        <w:numFmt w:val="decimal"/>
      </w:footnotePr>
      <w:endnotePr/>
      <w:type w:val="nextPage"/>
      <w:pgSz w:w="11906" w:h="16838" w:orient="portrait"/>
      <w:pgMar w:top="709" w:right="566" w:bottom="1134" w:left="1701" w:header="0" w:footer="709"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times new roman">
    <w:panose1 w:val="05040102010807070707"/>
  </w:font>
  <w:font w:name="Liberation Serif">
    <w:panose1 w:val="02020603050405020304"/>
  </w:font>
  <w:font w:name="pmingliu;新細明體">
    <w:panose1 w:val="05040102010807070707"/>
  </w:font>
  <w:font w:name="Tahoma">
    <w:panose1 w:val="020B0506030602030204"/>
  </w:font>
  <w:font w:name="Wingdings">
    <w:panose1 w:val="05010000000000000000"/>
  </w:font>
  <w:font w:name="liberation serif;times new roman">
    <w:panose1 w:val="02020603050405020304"/>
  </w:font>
  <w:font w:name="Tempus Sans ITC">
    <w:panose1 w:val="02060603050605020204"/>
  </w:font>
  <w:font w:name="timesnewromanps-italicmt;yu gothic">
    <w:panose1 w:val="05040102010807070707"/>
  </w:font>
  <w:font w:name="ms mincho;ＭＳ 明朝">
    <w:panose1 w:val="05040102010807070707"/>
  </w:font>
  <w:font w:name="Symbol">
    <w:panose1 w:val="05010000000000000000"/>
  </w:font>
  <w:font w:name="Courier New">
    <w:panose1 w:val="02070409020205020404"/>
  </w:font>
  <w:font w:name="Mangal">
    <w:panose1 w:val="02020603050405020304"/>
  </w:font>
  <w:font w:name="simsun;宋体">
    <w:panose1 w:val="05040102010807070707"/>
  </w:font>
  <w:font w:name="Cambria">
    <w:panose1 w:val="02020603050405020304"/>
  </w:font>
  <w:font w:name="Calibri">
    <w:panose1 w:val="020F0502020204030204"/>
  </w:font>
  <w:font w:name="Arial">
    <w:panose1 w:val="020B0604020202020204"/>
  </w:font>
  <w:font w:name="DejaVu Sans">
    <w:panose1 w:val="020B060303080402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w:instrText>
    </w:r>
    <w:r>
      <w:rPr>
        <w:rFonts w:ascii="Times New Roman" w:hAnsi="Times New Roman" w:cs="Times New Roman"/>
        <w:sz w:val="24"/>
      </w:rPr>
      <w:fldChar w:fldCharType="separate"/>
    </w:r>
    <w:r>
      <w:rPr>
        <w:rFonts w:ascii="Times New Roman" w:hAnsi="Times New Roman" w:cs="Times New Roman"/>
        <w:sz w:val="24"/>
      </w:rPr>
      <w:t xml:space="preserve">95</w:t>
    </w:r>
    <w:r>
      <w:rPr>
        <w:rFonts w:ascii="Times New Roman" w:hAnsi="Times New Roman" w:cs="Times New Roman"/>
        <w:sz w:val="24"/>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jc w:val="right"/>
      <w:rPr>
        <w:rFonts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w:instrText>
    </w:r>
    <w:r>
      <w:rPr>
        <w:rFonts w:ascii="Times New Roman" w:hAnsi="Times New Roman" w:cs="Times New Roman"/>
        <w:sz w:val="24"/>
      </w:rPr>
      <w:fldChar w:fldCharType="separate"/>
    </w:r>
    <w:r>
      <w:rPr>
        <w:rFonts w:ascii="Times New Roman" w:hAnsi="Times New Roman" w:cs="Times New Roman"/>
        <w:sz w:val="24"/>
      </w:rPr>
      <w:t xml:space="preserve">457</w:t>
    </w:r>
    <w:r>
      <w:rPr>
        <w:rFonts w:ascii="Times New Roman" w:hAnsi="Times New Roman" w:cs="Times New Roman"/>
        <w:sz w:val="24"/>
      </w:rPr>
      <w:fldChar w:fldCharType="end"/>
    </w:r>
    <w:r/>
  </w:p>
  <w:p>
    <w:pPr>
      <w:pStyle w:val="940"/>
      <w:rPr>
        <w:rFonts w:cs="Times New Roman"/>
        <w:sz w:val="24"/>
      </w:rPr>
    </w:pPr>
    <w:r>
      <w:rPr>
        <w:rFonts w:cs="Times New Roman"/>
        <w:sz w:val="24"/>
      </w:rPr>
    </w:r>
    <w:r/>
  </w:p>
  <w:p>
    <w:pPr>
      <w:pStyle w:val="940"/>
    </w:pPr>
    <w:r/>
    <w:r/>
  </w:p>
  <w:p>
    <w:pPr>
      <w:pStyle w:val="940"/>
    </w:pPr>
    <w:r/>
    <w:r/>
  </w:p>
  <w:p>
    <w:pPr>
      <w:pStyle w:val="94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rPr>
          <w:sz w:val="12"/>
        </w:rPr>
      </w:pPr>
      <w:r>
        <w:separator/>
      </w:r>
      <w:r/>
    </w:p>
  </w:footnote>
  <w:footnote w:type="continuationSeparator" w:id="0">
    <w:p>
      <w:pPr>
        <w:rPr>
          <w:sz w:val="12"/>
        </w:rPr>
      </w:pPr>
      <w:r>
        <w:continuationSeparator/>
      </w:r>
      <w:r/>
    </w:p>
  </w:footnote>
  <w:footnote w:id="2">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3">
    <w:p>
      <w:pPr>
        <w:pStyle w:val="940"/>
        <w:ind w:firstLine="710"/>
        <w:jc w:val="both"/>
        <w:tabs>
          <w:tab w:val="clear" w:pos="708" w:leader="none"/>
          <w:tab w:val="left" w:pos="770" w:leader="none"/>
        </w:tabs>
      </w:pPr>
      <w:r>
        <w:rPr>
          <w:rStyle w:val="1388"/>
        </w:rPr>
        <w:footnoteRef/>
      </w:r>
      <w:r>
        <w:rPr>
          <w:i/>
          <w:sz w:val="20"/>
          <w:szCs w:val="20"/>
        </w:rPr>
        <w:t xml:space="preserve">задание, выполнение которого допускает несколько категорий ответа, каждая из которых оценивается по-разному (например, полностью верный ответ - 2 балла, частично верный ответ - 1 балл, неверный ответ - 0 баллов).</w:t>
      </w:r>
      <w:r/>
    </w:p>
    <w:p>
      <w:pPr>
        <w:pStyle w:val="1401"/>
        <w:rPr>
          <w:i/>
          <w:lang w:val="ru-RU"/>
        </w:rPr>
      </w:pPr>
      <w:r>
        <w:rPr>
          <w:i/>
          <w:lang w:val="ru-RU"/>
        </w:rPr>
      </w:r>
      <w:r/>
    </w:p>
  </w:footnote>
  <w:footnote w:id="4">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5">
    <w:p>
      <w:pPr>
        <w:pStyle w:val="1401"/>
        <w:ind w:left="567" w:firstLine="0"/>
      </w:pPr>
      <w:r>
        <w:rPr>
          <w:rStyle w:val="1388"/>
        </w:rPr>
        <w:t xml:space="preserve">*</w:t>
      </w:r>
      <w:r>
        <w:t xml:space="preserve"> </w:t>
      </w:r>
      <w:r>
        <w:rPr>
          <w:rFonts w:ascii="Times New Roman" w:hAnsi="Times New Roman" w:cs="Times New Roman"/>
          <w:lang w:val="ru-RU"/>
        </w:rPr>
        <w:t xml:space="preserve">без учета экстернов</w:t>
      </w:r>
      <w:r/>
    </w:p>
  </w:footnote>
  <w:footnote w:id="6">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7">
    <w:p>
      <w:pPr>
        <w:pStyle w:val="1401"/>
      </w:pPr>
      <w:r>
        <w:rPr>
          <w:rStyle w:val="1388"/>
        </w:rPr>
        <w:t xml:space="preserve">*</w:t>
      </w:r>
      <w:r>
        <w:rPr>
          <w:rFonts w:ascii="Times New Roman" w:hAnsi="Times New Roman" w:cs="Times New Roman"/>
        </w:rPr>
        <w:t xml:space="preserve"> </w:t>
      </w:r>
      <w:r>
        <w:rPr>
          <w:rFonts w:ascii="Times New Roman" w:hAnsi="Times New Roman" w:cs="Times New Roman"/>
        </w:rPr>
        <w:t xml:space="preserve">без учета экстернов</w:t>
      </w:r>
      <w:r/>
    </w:p>
  </w:footnote>
  <w:footnote w:id="8">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9">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10">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11">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12">
    <w:p>
      <w:pPr>
        <w:pStyle w:val="1401"/>
      </w:pPr>
      <w:r>
        <w:rPr>
          <w:rStyle w:val="1388"/>
        </w:rPr>
        <w:t xml:space="preserve">*</w:t>
      </w:r>
      <w:r>
        <w:t xml:space="preserve"> </w:t>
      </w:r>
      <w:r>
        <w:rPr>
          <w:rFonts w:ascii="Times New Roman" w:hAnsi="Times New Roman" w:cs="Times New Roman"/>
          <w:lang w:val="ru-RU"/>
        </w:rPr>
        <w:t xml:space="preserve">без учета экстернов</w:t>
      </w:r>
      <w:r/>
    </w:p>
  </w:footnote>
  <w:footnote w:id="13">
    <w:p>
      <w:pPr>
        <w:pStyle w:val="1401"/>
      </w:pPr>
      <w:r>
        <w:rPr>
          <w:rStyle w:val="1388"/>
        </w:rPr>
        <w:t xml:space="preserve">*</w:t>
      </w:r>
      <w:r>
        <w:t xml:space="preserve"> </w:t>
      </w:r>
      <w:r>
        <w:rPr>
          <w:rFonts w:ascii="Times New Roman" w:hAnsi="Times New Roman" w:cs="Times New Roman"/>
        </w:rPr>
        <w:t xml:space="preserve">без учета экстернов</w:t>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0" w:firstLine="0"/>
        <w:tabs>
          <w:tab w:val="num" w:pos="0" w:leader="none"/>
        </w:tabs>
      </w:pPr>
    </w:lvl>
    <w:lvl w:ilvl="1">
      <w:start w:val="1"/>
      <w:numFmt w:val="none"/>
      <w:pStyle w:val="942"/>
      <w:isLgl w:val="false"/>
      <w:suff w:val="nothing"/>
      <w:lvlText w:val=""/>
      <w:lvlJc w:val="left"/>
      <w:pPr>
        <w:ind w:left="0" w:firstLine="0"/>
        <w:tabs>
          <w:tab w:val="num" w:pos="0" w:leader="none"/>
        </w:tabs>
      </w:pPr>
      <w:rPr>
        <w:rFonts w:eastAsia="SimSun;宋体"/>
        <w:b/>
        <w:bCs/>
        <w:sz w:val="28"/>
        <w:szCs w:val="28"/>
        <w:lang w:val="en-US"/>
      </w:rPr>
    </w:lvl>
    <w:lvl w:ilvl="2">
      <w:start w:val="1"/>
      <w:numFmt w:val="none"/>
      <w:pStyle w:val="943"/>
      <w:isLgl w:val="false"/>
      <w:suff w:val="nothing"/>
      <w:lvlText w:val=""/>
      <w:lvlJc w:val="left"/>
      <w:pPr>
        <w:ind w:left="0" w:firstLine="0"/>
        <w:tabs>
          <w:tab w:val="num" w:pos="0" w:leader="none"/>
        </w:tabs>
      </w:pPr>
    </w:lvl>
    <w:lvl w:ilvl="3">
      <w:start w:val="1"/>
      <w:numFmt w:val="none"/>
      <w:pStyle w:val="944"/>
      <w:isLgl w:val="false"/>
      <w:suff w:val="nothing"/>
      <w:lvlText w:val=""/>
      <w:lvlJc w:val="left"/>
      <w:pPr>
        <w:ind w:left="0" w:firstLine="0"/>
        <w:tabs>
          <w:tab w:val="num" w:pos="0" w:leader="none"/>
        </w:tabs>
      </w:pPr>
    </w:lvl>
    <w:lvl w:ilvl="4">
      <w:start w:val="1"/>
      <w:numFmt w:val="none"/>
      <w:pStyle w:val="945"/>
      <w:isLgl w:val="false"/>
      <w:suff w:val="nothing"/>
      <w:lvlText w:val=""/>
      <w:lvlJc w:val="left"/>
      <w:pPr>
        <w:ind w:left="0" w:firstLine="0"/>
        <w:tabs>
          <w:tab w:val="num" w:pos="0" w:leader="none"/>
        </w:tabs>
      </w:pPr>
    </w:lvl>
    <w:lvl w:ilvl="5">
      <w:start w:val="1"/>
      <w:numFmt w:val="none"/>
      <w:pStyle w:val="946"/>
      <w:isLgl w:val="false"/>
      <w:suff w:val="nothing"/>
      <w:lvlText w:val=""/>
      <w:lvlJc w:val="left"/>
      <w:pPr>
        <w:ind w:left="0" w:firstLine="0"/>
        <w:tabs>
          <w:tab w:val="num" w:pos="0" w:leader="none"/>
        </w:tabs>
      </w:pPr>
    </w:lvl>
    <w:lvl w:ilvl="6">
      <w:start w:val="1"/>
      <w:numFmt w:val="none"/>
      <w:pStyle w:val="947"/>
      <w:isLgl w:val="false"/>
      <w:suff w:val="nothing"/>
      <w:lvlText w:val=""/>
      <w:lvlJc w:val="left"/>
      <w:pPr>
        <w:ind w:left="0" w:firstLine="0"/>
        <w:tabs>
          <w:tab w:val="num" w:pos="0" w:leader="none"/>
        </w:tabs>
      </w:pPr>
    </w:lvl>
    <w:lvl w:ilvl="7">
      <w:start w:val="1"/>
      <w:numFmt w:val="none"/>
      <w:pStyle w:val="948"/>
      <w:isLgl w:val="false"/>
      <w:suff w:val="nothing"/>
      <w:lvlText w:val=""/>
      <w:lvlJc w:val="left"/>
      <w:pPr>
        <w:ind w:left="0" w:firstLine="0"/>
        <w:tabs>
          <w:tab w:val="num" w:pos="0" w:leader="none"/>
        </w:tabs>
      </w:pPr>
    </w:lvl>
    <w:lvl w:ilvl="8">
      <w:start w:val="1"/>
      <w:numFmt w:val="none"/>
      <w:pStyle w:val="949"/>
      <w:isLgl w:val="false"/>
      <w:suff w:val="nothing"/>
      <w:lvlText w:val=""/>
      <w:lvlJc w:val="left"/>
      <w:pPr>
        <w:ind w:left="0" w:firstLine="0"/>
        <w:tabs>
          <w:tab w:val="num" w:pos="0" w:leader="none"/>
        </w:tabs>
      </w:pPr>
    </w:lvl>
  </w:abstractNum>
  <w:abstractNum w:abstractNumId="1">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9">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
    <w:multiLevelType w:val="hybridMultilevel"/>
    <w:lvl w:ilvl="0">
      <w:start w:val="1"/>
      <w:numFmt w:val="bullet"/>
      <w:isLgl w:val="false"/>
      <w:suff w:val="tab"/>
      <w:lvlText w:val=""/>
      <w:lvlJc w:val="left"/>
      <w:pPr>
        <w:ind w:left="1429" w:hanging="360"/>
        <w:tabs>
          <w:tab w:val="num" w:pos="0" w:leader="none"/>
        </w:tabs>
      </w:pPr>
      <w:rPr>
        <w:rFonts w:ascii="Symbol" w:hAnsi="Symbol" w:cs="Symbol" w:hint="default"/>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2">
    <w:multiLevelType w:val="hybridMultilevel"/>
    <w:lvl w:ilvl="0">
      <w:start w:val="1"/>
      <w:numFmt w:val="bullet"/>
      <w:isLgl w:val="false"/>
      <w:suff w:val="tab"/>
      <w:lvlText w:val=""/>
      <w:lvlJc w:val="left"/>
      <w:pPr>
        <w:ind w:left="1287" w:hanging="360"/>
        <w:tabs>
          <w:tab w:val="num" w:pos="0" w:leader="none"/>
        </w:tabs>
      </w:pPr>
      <w:rPr>
        <w:rFonts w:ascii="Symbol" w:hAnsi="Symbol" w:cs="Symbol" w:hint="default"/>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
    <w:multiLevelType w:val="hybridMultilevel"/>
    <w:lvl w:ilvl="0">
      <w:start w:val="1"/>
      <w:numFmt w:val="bullet"/>
      <w:isLgl w:val="false"/>
      <w:suff w:val="tab"/>
      <w:lvlText w:val="•"/>
      <w:lvlJc w:val="left"/>
      <w:pPr>
        <w:ind w:left="720" w:hanging="360"/>
        <w:tabs>
          <w:tab w:val="num" w:pos="0" w:leader="none"/>
        </w:tabs>
      </w:pPr>
      <w:rPr>
        <w:rFonts w:ascii="Liberation Serif" w:hAnsi="Liberation Serif" w:cs="Liberation Serif" w:hint="default"/>
        <w:lang w:val="ru-RU" w:bidi="ar-SA"/>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6">
    <w:multiLevelType w:val="hybridMultilevel"/>
    <w:lvl w:ilvl="0">
      <w:start w:val="1"/>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rPr>
        <w:b/>
        <w:i w:val="0"/>
        <w:sz w:val="28"/>
        <w:szCs w:val="28"/>
      </w:rPr>
    </w:lvl>
    <w:lvl w:ilvl="2">
      <w:start w:val="1"/>
      <w:numFmt w:val="decimal"/>
      <w:isLgl w:val="false"/>
      <w:suff w:val="tab"/>
      <w:lvlText w:val="%1.%2.%3."/>
      <w:lvlJc w:val="left"/>
      <w:pPr>
        <w:ind w:left="1572" w:hanging="720"/>
        <w:tabs>
          <w:tab w:val="num" w:pos="0" w:leader="none"/>
        </w:tabs>
      </w:pPr>
      <w:rPr>
        <w:b/>
      </w:rPr>
    </w:lvl>
    <w:lvl w:ilvl="3">
      <w:start w:val="1"/>
      <w:numFmt w:val="decimal"/>
      <w:isLgl w:val="false"/>
      <w:suff w:val="tab"/>
      <w:lvlText w:val="%1.%2.%3.%4."/>
      <w:lvlJc w:val="left"/>
      <w:pPr>
        <w:ind w:left="2358" w:hanging="1080"/>
        <w:tabs>
          <w:tab w:val="num" w:pos="0" w:leader="none"/>
        </w:tabs>
      </w:pPr>
    </w:lvl>
    <w:lvl w:ilvl="4">
      <w:start w:val="1"/>
      <w:numFmt w:val="decimal"/>
      <w:isLgl w:val="false"/>
      <w:suff w:val="tab"/>
      <w:lvlText w:val="%1.%2.%3.%4.%5."/>
      <w:lvlJc w:val="left"/>
      <w:pPr>
        <w:ind w:left="2784" w:hanging="1080"/>
        <w:tabs>
          <w:tab w:val="num" w:pos="0" w:leader="none"/>
        </w:tabs>
      </w:pPr>
    </w:lvl>
    <w:lvl w:ilvl="5">
      <w:start w:val="1"/>
      <w:numFmt w:val="decimal"/>
      <w:isLgl w:val="false"/>
      <w:suff w:val="tab"/>
      <w:lvlText w:val="%1.%2.%3.%4.%5.%6."/>
      <w:lvlJc w:val="left"/>
      <w:pPr>
        <w:ind w:left="3570" w:hanging="1440"/>
        <w:tabs>
          <w:tab w:val="num" w:pos="0" w:leader="none"/>
        </w:tabs>
      </w:pPr>
    </w:lvl>
    <w:lvl w:ilvl="6">
      <w:start w:val="1"/>
      <w:numFmt w:val="decimal"/>
      <w:isLgl w:val="false"/>
      <w:suff w:val="tab"/>
      <w:lvlText w:val="%1.%2.%3.%4.%5.%6.%7."/>
      <w:lvlJc w:val="left"/>
      <w:pPr>
        <w:ind w:left="4356" w:hanging="1800"/>
        <w:tabs>
          <w:tab w:val="num" w:pos="0" w:leader="none"/>
        </w:tabs>
      </w:pPr>
    </w:lvl>
    <w:lvl w:ilvl="7">
      <w:start w:val="1"/>
      <w:numFmt w:val="decimal"/>
      <w:isLgl w:val="false"/>
      <w:suff w:val="tab"/>
      <w:lvlText w:val="%1.%2.%3.%4.%5.%6.%7.%8."/>
      <w:lvlJc w:val="left"/>
      <w:pPr>
        <w:ind w:left="4782" w:hanging="1800"/>
        <w:tabs>
          <w:tab w:val="num" w:pos="0" w:leader="none"/>
        </w:tabs>
      </w:pPr>
    </w:lvl>
    <w:lvl w:ilvl="8">
      <w:start w:val="1"/>
      <w:numFmt w:val="decimal"/>
      <w:isLgl w:val="false"/>
      <w:suff w:val="tab"/>
      <w:lvlText w:val="%1.%2.%3.%4.%5.%6.%7.%8.%9."/>
      <w:lvlJc w:val="left"/>
      <w:pPr>
        <w:ind w:left="5568" w:hanging="2160"/>
        <w:tabs>
          <w:tab w:val="num" w:pos="0" w:leader="none"/>
        </w:tabs>
      </w:pPr>
    </w:lvl>
  </w:abstractNum>
  <w:abstractNum w:abstractNumId="17">
    <w:multiLevelType w:val="hybridMultilevel"/>
    <w:lvl w:ilvl="0">
      <w:start w:val="1"/>
      <w:numFmt w:val="bullet"/>
      <w:isLgl w:val="false"/>
      <w:suff w:val="tab"/>
      <w:lvlText w:val="●"/>
      <w:lvlJc w:val="left"/>
      <w:pPr>
        <w:ind w:left="974" w:hanging="356"/>
        <w:tabs>
          <w:tab w:val="num" w:pos="0" w:leader="none"/>
        </w:tabs>
      </w:pPr>
      <w:rPr>
        <w:rFonts w:ascii="Times New Roman" w:hAnsi="Times New Roman" w:cs="Times New Roman" w:hint="default"/>
        <w:b w:val="0"/>
        <w:bCs w:val="0"/>
        <w:i w:val="0"/>
        <w:iCs w:val="0"/>
        <w:sz w:val="24"/>
        <w:szCs w:val="24"/>
        <w:lang w:val="ru-RU" w:bidi="ar-SA" w:eastAsia="zh-CN"/>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b/>
        <w:i w:val="0"/>
        <w:sz w:val="28"/>
        <w:szCs w:val="28"/>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19">
    <w:multiLevelType w:val="hybridMultilevel"/>
    <w:lvl w:ilvl="0">
      <w:start w:val="1"/>
      <w:numFmt w:val="decimal"/>
      <w:isLgl w:val="false"/>
      <w:suff w:val="tab"/>
      <w:lvlText w:val="%1)"/>
      <w:lvlJc w:val="left"/>
      <w:pPr>
        <w:ind w:left="927" w:hanging="360"/>
        <w:tabs>
          <w:tab w:val="num" w:pos="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
    <w:multiLevelType w:val="hybridMultilevel"/>
    <w:lvl w:ilvl="0">
      <w:start w:val="3"/>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1440" w:hanging="720"/>
        <w:tabs>
          <w:tab w:val="num" w:pos="0" w:leader="none"/>
        </w:tabs>
      </w:pPr>
    </w:lvl>
    <w:lvl w:ilvl="2">
      <w:start w:val="1"/>
      <w:numFmt w:val="decimal"/>
      <w:isLgl w:val="false"/>
      <w:suff w:val="tab"/>
      <w:lvlText w:val="%1.%2.%3."/>
      <w:lvlJc w:val="left"/>
      <w:pPr>
        <w:ind w:left="2160" w:hanging="720"/>
        <w:tabs>
          <w:tab w:val="num" w:pos="0" w:leader="none"/>
        </w:tabs>
      </w:pPr>
      <w:rPr>
        <w:b/>
      </w:rPr>
    </w:lvl>
    <w:lvl w:ilvl="3">
      <w:start w:val="1"/>
      <w:numFmt w:val="decimal"/>
      <w:isLgl w:val="false"/>
      <w:suff w:val="tab"/>
      <w:lvlText w:val="%1.%2.%3.%4."/>
      <w:lvlJc w:val="left"/>
      <w:pPr>
        <w:ind w:left="3240" w:hanging="1080"/>
        <w:tabs>
          <w:tab w:val="num" w:pos="0" w:leader="none"/>
        </w:tabs>
      </w:pPr>
    </w:lvl>
    <w:lvl w:ilvl="4">
      <w:start w:val="1"/>
      <w:numFmt w:val="decimal"/>
      <w:isLgl w:val="false"/>
      <w:suff w:val="tab"/>
      <w:lvlText w:val="%1.%2.%3.%4.%5."/>
      <w:lvlJc w:val="left"/>
      <w:pPr>
        <w:ind w:left="3960" w:hanging="1080"/>
        <w:tabs>
          <w:tab w:val="num" w:pos="0" w:leader="none"/>
        </w:tabs>
      </w:pPr>
    </w:lvl>
    <w:lvl w:ilvl="5">
      <w:start w:val="1"/>
      <w:numFmt w:val="decimal"/>
      <w:isLgl w:val="false"/>
      <w:suff w:val="tab"/>
      <w:lvlText w:val="%1.%2.%3.%4.%5.%6."/>
      <w:lvlJc w:val="left"/>
      <w:pPr>
        <w:ind w:left="5040" w:hanging="1440"/>
        <w:tabs>
          <w:tab w:val="num" w:pos="0" w:leader="none"/>
        </w:tabs>
      </w:pPr>
    </w:lvl>
    <w:lvl w:ilvl="6">
      <w:start w:val="1"/>
      <w:numFmt w:val="decimal"/>
      <w:isLgl w:val="false"/>
      <w:suff w:val="tab"/>
      <w:lvlText w:val="%1.%2.%3.%4.%5.%6.%7."/>
      <w:lvlJc w:val="left"/>
      <w:pPr>
        <w:ind w:left="6120" w:hanging="1800"/>
        <w:tabs>
          <w:tab w:val="num" w:pos="0" w:leader="none"/>
        </w:tabs>
      </w:pPr>
    </w:lvl>
    <w:lvl w:ilvl="7">
      <w:start w:val="1"/>
      <w:numFmt w:val="decimal"/>
      <w:isLgl w:val="false"/>
      <w:suff w:val="tab"/>
      <w:lvlText w:val="%1.%2.%3.%4.%5.%6.%7.%8."/>
      <w:lvlJc w:val="left"/>
      <w:pPr>
        <w:ind w:left="6840" w:hanging="1800"/>
        <w:tabs>
          <w:tab w:val="num" w:pos="0" w:leader="none"/>
        </w:tabs>
      </w:pPr>
    </w:lvl>
    <w:lvl w:ilvl="8">
      <w:start w:val="1"/>
      <w:numFmt w:val="decimal"/>
      <w:isLgl w:val="false"/>
      <w:suff w:val="tab"/>
      <w:lvlText w:val="%1.%2.%3.%4.%5.%6.%7.%8.%9."/>
      <w:lvlJc w:val="left"/>
      <w:pPr>
        <w:ind w:left="7920" w:hanging="2160"/>
        <w:tabs>
          <w:tab w:val="num" w:pos="0" w:leader="none"/>
        </w:tabs>
      </w:pPr>
    </w:lvl>
  </w:abstractNum>
  <w:abstractNum w:abstractNumId="21">
    <w:multiLevelType w:val="hybridMultilevel"/>
    <w:lvl w:ilvl="0">
      <w:start w:val="3"/>
      <w:numFmt w:val="decimal"/>
      <w:isLgl w:val="false"/>
      <w:suff w:val="tab"/>
      <w:lvlText w:val="%1."/>
      <w:lvlJc w:val="left"/>
      <w:pPr>
        <w:ind w:left="450" w:hanging="450"/>
        <w:tabs>
          <w:tab w:val="num" w:pos="0" w:leader="none"/>
        </w:tabs>
      </w:pPr>
    </w:lvl>
    <w:lvl w:ilvl="1">
      <w:start w:val="2"/>
      <w:numFmt w:val="decimal"/>
      <w:isLgl w:val="false"/>
      <w:suff w:val="tab"/>
      <w:lvlText w:val="%1.%2."/>
      <w:lvlJc w:val="left"/>
      <w:pPr>
        <w:ind w:left="720" w:hanging="720"/>
        <w:tabs>
          <w:tab w:val="num" w:pos="0" w:leader="none"/>
        </w:tabs>
      </w:pPr>
      <w:rPr>
        <w:i w:val="0"/>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22">
    <w:multiLevelType w:val="hybridMultilevel"/>
    <w:lvl w:ilvl="0">
      <w:start w:val="5"/>
      <w:numFmt w:val="decimal"/>
      <w:isLgl w:val="false"/>
      <w:suff w:val="tab"/>
      <w:lvlText w:val="%1."/>
      <w:lvlJc w:val="left"/>
      <w:pPr>
        <w:ind w:left="450" w:hanging="450"/>
        <w:tabs>
          <w:tab w:val="num" w:pos="0" w:leader="none"/>
        </w:tabs>
      </w:pPr>
    </w:lvl>
    <w:lvl w:ilvl="1">
      <w:start w:val="2"/>
      <w:numFmt w:val="decimal"/>
      <w:isLgl w:val="false"/>
      <w:suff w:val="tab"/>
      <w:lvlText w:val="%1.%2."/>
      <w:lvlJc w:val="left"/>
      <w:pPr>
        <w:ind w:left="720" w:hanging="720"/>
        <w:tabs>
          <w:tab w:val="num" w:pos="0" w:leader="none"/>
        </w:tabs>
      </w:pPr>
    </w:lvl>
    <w:lvl w:ilvl="2">
      <w:start w:val="1"/>
      <w:numFmt w:val="decimal"/>
      <w:isLgl w:val="false"/>
      <w:suff w:val="tab"/>
      <w:lvlText w:val="%1.%2.%3."/>
      <w:lvlJc w:val="left"/>
      <w:pPr>
        <w:ind w:left="7383" w:hanging="720"/>
        <w:tabs>
          <w:tab w:val="num" w:pos="0" w:leader="none"/>
        </w:tabs>
      </w:pPr>
      <w:rPr>
        <w:rFonts w:eastAsia="SimSun;宋体"/>
        <w:b/>
        <w:bCs/>
        <w:sz w:val="28"/>
        <w:szCs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23">
    <w:multiLevelType w:val="hybridMultilevel"/>
    <w:lvl w:ilvl="0">
      <w:start w:val="4"/>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lvl>
    <w:lvl w:ilvl="2">
      <w:start w:val="2"/>
      <w:numFmt w:val="decimal"/>
      <w:isLgl w:val="false"/>
      <w:suff w:val="tab"/>
      <w:lvlText w:val="%1.%2.%3."/>
      <w:lvlJc w:val="left"/>
      <w:pPr>
        <w:ind w:left="720" w:hanging="720"/>
        <w:tabs>
          <w:tab w:val="num" w:pos="708"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24">
    <w:multiLevelType w:val="hybridMultilevel"/>
    <w:lvl w:ilvl="0">
      <w:start w:val="4"/>
      <w:numFmt w:val="decimal"/>
      <w:isLgl w:val="false"/>
      <w:suff w:val="tab"/>
      <w:lvlText w:val="%1."/>
      <w:lvlJc w:val="left"/>
      <w:pPr>
        <w:ind w:left="450" w:hanging="450"/>
        <w:tabs>
          <w:tab w:val="num" w:pos="0" w:leader="none"/>
        </w:tabs>
      </w:pPr>
      <w:rPr>
        <w:rFonts w:eastAsia="SimSun;宋体"/>
        <w:b/>
        <w:bCs/>
        <w:sz w:val="28"/>
        <w:lang w:val="en-US"/>
      </w:rPr>
    </w:lvl>
    <w:lvl w:ilvl="1">
      <w:start w:val="1"/>
      <w:numFmt w:val="decimal"/>
      <w:isLgl w:val="false"/>
      <w:suff w:val="tab"/>
      <w:lvlText w:val="%1.%2."/>
      <w:lvlJc w:val="left"/>
      <w:pPr>
        <w:ind w:left="720" w:hanging="72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440" w:hanging="1440"/>
        <w:tabs>
          <w:tab w:val="num" w:pos="0" w:leader="none"/>
        </w:tabs>
      </w:pPr>
      <w:rPr>
        <w:rFonts w:eastAsia="SimSun;宋体"/>
        <w:b/>
        <w:bCs/>
        <w:sz w:val="28"/>
        <w:lang w:val="en-US"/>
      </w:rPr>
    </w:lvl>
    <w:lvl w:ilvl="6">
      <w:start w:val="1"/>
      <w:numFmt w:val="decimal"/>
      <w:isLgl w:val="false"/>
      <w:suff w:val="tab"/>
      <w:lvlText w:val="%1.%2.%3.%4.%5.%6.%7."/>
      <w:lvlJc w:val="left"/>
      <w:pPr>
        <w:ind w:left="1800" w:hanging="1800"/>
        <w:tabs>
          <w:tab w:val="num" w:pos="0" w:leader="none"/>
        </w:tabs>
      </w:pPr>
      <w:rPr>
        <w:rFonts w:eastAsia="SimSun;宋体"/>
        <w:b/>
        <w:bCs/>
        <w:sz w:val="28"/>
        <w:lang w:val="en-US"/>
      </w:rPr>
    </w:lvl>
    <w:lvl w:ilvl="7">
      <w:start w:val="1"/>
      <w:numFmt w:val="decimal"/>
      <w:isLgl w:val="false"/>
      <w:suff w:val="tab"/>
      <w:lvlText w:val="%1.%2.%3.%4.%5.%6.%7.%8."/>
      <w:lvlJc w:val="left"/>
      <w:pPr>
        <w:ind w:left="1800" w:hanging="1800"/>
        <w:tabs>
          <w:tab w:val="num" w:pos="0" w:leader="none"/>
        </w:tabs>
      </w:pPr>
      <w:rPr>
        <w:rFonts w:eastAsia="SimSun;宋体"/>
        <w:b/>
        <w:bCs/>
        <w:sz w:val="28"/>
        <w:lang w:val="en-US"/>
      </w:rPr>
    </w:lvl>
    <w:lvl w:ilvl="8">
      <w:start w:val="1"/>
      <w:numFmt w:val="decimal"/>
      <w:isLgl w:val="false"/>
      <w:suff w:val="tab"/>
      <w:lvlText w:val="%1.%2.%3.%4.%5.%6.%7.%8.%9."/>
      <w:lvlJc w:val="left"/>
      <w:pPr>
        <w:ind w:left="2160" w:hanging="2160"/>
        <w:tabs>
          <w:tab w:val="num" w:pos="0" w:leader="none"/>
        </w:tabs>
      </w:pPr>
      <w:rPr>
        <w:rFonts w:eastAsia="SimSun;宋体"/>
        <w:b/>
        <w:bCs/>
        <w:sz w:val="28"/>
        <w:lang w:val="en-US"/>
      </w:rPr>
    </w:lvl>
  </w:abstractNum>
  <w:abstractNum w:abstractNumId="25">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b/>
        <w:i w:val="0"/>
        <w:sz w:val="28"/>
        <w:szCs w:val="28"/>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26">
    <w:multiLevelType w:val="hybridMultilevel"/>
    <w:lvl w:ilvl="0">
      <w:start w:val="4"/>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27">
    <w:multiLevelType w:val="hybridMultilevel"/>
    <w:lvl w:ilvl="0">
      <w:start w:val="1"/>
      <w:numFmt w:val="decimal"/>
      <w:isLgl w:val="false"/>
      <w:suff w:val="tab"/>
      <w:lvlText w:val="%1."/>
      <w:lvlJc w:val="left"/>
      <w:pPr>
        <w:ind w:left="1069" w:hanging="360"/>
        <w:tabs>
          <w:tab w:val="num" w:pos="0" w:leader="none"/>
        </w:tabs>
      </w:pPr>
    </w:lvl>
    <w:lvl w:ilvl="1">
      <w:start w:val="1"/>
      <w:numFmt w:val="decimal"/>
      <w:isLgl w:val="false"/>
      <w:suff w:val="tab"/>
      <w:lvlText w:val="%1.%2."/>
      <w:lvlJc w:val="left"/>
      <w:pPr>
        <w:ind w:left="1564" w:hanging="855"/>
        <w:tabs>
          <w:tab w:val="num" w:pos="0" w:leader="none"/>
        </w:tabs>
      </w:pPr>
      <w:rPr>
        <w:b/>
      </w:rPr>
    </w:lvl>
    <w:lvl w:ilvl="2">
      <w:start w:val="2"/>
      <w:numFmt w:val="decimal"/>
      <w:isLgl w:val="false"/>
      <w:suff w:val="tab"/>
      <w:lvlText w:val="%1.%2.%3."/>
      <w:lvlJc w:val="left"/>
      <w:pPr>
        <w:ind w:left="1564" w:hanging="855"/>
        <w:tabs>
          <w:tab w:val="num" w:pos="0" w:leader="none"/>
        </w:tabs>
      </w:pPr>
      <w:rPr>
        <w:b/>
      </w:rPr>
    </w:lvl>
    <w:lvl w:ilvl="3">
      <w:start w:val="1"/>
      <w:numFmt w:val="decimal"/>
      <w:isLgl w:val="false"/>
      <w:suff w:val="tab"/>
      <w:lvlText w:val="%1.%2.%3.%4."/>
      <w:lvlJc w:val="left"/>
      <w:pPr>
        <w:ind w:left="1564" w:hanging="855"/>
        <w:tabs>
          <w:tab w:val="num" w:pos="0" w:leader="none"/>
        </w:tabs>
      </w:pPr>
      <w:rPr>
        <w:b/>
      </w:rPr>
    </w:lvl>
    <w:lvl w:ilvl="4">
      <w:start w:val="1"/>
      <w:numFmt w:val="decimal"/>
      <w:isLgl w:val="false"/>
      <w:suff w:val="tab"/>
      <w:lvlText w:val="%1.%2.%3.%4.%5."/>
      <w:lvlJc w:val="left"/>
      <w:pPr>
        <w:ind w:left="1789" w:hanging="1080"/>
        <w:tabs>
          <w:tab w:val="num" w:pos="0" w:leader="none"/>
        </w:tabs>
      </w:pPr>
      <w:rPr>
        <w:b/>
      </w:rPr>
    </w:lvl>
    <w:lvl w:ilvl="5">
      <w:start w:val="1"/>
      <w:numFmt w:val="decimal"/>
      <w:isLgl w:val="false"/>
      <w:suff w:val="tab"/>
      <w:lvlText w:val="%1.%2.%3.%4.%5.%6."/>
      <w:lvlJc w:val="left"/>
      <w:pPr>
        <w:ind w:left="1789" w:hanging="1080"/>
        <w:tabs>
          <w:tab w:val="num" w:pos="0" w:leader="none"/>
        </w:tabs>
      </w:pPr>
      <w:rPr>
        <w:b/>
      </w:rPr>
    </w:lvl>
    <w:lvl w:ilvl="6">
      <w:start w:val="1"/>
      <w:numFmt w:val="decimal"/>
      <w:isLgl w:val="false"/>
      <w:suff w:val="tab"/>
      <w:lvlText w:val="%1.%2.%3.%4.%5.%6.%7."/>
      <w:lvlJc w:val="left"/>
      <w:pPr>
        <w:ind w:left="2149" w:hanging="1440"/>
        <w:tabs>
          <w:tab w:val="num" w:pos="0" w:leader="none"/>
        </w:tabs>
      </w:pPr>
      <w:rPr>
        <w:b/>
      </w:rPr>
    </w:lvl>
    <w:lvl w:ilvl="7">
      <w:start w:val="1"/>
      <w:numFmt w:val="decimal"/>
      <w:isLgl w:val="false"/>
      <w:suff w:val="tab"/>
      <w:lvlText w:val="%1.%2.%3.%4.%5.%6.%7.%8."/>
      <w:lvlJc w:val="left"/>
      <w:pPr>
        <w:ind w:left="2149" w:hanging="1440"/>
        <w:tabs>
          <w:tab w:val="num" w:pos="0" w:leader="none"/>
        </w:tabs>
      </w:pPr>
      <w:rPr>
        <w:b/>
      </w:rPr>
    </w:lvl>
    <w:lvl w:ilvl="8">
      <w:start w:val="1"/>
      <w:numFmt w:val="decimal"/>
      <w:isLgl w:val="false"/>
      <w:suff w:val="tab"/>
      <w:lvlText w:val="%1.%2.%3.%4.%5.%6.%7.%8.%9."/>
      <w:lvlJc w:val="left"/>
      <w:pPr>
        <w:ind w:left="2509" w:hanging="1800"/>
        <w:tabs>
          <w:tab w:val="num" w:pos="0" w:leader="none"/>
        </w:tabs>
      </w:pPr>
      <w:rPr>
        <w:b/>
      </w:rPr>
    </w:lvl>
  </w:abstractNum>
  <w:abstractNum w:abstractNumId="28">
    <w:multiLevelType w:val="hybridMultilevel"/>
    <w:lvl w:ilvl="0">
      <w:start w:val="4"/>
      <w:numFmt w:val="decimal"/>
      <w:isLgl w:val="false"/>
      <w:suff w:val="tab"/>
      <w:lvlText w:val="%1."/>
      <w:lvlJc w:val="left"/>
      <w:pPr>
        <w:ind w:left="450" w:hanging="450"/>
        <w:tabs>
          <w:tab w:val="num" w:pos="0" w:leader="none"/>
        </w:tabs>
      </w:pPr>
      <w:rPr>
        <w:rFonts w:eastAsia="SimSun;宋体"/>
        <w:b/>
        <w:bCs/>
        <w:sz w:val="28"/>
        <w:lang w:val="en-US"/>
      </w:rPr>
    </w:lvl>
    <w:lvl w:ilvl="1">
      <w:start w:val="1"/>
      <w:numFmt w:val="decimal"/>
      <w:isLgl w:val="false"/>
      <w:suff w:val="tab"/>
      <w:lvlText w:val="%1.%2."/>
      <w:lvlJc w:val="left"/>
      <w:pPr>
        <w:ind w:left="720" w:hanging="72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440" w:hanging="1440"/>
        <w:tabs>
          <w:tab w:val="num" w:pos="0" w:leader="none"/>
        </w:tabs>
      </w:pPr>
      <w:rPr>
        <w:rFonts w:eastAsia="SimSun;宋体"/>
        <w:b/>
        <w:bCs/>
        <w:sz w:val="28"/>
        <w:lang w:val="en-US"/>
      </w:rPr>
    </w:lvl>
    <w:lvl w:ilvl="6">
      <w:start w:val="1"/>
      <w:numFmt w:val="decimal"/>
      <w:isLgl w:val="false"/>
      <w:suff w:val="tab"/>
      <w:lvlText w:val="%1.%2.%3.%4.%5.%6.%7."/>
      <w:lvlJc w:val="left"/>
      <w:pPr>
        <w:ind w:left="1800" w:hanging="1800"/>
        <w:tabs>
          <w:tab w:val="num" w:pos="0" w:leader="none"/>
        </w:tabs>
      </w:pPr>
      <w:rPr>
        <w:rFonts w:eastAsia="SimSun;宋体"/>
        <w:b/>
        <w:bCs/>
        <w:sz w:val="28"/>
        <w:lang w:val="en-US"/>
      </w:rPr>
    </w:lvl>
    <w:lvl w:ilvl="7">
      <w:start w:val="1"/>
      <w:numFmt w:val="decimal"/>
      <w:isLgl w:val="false"/>
      <w:suff w:val="tab"/>
      <w:lvlText w:val="%1.%2.%3.%4.%5.%6.%7.%8."/>
      <w:lvlJc w:val="left"/>
      <w:pPr>
        <w:ind w:left="1800" w:hanging="1800"/>
        <w:tabs>
          <w:tab w:val="num" w:pos="0" w:leader="none"/>
        </w:tabs>
      </w:pPr>
      <w:rPr>
        <w:rFonts w:eastAsia="SimSun;宋体"/>
        <w:b/>
        <w:bCs/>
        <w:sz w:val="28"/>
        <w:lang w:val="en-US"/>
      </w:rPr>
    </w:lvl>
    <w:lvl w:ilvl="8">
      <w:start w:val="1"/>
      <w:numFmt w:val="decimal"/>
      <w:isLgl w:val="false"/>
      <w:suff w:val="tab"/>
      <w:lvlText w:val="%1.%2.%3.%4.%5.%6.%7.%8.%9."/>
      <w:lvlJc w:val="left"/>
      <w:pPr>
        <w:ind w:left="2160" w:hanging="2160"/>
        <w:tabs>
          <w:tab w:val="num" w:pos="0" w:leader="none"/>
        </w:tabs>
      </w:pPr>
      <w:rPr>
        <w:rFonts w:eastAsia="SimSun;宋体"/>
        <w:b/>
        <w:bCs/>
        <w:sz w:val="28"/>
        <w:lang w:val="en-US"/>
      </w:rPr>
    </w:lvl>
  </w:abstractNum>
  <w:abstractNum w:abstractNumId="29">
    <w:multiLevelType w:val="hybridMultilevel"/>
    <w:lvl w:ilvl="0">
      <w:start w:val="4"/>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lvl>
    <w:lvl w:ilvl="2">
      <w:start w:val="2"/>
      <w:numFmt w:val="decimal"/>
      <w:isLgl w:val="false"/>
      <w:suff w:val="tab"/>
      <w:lvlText w:val="%1.%2.%3."/>
      <w:lvlJc w:val="left"/>
      <w:pPr>
        <w:ind w:left="720" w:hanging="720"/>
        <w:tabs>
          <w:tab w:val="num" w:pos="708"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30">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rFonts w:eastAsia="SimSun;宋体"/>
        <w:b/>
        <w:bCs/>
        <w:i w:val="0"/>
        <w:sz w:val="28"/>
        <w:szCs w:val="28"/>
        <w:lang w:val="en-US"/>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31">
    <w:multiLevelType w:val="hybridMultilevel"/>
    <w:lvl w:ilvl="0">
      <w:start w:val="1"/>
      <w:numFmt w:val="decimal"/>
      <w:isLgl w:val="false"/>
      <w:suff w:val="tab"/>
      <w:lvlText w:val="%1."/>
      <w:lvlJc w:val="left"/>
      <w:pPr>
        <w:ind w:left="720" w:hanging="360"/>
        <w:tabs>
          <w:tab w:val="num" w:pos="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sz w:val="24"/>
        <w:szCs w:val="24"/>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
    <w:multiLevelType w:val="hybridMultilevel"/>
    <w:lvl w:ilvl="0">
      <w:start w:val="1"/>
      <w:numFmt w:val="bullet"/>
      <w:isLgl w:val="false"/>
      <w:suff w:val="tab"/>
      <w:lvlText w:val=""/>
      <w:lvlJc w:val="left"/>
      <w:pPr>
        <w:ind w:left="1429" w:hanging="360"/>
        <w:tabs>
          <w:tab w:val="num" w:pos="0" w:leader="none"/>
        </w:tabs>
      </w:pPr>
      <w:rPr>
        <w:rFonts w:ascii="Symbol" w:hAnsi="Symbol" w:cs="Symbol" w:hint="default"/>
        <w:sz w:val="24"/>
        <w:szCs w:val="24"/>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
    <w:multiLevelType w:val="hybridMultilevel"/>
    <w:lvl w:ilvl="0">
      <w:start w:val="5"/>
      <w:numFmt w:val="decimal"/>
      <w:isLgl w:val="false"/>
      <w:suff w:val="tab"/>
      <w:lvlText w:val="%1."/>
      <w:lvlJc w:val="left"/>
      <w:pPr>
        <w:ind w:left="675" w:hanging="675"/>
        <w:tabs>
          <w:tab w:val="num" w:pos="0" w:leader="none"/>
        </w:tabs>
      </w:pPr>
      <w:rPr>
        <w:b w:val="0"/>
      </w:rPr>
    </w:lvl>
    <w:lvl w:ilvl="1">
      <w:start w:val="2"/>
      <w:numFmt w:val="decimal"/>
      <w:isLgl w:val="false"/>
      <w:suff w:val="tab"/>
      <w:lvlText w:val="%1.%2."/>
      <w:lvlJc w:val="left"/>
      <w:pPr>
        <w:ind w:left="720" w:hanging="72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1080" w:hanging="1080"/>
        <w:tabs>
          <w:tab w:val="num" w:pos="0" w:leader="none"/>
        </w:tabs>
      </w:pPr>
      <w:rPr>
        <w:b w:val="0"/>
      </w:rPr>
    </w:lvl>
    <w:lvl w:ilvl="4">
      <w:start w:val="1"/>
      <w:numFmt w:val="decimal"/>
      <w:isLgl w:val="false"/>
      <w:suff w:val="tab"/>
      <w:lvlText w:val="%1.%2.%3.%4.%5."/>
      <w:lvlJc w:val="left"/>
      <w:pPr>
        <w:ind w:left="1080" w:hanging="1080"/>
        <w:tabs>
          <w:tab w:val="num" w:pos="0" w:leader="none"/>
        </w:tabs>
      </w:pPr>
      <w:rPr>
        <w:b w:val="0"/>
      </w:rPr>
    </w:lvl>
    <w:lvl w:ilvl="5">
      <w:start w:val="1"/>
      <w:numFmt w:val="decimal"/>
      <w:isLgl w:val="false"/>
      <w:suff w:val="tab"/>
      <w:lvlText w:val="%1.%2.%3.%4.%5.%6."/>
      <w:lvlJc w:val="left"/>
      <w:pPr>
        <w:ind w:left="1440" w:hanging="1440"/>
        <w:tabs>
          <w:tab w:val="num" w:pos="0" w:leader="none"/>
        </w:tabs>
      </w:pPr>
      <w:rPr>
        <w:b w:val="0"/>
      </w:rPr>
    </w:lvl>
    <w:lvl w:ilvl="6">
      <w:start w:val="1"/>
      <w:numFmt w:val="decimal"/>
      <w:isLgl w:val="false"/>
      <w:suff w:val="tab"/>
      <w:lvlText w:val="%1.%2.%3.%4.%5.%6.%7."/>
      <w:lvlJc w:val="left"/>
      <w:pPr>
        <w:ind w:left="1800" w:hanging="1800"/>
        <w:tabs>
          <w:tab w:val="num" w:pos="0" w:leader="none"/>
        </w:tabs>
      </w:pPr>
      <w:rPr>
        <w:b w:val="0"/>
      </w:rPr>
    </w:lvl>
    <w:lvl w:ilvl="7">
      <w:start w:val="1"/>
      <w:numFmt w:val="decimal"/>
      <w:isLgl w:val="false"/>
      <w:suff w:val="tab"/>
      <w:lvlText w:val="%1.%2.%3.%4.%5.%6.%7.%8."/>
      <w:lvlJc w:val="left"/>
      <w:pPr>
        <w:ind w:left="1800" w:hanging="1800"/>
        <w:tabs>
          <w:tab w:val="num" w:pos="0" w:leader="none"/>
        </w:tabs>
      </w:pPr>
      <w:rPr>
        <w:b w:val="0"/>
      </w:rPr>
    </w:lvl>
    <w:lvl w:ilvl="8">
      <w:start w:val="1"/>
      <w:numFmt w:val="decimal"/>
      <w:isLgl w:val="false"/>
      <w:suff w:val="tab"/>
      <w:lvlText w:val="%1.%2.%3.%4.%5.%6.%7.%8.%9."/>
      <w:lvlJc w:val="left"/>
      <w:pPr>
        <w:ind w:left="2160" w:hanging="2160"/>
        <w:tabs>
          <w:tab w:val="num" w:pos="0" w:leader="none"/>
        </w:tabs>
      </w:pPr>
      <w:rPr>
        <w:b w:val="0"/>
      </w:rPr>
    </w:lvl>
  </w:abstractNum>
  <w:abstractNum w:abstractNumId="35">
    <w:multiLevelType w:val="hybridMultilevel"/>
    <w:lvl w:ilvl="0">
      <w:start w:val="1"/>
      <w:numFmt w:val="decimal"/>
      <w:isLgl w:val="false"/>
      <w:suff w:val="tab"/>
      <w:lvlText w:val="%1."/>
      <w:lvlJc w:val="left"/>
      <w:pPr>
        <w:ind w:left="360" w:hanging="360"/>
        <w:tabs>
          <w:tab w:val="num" w:pos="0" w:leader="none"/>
        </w:tabs>
      </w:pPr>
      <w:rPr>
        <w:b/>
        <w:color w:val="FFFFFF"/>
      </w:rPr>
    </w:lvl>
    <w:lvl w:ilvl="1">
      <w:start w:val="1"/>
      <w:numFmt w:val="decimal"/>
      <w:isLgl w:val="false"/>
      <w:suff w:val="tab"/>
      <w:lvlText w:val="%1.%2."/>
      <w:lvlJc w:val="left"/>
      <w:pPr>
        <w:ind w:left="432" w:hanging="432"/>
        <w:tabs>
          <w:tab w:val="num" w:pos="0" w:leader="none"/>
        </w:tabs>
      </w:pPr>
      <w:rPr>
        <w:rFonts w:eastAsia="SimSun;宋体"/>
        <w:b/>
        <w:bCs/>
        <w:i w:val="0"/>
        <w:iCs w:val="0"/>
        <w:sz w:val="28"/>
        <w:szCs w:val="28"/>
        <w:lang w:val="en-US"/>
      </w:rPr>
    </w:lvl>
    <w:lvl w:ilvl="2">
      <w:start w:val="1"/>
      <w:numFmt w:val="decimal"/>
      <w:isLgl w:val="false"/>
      <w:suff w:val="tab"/>
      <w:lvlText w:val="%1.%2.%3."/>
      <w:lvlJc w:val="left"/>
      <w:pPr>
        <w:ind w:left="1224" w:hanging="504"/>
        <w:tabs>
          <w:tab w:val="num" w:pos="0" w:leader="none"/>
        </w:tabs>
      </w:pPr>
      <w:rPr>
        <w:rFonts w:eastAsia="SimSun;宋体"/>
        <w:b/>
        <w:sz w:val="28"/>
        <w:lang w:val="en-US"/>
      </w:rPr>
    </w:lvl>
    <w:lvl w:ilvl="3">
      <w:start w:val="1"/>
      <w:numFmt w:val="decimal"/>
      <w:isLgl w:val="false"/>
      <w:suff w:val="tab"/>
      <w:lvlText w:val="%1.%2.%3.%4."/>
      <w:lvlJc w:val="left"/>
      <w:pPr>
        <w:ind w:left="1728" w:hanging="648"/>
        <w:tabs>
          <w:tab w:val="num" w:pos="0" w:leader="none"/>
        </w:tabs>
      </w:pPr>
    </w:lvl>
    <w:lvl w:ilvl="4">
      <w:start w:val="1"/>
      <w:numFmt w:val="decimal"/>
      <w:isLgl w:val="false"/>
      <w:suff w:val="tab"/>
      <w:lvlText w:val="%1.%2.%3.%4.%5."/>
      <w:lvlJc w:val="left"/>
      <w:pPr>
        <w:ind w:left="2232" w:hanging="792"/>
        <w:tabs>
          <w:tab w:val="num" w:pos="0" w:leader="none"/>
        </w:tabs>
      </w:pPr>
    </w:lvl>
    <w:lvl w:ilvl="5">
      <w:start w:val="1"/>
      <w:numFmt w:val="decimal"/>
      <w:isLgl w:val="false"/>
      <w:suff w:val="tab"/>
      <w:lvlText w:val="%1.%2.%3.%4.%5.%6."/>
      <w:lvlJc w:val="left"/>
      <w:pPr>
        <w:ind w:left="2736" w:hanging="936"/>
        <w:tabs>
          <w:tab w:val="num" w:pos="0" w:leader="none"/>
        </w:tabs>
      </w:pPr>
    </w:lvl>
    <w:lvl w:ilvl="6">
      <w:start w:val="1"/>
      <w:numFmt w:val="decimal"/>
      <w:isLgl w:val="false"/>
      <w:suff w:val="tab"/>
      <w:lvlText w:val="%1.%2.%3.%4.%5.%6.%7."/>
      <w:lvlJc w:val="left"/>
      <w:pPr>
        <w:ind w:left="3240" w:hanging="1080"/>
        <w:tabs>
          <w:tab w:val="num" w:pos="0" w:leader="none"/>
        </w:tabs>
      </w:pPr>
    </w:lvl>
    <w:lvl w:ilvl="7">
      <w:start w:val="1"/>
      <w:numFmt w:val="decimal"/>
      <w:isLgl w:val="false"/>
      <w:suff w:val="tab"/>
      <w:lvlText w:val="%1.%2.%3.%4.%5.%6.%7.%8."/>
      <w:lvlJc w:val="left"/>
      <w:pPr>
        <w:ind w:left="3744" w:hanging="1224"/>
        <w:tabs>
          <w:tab w:val="num" w:pos="0" w:leader="none"/>
        </w:tabs>
      </w:pPr>
    </w:lvl>
    <w:lvl w:ilvl="8">
      <w:start w:val="1"/>
      <w:numFmt w:val="decimal"/>
      <w:isLgl w:val="false"/>
      <w:suff w:val="tab"/>
      <w:lvlText w:val="%1.%2.%3.%4.%5.%6.%7.%8.%9."/>
      <w:lvlJc w:val="left"/>
      <w:pPr>
        <w:ind w:left="4320" w:hanging="1440"/>
        <w:tabs>
          <w:tab w:val="num" w:pos="0" w:leader="none"/>
        </w:tabs>
      </w:pPr>
    </w:lvl>
  </w:abstractNum>
  <w:abstractNum w:abstractNumId="36">
    <w:multiLevelType w:val="hybridMultilevel"/>
    <w:lvl w:ilvl="0">
      <w:start w:val="5"/>
      <w:numFmt w:val="decimal"/>
      <w:isLgl w:val="false"/>
      <w:suff w:val="tab"/>
      <w:lvlText w:val="%1."/>
      <w:lvlJc w:val="left"/>
      <w:pPr>
        <w:ind w:left="450" w:hanging="450"/>
        <w:tabs>
          <w:tab w:val="num" w:pos="0" w:leader="none"/>
        </w:tabs>
      </w:pPr>
      <w:rPr>
        <w:color w:val="FFFFFF"/>
      </w:rPr>
    </w:lvl>
    <w:lvl w:ilvl="1">
      <w:start w:val="2"/>
      <w:numFmt w:val="decimal"/>
      <w:isLgl w:val="false"/>
      <w:suff w:val="tab"/>
      <w:lvlText w:val="%1.%2."/>
      <w:lvlJc w:val="left"/>
      <w:pPr>
        <w:ind w:left="720" w:hanging="720"/>
        <w:tabs>
          <w:tab w:val="num" w:pos="0" w:leader="none"/>
        </w:tabs>
      </w:pPr>
      <w:rPr>
        <w:color w:val="000000"/>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37">
    <w:multiLevelType w:val="hybridMultilevel"/>
    <w:lvl w:ilvl="0">
      <w:start w:val="3"/>
      <w:numFmt w:val="decimal"/>
      <w:isLgl w:val="false"/>
      <w:suff w:val="tab"/>
      <w:lvlText w:val="%1."/>
      <w:lvlJc w:val="left"/>
      <w:pPr>
        <w:ind w:left="675" w:hanging="675"/>
        <w:tabs>
          <w:tab w:val="num" w:pos="0" w:leader="none"/>
        </w:tabs>
      </w:pPr>
    </w:lvl>
    <w:lvl w:ilvl="1">
      <w:start w:val="2"/>
      <w:numFmt w:val="decimal"/>
      <w:isLgl w:val="false"/>
      <w:suff w:val="tab"/>
      <w:lvlText w:val="%1.%2."/>
      <w:lvlJc w:val="left"/>
      <w:pPr>
        <w:ind w:left="720" w:hanging="720"/>
        <w:tabs>
          <w:tab w:val="num" w:pos="0" w:leader="none"/>
        </w:tabs>
      </w:p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38">
    <w:multiLevelType w:val="hybridMultilevel"/>
    <w:lvl w:ilvl="0">
      <w:start w:val="1"/>
      <w:numFmt w:val="decimal"/>
      <w:isLgl w:val="false"/>
      <w:suff w:val="tab"/>
      <w:lvlText w:val="%1."/>
      <w:lvlJc w:val="left"/>
      <w:pPr>
        <w:ind w:left="450" w:hanging="450"/>
        <w:tabs>
          <w:tab w:val="num" w:pos="0" w:leader="none"/>
        </w:tabs>
      </w:pPr>
      <w:rPr>
        <w:rFonts w:ascii="Times New Roman" w:hAnsi="Times New Roman" w:cs="Times New Roman" w:eastAsia="Calibri"/>
        <w:color w:val="FFFFFF"/>
      </w:rPr>
    </w:lvl>
    <w:lvl w:ilvl="1">
      <w:start w:val="1"/>
      <w:numFmt w:val="decimal"/>
      <w:isLgl w:val="false"/>
      <w:suff w:val="tab"/>
      <w:lvlText w:val="%1.%2."/>
      <w:lvlJc w:val="left"/>
      <w:pPr>
        <w:ind w:left="720" w:hanging="720"/>
        <w:tabs>
          <w:tab w:val="num" w:pos="0" w:leader="none"/>
        </w:tabs>
      </w:pPr>
      <w:rPr>
        <w:rFonts w:eastAsia="SimSun;宋体"/>
        <w:b/>
        <w:bCs/>
        <w:i w:val="0"/>
        <w:sz w:val="28"/>
        <w:szCs w:val="28"/>
        <w:lang w:val="en-US"/>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39">
    <w:multiLevelType w:val="hybridMultilevel"/>
    <w:lvl w:ilvl="0">
      <w:start w:val="4"/>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rPr>
        <w:rFonts w:eastAsia="SimSun;宋体"/>
        <w:b/>
        <w:bCs/>
        <w:sz w:val="28"/>
        <w:lang w:val="ru-RU"/>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40">
    <w:multiLevelType w:val="hybridMultilevel"/>
    <w:lvl w:ilvl="0">
      <w:start w:val="1"/>
      <w:numFmt w:val="bullet"/>
      <w:isLgl w:val="false"/>
      <w:suff w:val="tab"/>
      <w:lvlText w:val="•"/>
      <w:lvlJc w:val="left"/>
      <w:pPr>
        <w:ind w:left="720" w:hanging="360"/>
        <w:tabs>
          <w:tab w:val="num" w:pos="0" w:leader="none"/>
        </w:tabs>
      </w:pPr>
      <w:rPr>
        <w:rFonts w:ascii="Liberation Serif" w:hAnsi="Liberation Serif" w:cs="Liberation Serif" w:hint="default"/>
        <w:lang w:val="ru-RU" w:bidi="ar-SA"/>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1">
    <w:multiLevelType w:val="hybridMultilevel"/>
    <w:lvl w:ilvl="0">
      <w:start w:val="3"/>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440" w:hanging="1440"/>
        <w:tabs>
          <w:tab w:val="num" w:pos="0" w:leader="none"/>
        </w:tabs>
      </w:pPr>
      <w:rPr>
        <w:rFonts w:eastAsia="SimSun;宋体"/>
        <w:b/>
        <w:bCs/>
        <w:sz w:val="28"/>
        <w:lang w:val="en-US"/>
      </w:rPr>
    </w:lvl>
    <w:lvl w:ilvl="6">
      <w:start w:val="1"/>
      <w:numFmt w:val="decimal"/>
      <w:isLgl w:val="false"/>
      <w:suff w:val="tab"/>
      <w:lvlText w:val="%1.%2.%3.%4.%5.%6.%7."/>
      <w:lvlJc w:val="left"/>
      <w:pPr>
        <w:ind w:left="1800" w:hanging="1800"/>
        <w:tabs>
          <w:tab w:val="num" w:pos="0" w:leader="none"/>
        </w:tabs>
      </w:pPr>
      <w:rPr>
        <w:rFonts w:eastAsia="SimSun;宋体"/>
        <w:b/>
        <w:bCs/>
        <w:sz w:val="28"/>
        <w:lang w:val="en-US"/>
      </w:rPr>
    </w:lvl>
    <w:lvl w:ilvl="7">
      <w:start w:val="1"/>
      <w:numFmt w:val="decimal"/>
      <w:isLgl w:val="false"/>
      <w:suff w:val="tab"/>
      <w:lvlText w:val="%1.%2.%3.%4.%5.%6.%7.%8."/>
      <w:lvlJc w:val="left"/>
      <w:pPr>
        <w:ind w:left="1800" w:hanging="1800"/>
        <w:tabs>
          <w:tab w:val="num" w:pos="0" w:leader="none"/>
        </w:tabs>
      </w:pPr>
      <w:rPr>
        <w:rFonts w:eastAsia="SimSun;宋体"/>
        <w:b/>
        <w:bCs/>
        <w:sz w:val="28"/>
        <w:lang w:val="en-US"/>
      </w:rPr>
    </w:lvl>
    <w:lvl w:ilvl="8">
      <w:start w:val="1"/>
      <w:numFmt w:val="decimal"/>
      <w:isLgl w:val="false"/>
      <w:suff w:val="tab"/>
      <w:lvlText w:val="%1.%2.%3.%4.%5.%6.%7.%8.%9."/>
      <w:lvlJc w:val="left"/>
      <w:pPr>
        <w:ind w:left="2160" w:hanging="2160"/>
        <w:tabs>
          <w:tab w:val="num" w:pos="0" w:leader="none"/>
        </w:tabs>
      </w:pPr>
      <w:rPr>
        <w:rFonts w:eastAsia="SimSun;宋体"/>
        <w:b/>
        <w:bCs/>
        <w:sz w:val="28"/>
        <w:lang w:val="en-US"/>
      </w:rPr>
    </w:lvl>
  </w:abstractNum>
  <w:abstractNum w:abstractNumId="42">
    <w:multiLevelType w:val="hybridMultilevel"/>
    <w:lvl w:ilvl="0">
      <w:start w:val="1"/>
      <w:numFmt w:val="bullet"/>
      <w:isLgl w:val="false"/>
      <w:suff w:val="tab"/>
      <w:lvlText w:val="•"/>
      <w:lvlJc w:val="left"/>
      <w:pPr>
        <w:ind w:left="720" w:hanging="360"/>
        <w:tabs>
          <w:tab w:val="num" w:pos="0" w:leader="none"/>
        </w:tabs>
      </w:pPr>
      <w:rPr>
        <w:rFonts w:ascii="Liberation Serif" w:hAnsi="Liberation Serif" w:cs="Liberation Serif" w:hint="default"/>
        <w:lang w:val="ru-RU" w:bidi="ar-SA"/>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3">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rFonts w:eastAsia="SimSun;宋体"/>
        <w:b/>
        <w:bCs/>
        <w:i w:val="0"/>
        <w:sz w:val="28"/>
        <w:szCs w:val="28"/>
        <w:lang w:val="en-US"/>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44">
    <w:multiLevelType w:val="hybridMultilevel"/>
    <w:lvl w:ilvl="0">
      <w:start w:val="5"/>
      <w:numFmt w:val="decimal"/>
      <w:isLgl w:val="false"/>
      <w:suff w:val="tab"/>
      <w:lvlText w:val="%1."/>
      <w:lvlJc w:val="left"/>
      <w:pPr>
        <w:ind w:left="450" w:hanging="450"/>
        <w:tabs>
          <w:tab w:val="num" w:pos="0" w:leader="none"/>
        </w:tabs>
      </w:pPr>
    </w:lvl>
    <w:lvl w:ilvl="1">
      <w:start w:val="2"/>
      <w:numFmt w:val="decimal"/>
      <w:isLgl w:val="false"/>
      <w:suff w:val="tab"/>
      <w:lvlText w:val="%1.%2."/>
      <w:lvlJc w:val="left"/>
      <w:pPr>
        <w:ind w:left="720" w:hanging="720"/>
        <w:tabs>
          <w:tab w:val="num" w:pos="0" w:leader="none"/>
        </w:tabs>
      </w:p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45">
    <w:multiLevelType w:val="hybridMultilevel"/>
    <w:lvl w:ilvl="0">
      <w:start w:val="2"/>
      <w:numFmt w:val="decimal"/>
      <w:isLgl w:val="false"/>
      <w:suff w:val="tab"/>
      <w:lvlText w:val="%1."/>
      <w:lvlJc w:val="left"/>
      <w:pPr>
        <w:ind w:left="675" w:hanging="675"/>
        <w:tabs>
          <w:tab w:val="num" w:pos="0" w:leader="none"/>
        </w:tabs>
      </w:pPr>
    </w:lvl>
    <w:lvl w:ilvl="1">
      <w:start w:val="4"/>
      <w:numFmt w:val="decimal"/>
      <w:isLgl w:val="false"/>
      <w:suff w:val="tab"/>
      <w:lvlText w:val="%1.%2."/>
      <w:lvlJc w:val="left"/>
      <w:pPr>
        <w:ind w:left="1080" w:hanging="720"/>
        <w:tabs>
          <w:tab w:val="num" w:pos="0" w:leader="none"/>
        </w:tabs>
      </w:pPr>
    </w:lvl>
    <w:lvl w:ilvl="2">
      <w:start w:val="1"/>
      <w:numFmt w:val="decimal"/>
      <w:isLgl w:val="false"/>
      <w:suff w:val="tab"/>
      <w:lvlText w:val="%1.%2.%3."/>
      <w:lvlJc w:val="left"/>
      <w:pPr>
        <w:ind w:left="1440" w:hanging="720"/>
        <w:tabs>
          <w:tab w:val="num" w:pos="0" w:leader="none"/>
        </w:tabs>
      </w:pPr>
      <w:rPr>
        <w:rFonts w:eastAsia="SimSun;宋体"/>
        <w:b/>
        <w:sz w:val="28"/>
        <w:lang w:val="en-US"/>
      </w:rPr>
    </w:lvl>
    <w:lvl w:ilvl="3">
      <w:start w:val="1"/>
      <w:numFmt w:val="decimal"/>
      <w:isLgl w:val="false"/>
      <w:suff w:val="tab"/>
      <w:lvlText w:val="%1.%2.%3.%4."/>
      <w:lvlJc w:val="left"/>
      <w:pPr>
        <w:ind w:left="2160" w:hanging="1080"/>
        <w:tabs>
          <w:tab w:val="num" w:pos="0" w:leader="none"/>
        </w:tabs>
      </w:pPr>
    </w:lvl>
    <w:lvl w:ilvl="4">
      <w:start w:val="1"/>
      <w:numFmt w:val="decimal"/>
      <w:isLgl w:val="false"/>
      <w:suff w:val="tab"/>
      <w:lvlText w:val="%1.%2.%3.%4.%5."/>
      <w:lvlJc w:val="left"/>
      <w:pPr>
        <w:ind w:left="2520" w:hanging="1080"/>
        <w:tabs>
          <w:tab w:val="num" w:pos="0" w:leader="none"/>
        </w:tabs>
      </w:pPr>
    </w:lvl>
    <w:lvl w:ilvl="5">
      <w:start w:val="1"/>
      <w:numFmt w:val="decimal"/>
      <w:isLgl w:val="false"/>
      <w:suff w:val="tab"/>
      <w:lvlText w:val="%1.%2.%3.%4.%5.%6."/>
      <w:lvlJc w:val="left"/>
      <w:pPr>
        <w:ind w:left="3240" w:hanging="1440"/>
        <w:tabs>
          <w:tab w:val="num" w:pos="0" w:leader="none"/>
        </w:tabs>
      </w:pPr>
    </w:lvl>
    <w:lvl w:ilvl="6">
      <w:start w:val="1"/>
      <w:numFmt w:val="decimal"/>
      <w:isLgl w:val="false"/>
      <w:suff w:val="tab"/>
      <w:lvlText w:val="%1.%2.%3.%4.%5.%6.%7."/>
      <w:lvlJc w:val="left"/>
      <w:pPr>
        <w:ind w:left="3960" w:hanging="1800"/>
        <w:tabs>
          <w:tab w:val="num" w:pos="0" w:leader="none"/>
        </w:tabs>
      </w:pPr>
    </w:lvl>
    <w:lvl w:ilvl="7">
      <w:start w:val="1"/>
      <w:numFmt w:val="decimal"/>
      <w:isLgl w:val="false"/>
      <w:suff w:val="tab"/>
      <w:lvlText w:val="%1.%2.%3.%4.%5.%6.%7.%8."/>
      <w:lvlJc w:val="left"/>
      <w:pPr>
        <w:ind w:left="4320" w:hanging="1800"/>
        <w:tabs>
          <w:tab w:val="num" w:pos="0" w:leader="none"/>
        </w:tabs>
      </w:pPr>
    </w:lvl>
    <w:lvl w:ilvl="8">
      <w:start w:val="1"/>
      <w:numFmt w:val="decimal"/>
      <w:isLgl w:val="false"/>
      <w:suff w:val="tab"/>
      <w:lvlText w:val="%1.%2.%3.%4.%5.%6.%7.%8.%9."/>
      <w:lvlJc w:val="left"/>
      <w:pPr>
        <w:ind w:left="5040" w:hanging="2160"/>
        <w:tabs>
          <w:tab w:val="num" w:pos="0" w:leader="none"/>
        </w:tabs>
      </w:pPr>
    </w:lvl>
  </w:abstractNum>
  <w:abstractNum w:abstractNumId="46">
    <w:multiLevelType w:val="hybridMultilevel"/>
    <w:lvl w:ilvl="0">
      <w:start w:val="1"/>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rPr>
        <w:b/>
        <w:i w:val="0"/>
        <w:sz w:val="28"/>
        <w:szCs w:val="28"/>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47">
    <w:multiLevelType w:val="hybridMultilevel"/>
    <w:lvl w:ilvl="0">
      <w:start w:val="2"/>
      <w:numFmt w:val="decimal"/>
      <w:isLgl w:val="false"/>
      <w:suff w:val="tab"/>
      <w:lvlText w:val="%1."/>
      <w:lvlJc w:val="left"/>
      <w:pPr>
        <w:ind w:left="675" w:hanging="675"/>
        <w:tabs>
          <w:tab w:val="num" w:pos="0" w:leader="none"/>
        </w:tabs>
      </w:pPr>
      <w:rPr>
        <w:rFonts w:eastAsia="SimSun;宋体"/>
        <w:b/>
        <w:bCs/>
        <w:sz w:val="28"/>
        <w:lang w:val="en-US"/>
      </w:rPr>
    </w:lvl>
    <w:lvl w:ilvl="1">
      <w:start w:val="4"/>
      <w:numFmt w:val="decimal"/>
      <w:isLgl w:val="false"/>
      <w:suff w:val="tab"/>
      <w:lvlText w:val="%1.%2."/>
      <w:lvlJc w:val="left"/>
      <w:pPr>
        <w:ind w:left="720" w:hanging="720"/>
        <w:tabs>
          <w:tab w:val="num" w:pos="0" w:leader="none"/>
        </w:tabs>
      </w:pPr>
      <w:rPr>
        <w:rFonts w:eastAsia="SimSun;宋体"/>
        <w:b/>
        <w:bCs/>
        <w:sz w:val="28"/>
        <w:lang w:val="en-US"/>
      </w:rPr>
    </w:lvl>
    <w:lvl w:ilvl="2">
      <w:start w:val="2"/>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440" w:hanging="1440"/>
        <w:tabs>
          <w:tab w:val="num" w:pos="0" w:leader="none"/>
        </w:tabs>
      </w:pPr>
      <w:rPr>
        <w:rFonts w:eastAsia="SimSun;宋体"/>
        <w:b/>
        <w:bCs/>
        <w:sz w:val="28"/>
        <w:lang w:val="en-US"/>
      </w:rPr>
    </w:lvl>
    <w:lvl w:ilvl="6">
      <w:start w:val="1"/>
      <w:numFmt w:val="decimal"/>
      <w:isLgl w:val="false"/>
      <w:suff w:val="tab"/>
      <w:lvlText w:val="%1.%2.%3.%4.%5.%6.%7."/>
      <w:lvlJc w:val="left"/>
      <w:pPr>
        <w:ind w:left="1800" w:hanging="1800"/>
        <w:tabs>
          <w:tab w:val="num" w:pos="0" w:leader="none"/>
        </w:tabs>
      </w:pPr>
      <w:rPr>
        <w:rFonts w:eastAsia="SimSun;宋体"/>
        <w:b/>
        <w:bCs/>
        <w:sz w:val="28"/>
        <w:lang w:val="en-US"/>
      </w:rPr>
    </w:lvl>
    <w:lvl w:ilvl="7">
      <w:start w:val="1"/>
      <w:numFmt w:val="decimal"/>
      <w:isLgl w:val="false"/>
      <w:suff w:val="tab"/>
      <w:lvlText w:val="%1.%2.%3.%4.%5.%6.%7.%8."/>
      <w:lvlJc w:val="left"/>
      <w:pPr>
        <w:ind w:left="1800" w:hanging="1800"/>
        <w:tabs>
          <w:tab w:val="num" w:pos="0" w:leader="none"/>
        </w:tabs>
      </w:pPr>
      <w:rPr>
        <w:rFonts w:eastAsia="SimSun;宋体"/>
        <w:b/>
        <w:bCs/>
        <w:sz w:val="28"/>
        <w:lang w:val="en-US"/>
      </w:rPr>
    </w:lvl>
    <w:lvl w:ilvl="8">
      <w:start w:val="1"/>
      <w:numFmt w:val="decimal"/>
      <w:isLgl w:val="false"/>
      <w:suff w:val="tab"/>
      <w:lvlText w:val="%1.%2.%3.%4.%5.%6.%7.%8.%9."/>
      <w:lvlJc w:val="left"/>
      <w:pPr>
        <w:ind w:left="2160" w:hanging="2160"/>
        <w:tabs>
          <w:tab w:val="num" w:pos="0" w:leader="none"/>
        </w:tabs>
      </w:pPr>
      <w:rPr>
        <w:rFonts w:eastAsia="SimSun;宋体"/>
        <w:b/>
        <w:bCs/>
        <w:sz w:val="28"/>
        <w:lang w:val="en-US"/>
      </w:rPr>
    </w:lvl>
  </w:abstractNum>
  <w:abstractNum w:abstractNumId="48">
    <w:multiLevelType w:val="hybridMultilevel"/>
    <w:lvl w:ilvl="0">
      <w:start w:val="1"/>
      <w:numFmt w:val="bullet"/>
      <w:isLgl w:val="false"/>
      <w:suff w:val="tab"/>
      <w:lvlText w:val=""/>
      <w:lvlJc w:val="left"/>
      <w:pPr>
        <w:ind w:left="720" w:hanging="360"/>
        <w:tabs>
          <w:tab w:val="num" w:pos="720" w:leader="none"/>
        </w:tabs>
      </w:pPr>
      <w:rPr>
        <w:rFonts w:ascii="Symbol" w:hAnsi="Symbol" w:cs="Symbol" w:hint="default"/>
        <w:color w:val="0B2734"/>
        <w:sz w:val="20"/>
      </w:rPr>
    </w:lvl>
    <w:lvl w:ilvl="1">
      <w:start w:val="1"/>
      <w:numFmt w:val="bullet"/>
      <w:isLgl w:val="false"/>
      <w:suff w:val="tab"/>
      <w:lvlText w:val="o"/>
      <w:lvlJc w:val="left"/>
      <w:pPr>
        <w:ind w:left="1440" w:hanging="360"/>
        <w:tabs>
          <w:tab w:val="num" w:pos="1440" w:leader="none"/>
        </w:tabs>
      </w:pPr>
      <w:rPr>
        <w:rFonts w:ascii="Courier New" w:hAnsi="Courier New" w:cs="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cs="Wingdings" w:hint="default"/>
        <w:sz w:val="20"/>
      </w:rPr>
    </w:lvl>
    <w:lvl w:ilvl="3">
      <w:start w:val="1"/>
      <w:numFmt w:val="bullet"/>
      <w:isLgl w:val="false"/>
      <w:suff w:val="tab"/>
      <w:lvlText w:val=""/>
      <w:lvlJc w:val="left"/>
      <w:pPr>
        <w:ind w:left="2880" w:hanging="360"/>
        <w:tabs>
          <w:tab w:val="num" w:pos="2880" w:leader="none"/>
        </w:tabs>
      </w:pPr>
      <w:rPr>
        <w:rFonts w:ascii="Wingdings" w:hAnsi="Wingdings" w:cs="Wingdings" w:hint="default"/>
        <w:sz w:val="20"/>
      </w:rPr>
    </w:lvl>
    <w:lvl w:ilvl="4">
      <w:start w:val="1"/>
      <w:numFmt w:val="bullet"/>
      <w:isLgl w:val="false"/>
      <w:suff w:val="tab"/>
      <w:lvlText w:val=""/>
      <w:lvlJc w:val="left"/>
      <w:pPr>
        <w:ind w:left="3600" w:hanging="360"/>
        <w:tabs>
          <w:tab w:val="num" w:pos="3600" w:leader="none"/>
        </w:tabs>
      </w:pPr>
      <w:rPr>
        <w:rFonts w:ascii="Wingdings" w:hAnsi="Wingdings" w:cs="Wingdings" w:hint="default"/>
        <w:sz w:val="20"/>
      </w:rPr>
    </w:lvl>
    <w:lvl w:ilvl="5">
      <w:start w:val="1"/>
      <w:numFmt w:val="bullet"/>
      <w:isLgl w:val="false"/>
      <w:suff w:val="tab"/>
      <w:lvlText w:val=""/>
      <w:lvlJc w:val="left"/>
      <w:pPr>
        <w:ind w:left="4320" w:hanging="360"/>
        <w:tabs>
          <w:tab w:val="num" w:pos="4320" w:leader="none"/>
        </w:tabs>
      </w:pPr>
      <w:rPr>
        <w:rFonts w:ascii="Wingdings" w:hAnsi="Wingdings" w:cs="Wingdings" w:hint="default"/>
        <w:sz w:val="20"/>
      </w:rPr>
    </w:lvl>
    <w:lvl w:ilvl="6">
      <w:start w:val="1"/>
      <w:numFmt w:val="bullet"/>
      <w:isLgl w:val="false"/>
      <w:suff w:val="tab"/>
      <w:lvlText w:val=""/>
      <w:lvlJc w:val="left"/>
      <w:pPr>
        <w:ind w:left="5040" w:hanging="360"/>
        <w:tabs>
          <w:tab w:val="num" w:pos="5040" w:leader="none"/>
        </w:tabs>
      </w:pPr>
      <w:rPr>
        <w:rFonts w:ascii="Wingdings" w:hAnsi="Wingdings" w:cs="Wingdings" w:hint="default"/>
        <w:sz w:val="20"/>
      </w:rPr>
    </w:lvl>
    <w:lvl w:ilvl="7">
      <w:start w:val="1"/>
      <w:numFmt w:val="bullet"/>
      <w:isLgl w:val="false"/>
      <w:suff w:val="tab"/>
      <w:lvlText w:val=""/>
      <w:lvlJc w:val="left"/>
      <w:pPr>
        <w:ind w:left="5760" w:hanging="360"/>
        <w:tabs>
          <w:tab w:val="num" w:pos="5760" w:leader="none"/>
        </w:tabs>
      </w:pPr>
      <w:rPr>
        <w:rFonts w:ascii="Wingdings" w:hAnsi="Wingdings" w:cs="Wingdings" w:hint="default"/>
        <w:sz w:val="20"/>
      </w:rPr>
    </w:lvl>
    <w:lvl w:ilvl="8">
      <w:start w:val="1"/>
      <w:numFmt w:val="bullet"/>
      <w:isLgl w:val="false"/>
      <w:suff w:val="tab"/>
      <w:lvlText w:val=""/>
      <w:lvlJc w:val="left"/>
      <w:pPr>
        <w:ind w:left="6480" w:hanging="360"/>
        <w:tabs>
          <w:tab w:val="num" w:pos="6480" w:leader="none"/>
        </w:tabs>
      </w:pPr>
      <w:rPr>
        <w:rFonts w:ascii="Wingdings" w:hAnsi="Wingdings" w:cs="Wingdings" w:hint="default"/>
        <w:sz w:val="20"/>
      </w:rPr>
    </w:lvl>
  </w:abstractNum>
  <w:abstractNum w:abstractNumId="49">
    <w:multiLevelType w:val="hybridMultilevel"/>
    <w:lvl w:ilvl="0">
      <w:start w:val="4"/>
      <w:numFmt w:val="decimal"/>
      <w:isLgl w:val="false"/>
      <w:suff w:val="tab"/>
      <w:lvlText w:val="%1."/>
      <w:lvlJc w:val="left"/>
      <w:pPr>
        <w:ind w:left="450" w:hanging="450"/>
        <w:tabs>
          <w:tab w:val="num" w:pos="0" w:leader="none"/>
        </w:tabs>
      </w:pPr>
    </w:lvl>
    <w:lvl w:ilvl="1">
      <w:start w:val="1"/>
      <w:numFmt w:val="decimal"/>
      <w:isLgl w:val="false"/>
      <w:suff w:val="tab"/>
      <w:lvlText w:val="%1.%2."/>
      <w:lvlJc w:val="left"/>
      <w:pPr>
        <w:ind w:left="720" w:hanging="720"/>
        <w:tabs>
          <w:tab w:val="num" w:pos="0" w:leader="none"/>
        </w:tabs>
      </w:pPr>
      <w:rPr>
        <w:rFonts w:eastAsia="SimSun;宋体"/>
        <w:b/>
        <w:bCs/>
        <w:sz w:val="28"/>
        <w:lang w:val="ru-RU"/>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50">
    <w:multiLevelType w:val="hybridMultilevel"/>
    <w:lvl w:ilvl="0">
      <w:start w:val="1"/>
      <w:numFmt w:val="bullet"/>
      <w:isLgl w:val="false"/>
      <w:suff w:val="tab"/>
      <w:lvlText w:val=""/>
      <w:lvlJc w:val="left"/>
      <w:pPr>
        <w:ind w:left="1428" w:hanging="360"/>
        <w:tabs>
          <w:tab w:val="num" w:pos="0" w:leader="none"/>
        </w:tabs>
      </w:pPr>
      <w:rPr>
        <w:rFonts w:ascii="Symbol" w:hAnsi="Symbol" w:cs="Symbol" w:hint="default"/>
        <w:sz w:val="24"/>
        <w:szCs w:val="24"/>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1">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rPr>
        <w:rFonts w:eastAsia="SimSun;宋体"/>
        <w:b/>
        <w:bCs/>
        <w:i w:val="0"/>
        <w:sz w:val="28"/>
        <w:szCs w:val="28"/>
        <w:lang w:val="en-US"/>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52">
    <w:multiLevelType w:val="hybridMultilevel"/>
    <w:lvl w:ilvl="0">
      <w:start w:val="5"/>
      <w:numFmt w:val="decimal"/>
      <w:isLgl w:val="false"/>
      <w:suff w:val="tab"/>
      <w:lvlText w:val="%1."/>
      <w:lvlJc w:val="left"/>
      <w:pPr>
        <w:ind w:left="450" w:hanging="450"/>
        <w:tabs>
          <w:tab w:val="num" w:pos="0" w:leader="none"/>
        </w:tabs>
      </w:pPr>
      <w:rPr>
        <w:rFonts w:eastAsia="SimSun;宋体"/>
        <w:b/>
        <w:bCs/>
        <w:sz w:val="28"/>
        <w:lang w:val="en-US"/>
      </w:rPr>
    </w:lvl>
    <w:lvl w:ilvl="1">
      <w:start w:val="2"/>
      <w:numFmt w:val="decimal"/>
      <w:isLgl w:val="false"/>
      <w:suff w:val="tab"/>
      <w:lvlText w:val="%1.%2."/>
      <w:lvlJc w:val="left"/>
      <w:pPr>
        <w:ind w:left="720" w:hanging="72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1080" w:hanging="108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440" w:hanging="1440"/>
        <w:tabs>
          <w:tab w:val="num" w:pos="0" w:leader="none"/>
        </w:tabs>
      </w:pPr>
      <w:rPr>
        <w:rFonts w:eastAsia="SimSun;宋体"/>
        <w:b/>
        <w:bCs/>
        <w:sz w:val="28"/>
        <w:lang w:val="en-US"/>
      </w:rPr>
    </w:lvl>
    <w:lvl w:ilvl="6">
      <w:start w:val="1"/>
      <w:numFmt w:val="decimal"/>
      <w:isLgl w:val="false"/>
      <w:suff w:val="tab"/>
      <w:lvlText w:val="%1.%2.%3.%4.%5.%6.%7."/>
      <w:lvlJc w:val="left"/>
      <w:pPr>
        <w:ind w:left="1800" w:hanging="1800"/>
        <w:tabs>
          <w:tab w:val="num" w:pos="0" w:leader="none"/>
        </w:tabs>
      </w:pPr>
      <w:rPr>
        <w:rFonts w:eastAsia="SimSun;宋体"/>
        <w:b/>
        <w:bCs/>
        <w:sz w:val="28"/>
        <w:lang w:val="en-US"/>
      </w:rPr>
    </w:lvl>
    <w:lvl w:ilvl="7">
      <w:start w:val="1"/>
      <w:numFmt w:val="decimal"/>
      <w:isLgl w:val="false"/>
      <w:suff w:val="tab"/>
      <w:lvlText w:val="%1.%2.%3.%4.%5.%6.%7.%8."/>
      <w:lvlJc w:val="left"/>
      <w:pPr>
        <w:ind w:left="1800" w:hanging="1800"/>
        <w:tabs>
          <w:tab w:val="num" w:pos="0" w:leader="none"/>
        </w:tabs>
      </w:pPr>
      <w:rPr>
        <w:rFonts w:eastAsia="SimSun;宋体"/>
        <w:b/>
        <w:bCs/>
        <w:sz w:val="28"/>
        <w:lang w:val="en-US"/>
      </w:rPr>
    </w:lvl>
    <w:lvl w:ilvl="8">
      <w:start w:val="1"/>
      <w:numFmt w:val="decimal"/>
      <w:isLgl w:val="false"/>
      <w:suff w:val="tab"/>
      <w:lvlText w:val="%1.%2.%3.%4.%5.%6.%7.%8.%9."/>
      <w:lvlJc w:val="left"/>
      <w:pPr>
        <w:ind w:left="2160" w:hanging="2160"/>
        <w:tabs>
          <w:tab w:val="num" w:pos="0" w:leader="none"/>
        </w:tabs>
      </w:pPr>
      <w:rPr>
        <w:rFonts w:eastAsia="SimSun;宋体"/>
        <w:b/>
        <w:bCs/>
        <w:sz w:val="28"/>
        <w:lang w:val="en-US"/>
      </w:rPr>
    </w:lvl>
  </w:abstractNum>
  <w:abstractNum w:abstractNumId="53">
    <w:multiLevelType w:val="hybridMultilevel"/>
    <w:lvl w:ilvl="0">
      <w:start w:val="1"/>
      <w:numFmt w:val="bullet"/>
      <w:isLgl w:val="false"/>
      <w:suff w:val="tab"/>
      <w:lvlText w:val=""/>
      <w:lvlJc w:val="left"/>
      <w:pPr>
        <w:ind w:left="1429" w:hanging="360"/>
        <w:tabs>
          <w:tab w:val="num" w:pos="0" w:leader="none"/>
        </w:tabs>
      </w:pPr>
      <w:rPr>
        <w:rFonts w:ascii="Symbol" w:hAnsi="Symbol" w:cs="Symbol" w:hint="default"/>
        <w:sz w:val="24"/>
        <w:szCs w:val="24"/>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4">
    <w:multiLevelType w:val="hybridMultilevel"/>
    <w:lvl w:ilvl="0">
      <w:start w:val="5"/>
      <w:numFmt w:val="decimal"/>
      <w:isLgl w:val="false"/>
      <w:suff w:val="tab"/>
      <w:lvlText w:val="%1."/>
      <w:lvlJc w:val="left"/>
      <w:pPr>
        <w:ind w:left="675" w:hanging="675"/>
        <w:tabs>
          <w:tab w:val="num" w:pos="0" w:leader="none"/>
        </w:tabs>
      </w:pPr>
      <w:rPr>
        <w:b w:val="0"/>
      </w:rPr>
    </w:lvl>
    <w:lvl w:ilvl="1">
      <w:start w:val="2"/>
      <w:numFmt w:val="decimal"/>
      <w:isLgl w:val="false"/>
      <w:suff w:val="tab"/>
      <w:lvlText w:val="%1.%2."/>
      <w:lvlJc w:val="left"/>
      <w:pPr>
        <w:ind w:left="720" w:hanging="720"/>
        <w:tabs>
          <w:tab w:val="num" w:pos="0" w:leader="none"/>
        </w:tabs>
      </w:pPr>
      <w:rPr>
        <w:b w:val="0"/>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1080" w:hanging="1080"/>
        <w:tabs>
          <w:tab w:val="num" w:pos="0" w:leader="none"/>
        </w:tabs>
      </w:pPr>
      <w:rPr>
        <w:b w:val="0"/>
      </w:rPr>
    </w:lvl>
    <w:lvl w:ilvl="4">
      <w:start w:val="1"/>
      <w:numFmt w:val="decimal"/>
      <w:isLgl w:val="false"/>
      <w:suff w:val="tab"/>
      <w:lvlText w:val="%1.%2.%3.%4.%5."/>
      <w:lvlJc w:val="left"/>
      <w:pPr>
        <w:ind w:left="1080" w:hanging="1080"/>
        <w:tabs>
          <w:tab w:val="num" w:pos="0" w:leader="none"/>
        </w:tabs>
      </w:pPr>
      <w:rPr>
        <w:b w:val="0"/>
      </w:rPr>
    </w:lvl>
    <w:lvl w:ilvl="5">
      <w:start w:val="1"/>
      <w:numFmt w:val="decimal"/>
      <w:isLgl w:val="false"/>
      <w:suff w:val="tab"/>
      <w:lvlText w:val="%1.%2.%3.%4.%5.%6."/>
      <w:lvlJc w:val="left"/>
      <w:pPr>
        <w:ind w:left="1440" w:hanging="1440"/>
        <w:tabs>
          <w:tab w:val="num" w:pos="0" w:leader="none"/>
        </w:tabs>
      </w:pPr>
      <w:rPr>
        <w:b w:val="0"/>
      </w:rPr>
    </w:lvl>
    <w:lvl w:ilvl="6">
      <w:start w:val="1"/>
      <w:numFmt w:val="decimal"/>
      <w:isLgl w:val="false"/>
      <w:suff w:val="tab"/>
      <w:lvlText w:val="%1.%2.%3.%4.%5.%6.%7."/>
      <w:lvlJc w:val="left"/>
      <w:pPr>
        <w:ind w:left="1800" w:hanging="1800"/>
        <w:tabs>
          <w:tab w:val="num" w:pos="0" w:leader="none"/>
        </w:tabs>
      </w:pPr>
      <w:rPr>
        <w:b w:val="0"/>
      </w:rPr>
    </w:lvl>
    <w:lvl w:ilvl="7">
      <w:start w:val="1"/>
      <w:numFmt w:val="decimal"/>
      <w:isLgl w:val="false"/>
      <w:suff w:val="tab"/>
      <w:lvlText w:val="%1.%2.%3.%4.%5.%6.%7.%8."/>
      <w:lvlJc w:val="left"/>
      <w:pPr>
        <w:ind w:left="1800" w:hanging="1800"/>
        <w:tabs>
          <w:tab w:val="num" w:pos="0" w:leader="none"/>
        </w:tabs>
      </w:pPr>
      <w:rPr>
        <w:b w:val="0"/>
      </w:rPr>
    </w:lvl>
    <w:lvl w:ilvl="8">
      <w:start w:val="1"/>
      <w:numFmt w:val="decimal"/>
      <w:isLgl w:val="false"/>
      <w:suff w:val="tab"/>
      <w:lvlText w:val="%1.%2.%3.%4.%5.%6.%7.%8.%9."/>
      <w:lvlJc w:val="left"/>
      <w:pPr>
        <w:ind w:left="2160" w:hanging="2160"/>
        <w:tabs>
          <w:tab w:val="num" w:pos="0" w:leader="none"/>
        </w:tabs>
      </w:pPr>
      <w:rPr>
        <w:b w:val="0"/>
      </w:rPr>
    </w:lvl>
  </w:abstractNum>
  <w:abstractNum w:abstractNumId="55">
    <w:multiLevelType w:val="hybridMultilevel"/>
    <w:lvl w:ilvl="0">
      <w:start w:val="1"/>
      <w:numFmt w:val="decimal"/>
      <w:isLgl w:val="false"/>
      <w:suff w:val="tab"/>
      <w:lvlText w:val="%1."/>
      <w:lvlJc w:val="left"/>
      <w:pPr>
        <w:ind w:left="720" w:hanging="360"/>
        <w:tabs>
          <w:tab w:val="num" w:pos="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6">
    <w:multiLevelType w:val="hybridMultilevel"/>
    <w:lvl w:ilvl="0">
      <w:start w:val="1"/>
      <w:numFmt w:val="bullet"/>
      <w:isLgl w:val="false"/>
      <w:suff w:val="tab"/>
      <w:lvlText w:val="­"/>
      <w:lvlJc w:val="left"/>
      <w:pPr>
        <w:ind w:left="1260" w:hanging="360"/>
        <w:tabs>
          <w:tab w:val="num" w:pos="0" w:leader="none"/>
        </w:tabs>
      </w:pPr>
      <w:rPr>
        <w:rFonts w:ascii="Tempus Sans ITC" w:hAnsi="Tempus Sans ITC" w:cs="Tempus Sans ITC"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57">
    <w:multiLevelType w:val="hybridMultilevel"/>
    <w:lvl w:ilvl="0">
      <w:start w:val="1"/>
      <w:numFmt w:val="decimal"/>
      <w:isLgl w:val="false"/>
      <w:suff w:val="tab"/>
      <w:lvlText w:val="%1."/>
      <w:lvlJc w:val="left"/>
      <w:pPr>
        <w:ind w:left="1069" w:hanging="360"/>
        <w:tabs>
          <w:tab w:val="num" w:pos="0" w:leader="none"/>
        </w:tabs>
      </w:pPr>
    </w:lvl>
    <w:lvl w:ilvl="1">
      <w:start w:val="1"/>
      <w:numFmt w:val="decimal"/>
      <w:isLgl w:val="false"/>
      <w:suff w:val="tab"/>
      <w:lvlText w:val="%1.%2."/>
      <w:lvlJc w:val="left"/>
      <w:pPr>
        <w:ind w:left="1159" w:hanging="450"/>
        <w:tabs>
          <w:tab w:val="num" w:pos="0" w:leader="none"/>
        </w:tabs>
      </w:pPr>
      <w:rPr>
        <w:rFonts w:eastAsia="SimSun;宋体"/>
        <w:b/>
        <w:bCs/>
        <w:sz w:val="28"/>
        <w:lang w:val="en-US"/>
      </w:rPr>
    </w:lvl>
    <w:lvl w:ilvl="2">
      <w:start w:val="1"/>
      <w:numFmt w:val="decimal"/>
      <w:isLgl w:val="false"/>
      <w:suff w:val="tab"/>
      <w:lvlText w:val="%1.%2.%3."/>
      <w:lvlJc w:val="left"/>
      <w:pPr>
        <w:ind w:left="1429" w:hanging="720"/>
        <w:tabs>
          <w:tab w:val="num" w:pos="0" w:leader="none"/>
        </w:tabs>
      </w:pPr>
      <w:rPr>
        <w:rFonts w:eastAsia="SimSun;宋体"/>
        <w:b/>
        <w:bCs/>
        <w:sz w:val="28"/>
        <w:lang w:val="en-US"/>
      </w:rPr>
    </w:lvl>
    <w:lvl w:ilvl="3">
      <w:start w:val="1"/>
      <w:numFmt w:val="decimal"/>
      <w:isLgl w:val="false"/>
      <w:suff w:val="tab"/>
      <w:lvlText w:val="%1.%2.%3.%4."/>
      <w:lvlJc w:val="left"/>
      <w:pPr>
        <w:ind w:left="1429" w:hanging="720"/>
        <w:tabs>
          <w:tab w:val="num" w:pos="0" w:leader="none"/>
        </w:tabs>
      </w:pPr>
      <w:rPr>
        <w:rFonts w:eastAsia="SimSun;宋体"/>
        <w:b/>
        <w:bCs/>
        <w:sz w:val="28"/>
        <w:lang w:val="en-US"/>
      </w:rPr>
    </w:lvl>
    <w:lvl w:ilvl="4">
      <w:start w:val="1"/>
      <w:numFmt w:val="decimal"/>
      <w:isLgl w:val="false"/>
      <w:suff w:val="tab"/>
      <w:lvlText w:val="%1.%2.%3.%4.%5."/>
      <w:lvlJc w:val="left"/>
      <w:pPr>
        <w:ind w:left="1789" w:hanging="1080"/>
        <w:tabs>
          <w:tab w:val="num" w:pos="0" w:leader="none"/>
        </w:tabs>
      </w:pPr>
      <w:rPr>
        <w:rFonts w:eastAsia="SimSun;宋体"/>
        <w:b/>
        <w:bCs/>
        <w:sz w:val="28"/>
        <w:lang w:val="en-US"/>
      </w:rPr>
    </w:lvl>
    <w:lvl w:ilvl="5">
      <w:start w:val="1"/>
      <w:numFmt w:val="decimal"/>
      <w:isLgl w:val="false"/>
      <w:suff w:val="tab"/>
      <w:lvlText w:val="%1.%2.%3.%4.%5.%6."/>
      <w:lvlJc w:val="left"/>
      <w:pPr>
        <w:ind w:left="1789" w:hanging="1080"/>
        <w:tabs>
          <w:tab w:val="num" w:pos="0" w:leader="none"/>
        </w:tabs>
      </w:pPr>
      <w:rPr>
        <w:rFonts w:eastAsia="SimSun;宋体"/>
        <w:b/>
        <w:bCs/>
        <w:sz w:val="28"/>
        <w:lang w:val="en-US"/>
      </w:rPr>
    </w:lvl>
    <w:lvl w:ilvl="6">
      <w:start w:val="1"/>
      <w:numFmt w:val="decimal"/>
      <w:isLgl w:val="false"/>
      <w:suff w:val="tab"/>
      <w:lvlText w:val="%1.%2.%3.%4.%5.%6.%7."/>
      <w:lvlJc w:val="left"/>
      <w:pPr>
        <w:ind w:left="2149" w:hanging="1440"/>
        <w:tabs>
          <w:tab w:val="num" w:pos="0" w:leader="none"/>
        </w:tabs>
      </w:pPr>
      <w:rPr>
        <w:rFonts w:eastAsia="SimSun;宋体"/>
        <w:b/>
        <w:bCs/>
        <w:sz w:val="28"/>
        <w:lang w:val="en-US"/>
      </w:rPr>
    </w:lvl>
    <w:lvl w:ilvl="7">
      <w:start w:val="1"/>
      <w:numFmt w:val="decimal"/>
      <w:isLgl w:val="false"/>
      <w:suff w:val="tab"/>
      <w:lvlText w:val="%1.%2.%3.%4.%5.%6.%7.%8."/>
      <w:lvlJc w:val="left"/>
      <w:pPr>
        <w:ind w:left="2149" w:hanging="1440"/>
        <w:tabs>
          <w:tab w:val="num" w:pos="0" w:leader="none"/>
        </w:tabs>
      </w:pPr>
      <w:rPr>
        <w:rFonts w:eastAsia="SimSun;宋体"/>
        <w:b/>
        <w:bCs/>
        <w:sz w:val="28"/>
        <w:lang w:val="en-US"/>
      </w:rPr>
    </w:lvl>
    <w:lvl w:ilvl="8">
      <w:start w:val="1"/>
      <w:numFmt w:val="decimal"/>
      <w:isLgl w:val="false"/>
      <w:suff w:val="tab"/>
      <w:lvlText w:val="%1.%2.%3.%4.%5.%6.%7.%8.%9."/>
      <w:lvlJc w:val="left"/>
      <w:pPr>
        <w:ind w:left="2509" w:hanging="1800"/>
        <w:tabs>
          <w:tab w:val="num" w:pos="0" w:leader="none"/>
        </w:tabs>
      </w:pPr>
      <w:rPr>
        <w:rFonts w:eastAsia="SimSun;宋体"/>
        <w:b/>
        <w:bCs/>
        <w:sz w:val="28"/>
        <w:lang w:val="en-US"/>
      </w:rPr>
    </w:lvl>
  </w:abstractNum>
  <w:abstractNum w:abstractNumId="58">
    <w:multiLevelType w:val="hybridMultilevel"/>
    <w:lvl w:ilvl="0">
      <w:start w:val="1"/>
      <w:numFmt w:val="decimal"/>
      <w:isLgl w:val="false"/>
      <w:suff w:val="tab"/>
      <w:lvlText w:val="%1."/>
      <w:lvlJc w:val="left"/>
      <w:pPr>
        <w:ind w:left="720" w:hanging="360"/>
        <w:tabs>
          <w:tab w:val="num" w:pos="0" w:leader="none"/>
        </w:tabs>
      </w:pPr>
    </w:lvl>
    <w:lvl w:ilvl="1">
      <w:start w:val="4"/>
      <w:numFmt w:val="decimal"/>
      <w:isLgl w:val="false"/>
      <w:suff w:val="tab"/>
      <w:lvlText w:val="%1.%2."/>
      <w:lvlJc w:val="left"/>
      <w:pPr>
        <w:ind w:left="1080" w:hanging="720"/>
        <w:tabs>
          <w:tab w:val="num" w:pos="0" w:leader="none"/>
        </w:tabs>
      </w:pPr>
      <w:rPr>
        <w:rFonts w:ascii="Times New Roman" w:hAnsi="Times New Roman" w:cs="Times New Roman"/>
      </w:rPr>
    </w:lvl>
    <w:lvl w:ilvl="2">
      <w:start w:val="1"/>
      <w:numFmt w:val="decimal"/>
      <w:isLgl w:val="false"/>
      <w:suff w:val="tab"/>
      <w:lvlText w:val="%1.%2.%3."/>
      <w:lvlJc w:val="left"/>
      <w:pPr>
        <w:ind w:left="1080" w:hanging="720"/>
        <w:tabs>
          <w:tab w:val="num" w:pos="0" w:leader="none"/>
        </w:tabs>
      </w:pPr>
      <w:rPr>
        <w:rFonts w:ascii="Times New Roman" w:hAnsi="Times New Roman" w:cs="Times New Roman"/>
      </w:rPr>
    </w:lvl>
    <w:lvl w:ilvl="3">
      <w:start w:val="1"/>
      <w:numFmt w:val="decimal"/>
      <w:isLgl w:val="false"/>
      <w:suff w:val="tab"/>
      <w:lvlText w:val="%1.%2.%3.%4."/>
      <w:lvlJc w:val="left"/>
      <w:pPr>
        <w:ind w:left="1440" w:hanging="1080"/>
        <w:tabs>
          <w:tab w:val="num" w:pos="0" w:leader="none"/>
        </w:tabs>
      </w:pPr>
      <w:rPr>
        <w:rFonts w:ascii="Times New Roman" w:hAnsi="Times New Roman" w:cs="Times New Roman"/>
      </w:rPr>
    </w:lvl>
    <w:lvl w:ilvl="4">
      <w:start w:val="1"/>
      <w:numFmt w:val="decimal"/>
      <w:isLgl w:val="false"/>
      <w:suff w:val="tab"/>
      <w:lvlText w:val="%1.%2.%3.%4.%5."/>
      <w:lvlJc w:val="left"/>
      <w:pPr>
        <w:ind w:left="1800" w:hanging="1440"/>
        <w:tabs>
          <w:tab w:val="num" w:pos="0" w:leader="none"/>
        </w:tabs>
      </w:pPr>
      <w:rPr>
        <w:rFonts w:ascii="Times New Roman" w:hAnsi="Times New Roman" w:cs="Times New Roman"/>
      </w:rPr>
    </w:lvl>
    <w:lvl w:ilvl="5">
      <w:start w:val="1"/>
      <w:numFmt w:val="decimal"/>
      <w:isLgl w:val="false"/>
      <w:suff w:val="tab"/>
      <w:lvlText w:val="%1.%2.%3.%4.%5.%6."/>
      <w:lvlJc w:val="left"/>
      <w:pPr>
        <w:ind w:left="1800" w:hanging="1440"/>
        <w:tabs>
          <w:tab w:val="num" w:pos="0" w:leader="none"/>
        </w:tabs>
      </w:pPr>
      <w:rPr>
        <w:rFonts w:ascii="Times New Roman" w:hAnsi="Times New Roman" w:cs="Times New Roman"/>
      </w:rPr>
    </w:lvl>
    <w:lvl w:ilvl="6">
      <w:start w:val="1"/>
      <w:numFmt w:val="decimal"/>
      <w:isLgl w:val="false"/>
      <w:suff w:val="tab"/>
      <w:lvlText w:val="%1.%2.%3.%4.%5.%6.%7."/>
      <w:lvlJc w:val="left"/>
      <w:pPr>
        <w:ind w:left="2160" w:hanging="1800"/>
        <w:tabs>
          <w:tab w:val="num" w:pos="0" w:leader="none"/>
        </w:tabs>
      </w:pPr>
      <w:rPr>
        <w:rFonts w:ascii="Times New Roman" w:hAnsi="Times New Roman" w:cs="Times New Roman"/>
      </w:rPr>
    </w:lvl>
    <w:lvl w:ilvl="7">
      <w:start w:val="1"/>
      <w:numFmt w:val="decimal"/>
      <w:isLgl w:val="false"/>
      <w:suff w:val="tab"/>
      <w:lvlText w:val="%1.%2.%3.%4.%5.%6.%7.%8."/>
      <w:lvlJc w:val="left"/>
      <w:pPr>
        <w:ind w:left="2520" w:hanging="2160"/>
        <w:tabs>
          <w:tab w:val="num" w:pos="0" w:leader="none"/>
        </w:tabs>
      </w:pPr>
      <w:rPr>
        <w:rFonts w:ascii="Times New Roman" w:hAnsi="Times New Roman" w:cs="Times New Roman"/>
      </w:rPr>
    </w:lvl>
    <w:lvl w:ilvl="8">
      <w:start w:val="1"/>
      <w:numFmt w:val="decimal"/>
      <w:isLgl w:val="false"/>
      <w:suff w:val="tab"/>
      <w:lvlText w:val="%1.%2.%3.%4.%5.%6.%7.%8.%9."/>
      <w:lvlJc w:val="left"/>
      <w:pPr>
        <w:ind w:left="2520" w:hanging="2160"/>
        <w:tabs>
          <w:tab w:val="num" w:pos="0" w:leader="none"/>
        </w:tabs>
      </w:pPr>
      <w:rPr>
        <w:rFonts w:ascii="Times New Roman" w:hAnsi="Times New Roman" w:cs="Times New Roman"/>
      </w:rPr>
    </w:lvl>
  </w:abstractNum>
  <w:abstractNum w:abstractNumId="59">
    <w:multiLevelType w:val="hybridMultilevel"/>
    <w:lvl w:ilvl="0">
      <w:start w:val="1"/>
      <w:numFmt w:val="decimal"/>
      <w:isLgl w:val="false"/>
      <w:suff w:val="space"/>
      <w:lvlText w:val="Глава %1"/>
      <w:lvlJc w:val="left"/>
      <w:pPr>
        <w:ind w:left="0" w:firstLine="0"/>
        <w:tabs>
          <w:tab w:val="num" w:pos="0" w:leader="none"/>
        </w:tabs>
      </w:pPr>
      <w:rPr>
        <w:rFonts w:ascii="Times New Roman" w:hAnsi="Times New Roman" w:cs="Times New Roman"/>
        <w:b/>
        <w:bCs w:val="0"/>
        <w:i w:val="0"/>
        <w:iCs w:val="0"/>
        <w:caps w:val="0"/>
        <w:smallCaps w:val="0"/>
        <w:strike w:val="false"/>
        <w:vanish w:val="false"/>
        <w:color w:val="000000"/>
        <w:spacing w:val="0"/>
        <w:position w:val="0"/>
        <w:sz w:val="32"/>
        <w:szCs w:val="32"/>
        <w:u w:val="none"/>
        <w:vertAlign w:val="baseline"/>
      </w:rPr>
    </w:lvl>
    <w:lvl w:ilvl="1">
      <w:start w:val="1"/>
      <w:numFmt w:val="none"/>
      <w:isLgl w:val="false"/>
      <w:suff w:val="nothing"/>
      <w:lvlText w:val=""/>
      <w:lvlJc w:val="left"/>
      <w:pPr>
        <w:ind w:left="0" w:firstLine="0"/>
        <w:tabs>
          <w:tab w:val="num" w:pos="0" w:leader="none"/>
        </w:tabs>
      </w:pPr>
      <w:rPr>
        <w:rFonts w:eastAsia="SimSun;宋体"/>
        <w:b/>
        <w:bCs/>
        <w:sz w:val="28"/>
        <w:szCs w:val="28"/>
        <w:lang w:val="en-US"/>
      </w:r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abstractNum w:abstractNumId="60">
    <w:multiLevelType w:val="hybridMultilevel"/>
    <w:lvl w:ilvl="0">
      <w:start w:val="1"/>
      <w:numFmt w:val="bullet"/>
      <w:isLgl w:val="false"/>
      <w:suff w:val="tab"/>
      <w:lvlText w:val=""/>
      <w:lvlJc w:val="left"/>
      <w:pPr>
        <w:ind w:left="1512" w:hanging="360"/>
        <w:tabs>
          <w:tab w:val="num" w:pos="0" w:leader="none"/>
        </w:tabs>
      </w:pPr>
      <w:rPr>
        <w:rFonts w:ascii="Symbol" w:hAnsi="Symbol" w:cs="Symbol" w:hint="default"/>
        <w:color w:val="000000"/>
        <w:lang w:eastAsia="en-US"/>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1">
    <w:multiLevelType w:val="hybridMultilevel"/>
    <w:lvl w:ilvl="0">
      <w:start w:val="4"/>
      <w:numFmt w:val="decimal"/>
      <w:isLgl w:val="false"/>
      <w:suff w:val="tab"/>
      <w:lvlText w:val="%1."/>
      <w:lvlJc w:val="left"/>
      <w:pPr>
        <w:ind w:left="450" w:hanging="450"/>
        <w:tabs>
          <w:tab w:val="num" w:pos="0" w:leader="none"/>
        </w:tabs>
      </w:pPr>
      <w:rPr>
        <w:rFonts w:eastAsia="SimSun;宋体"/>
        <w:b/>
        <w:bCs/>
        <w:sz w:val="28"/>
      </w:rPr>
    </w:lvl>
    <w:lvl w:ilvl="1">
      <w:start w:val="1"/>
      <w:numFmt w:val="decimal"/>
      <w:isLgl w:val="false"/>
      <w:suff w:val="tab"/>
      <w:lvlText w:val="%1.%2."/>
      <w:lvlJc w:val="left"/>
      <w:pPr>
        <w:ind w:left="720" w:hanging="720"/>
        <w:tabs>
          <w:tab w:val="num" w:pos="0" w:leader="none"/>
        </w:tabs>
      </w:pPr>
      <w:rPr>
        <w:rFonts w:eastAsia="SimSun;宋体"/>
        <w:b/>
        <w:bCs/>
        <w:sz w:val="28"/>
      </w:rPr>
    </w:lvl>
    <w:lvl w:ilvl="2">
      <w:start w:val="1"/>
      <w:numFmt w:val="decimal"/>
      <w:isLgl w:val="false"/>
      <w:suff w:val="tab"/>
      <w:lvlText w:val="%1.%2.%3."/>
      <w:lvlJc w:val="left"/>
      <w:pPr>
        <w:ind w:left="720" w:hanging="720"/>
        <w:tabs>
          <w:tab w:val="num" w:pos="0" w:leader="none"/>
        </w:tabs>
      </w:pPr>
      <w:rPr>
        <w:b/>
      </w:rPr>
    </w:lvl>
    <w:lvl w:ilvl="3">
      <w:start w:val="1"/>
      <w:numFmt w:val="decimal"/>
      <w:isLgl w:val="false"/>
      <w:suff w:val="tab"/>
      <w:lvlText w:val="%1.%2.%3.%4."/>
      <w:lvlJc w:val="left"/>
      <w:pPr>
        <w:ind w:left="1080" w:hanging="1080"/>
        <w:tabs>
          <w:tab w:val="num" w:pos="0" w:leader="none"/>
        </w:tabs>
      </w:pPr>
      <w:rPr>
        <w:rFonts w:eastAsia="SimSun;宋体"/>
        <w:b/>
        <w:bCs/>
        <w:sz w:val="28"/>
      </w:rPr>
    </w:lvl>
    <w:lvl w:ilvl="4">
      <w:start w:val="1"/>
      <w:numFmt w:val="decimal"/>
      <w:isLgl w:val="false"/>
      <w:suff w:val="tab"/>
      <w:lvlText w:val="%1.%2.%3.%4.%5."/>
      <w:lvlJc w:val="left"/>
      <w:pPr>
        <w:ind w:left="1080" w:hanging="1080"/>
        <w:tabs>
          <w:tab w:val="num" w:pos="0" w:leader="none"/>
        </w:tabs>
      </w:pPr>
      <w:rPr>
        <w:rFonts w:eastAsia="SimSun;宋体"/>
        <w:b/>
        <w:bCs/>
        <w:sz w:val="28"/>
      </w:rPr>
    </w:lvl>
    <w:lvl w:ilvl="5">
      <w:start w:val="1"/>
      <w:numFmt w:val="decimal"/>
      <w:isLgl w:val="false"/>
      <w:suff w:val="tab"/>
      <w:lvlText w:val="%1.%2.%3.%4.%5.%6."/>
      <w:lvlJc w:val="left"/>
      <w:pPr>
        <w:ind w:left="1440" w:hanging="1440"/>
        <w:tabs>
          <w:tab w:val="num" w:pos="0" w:leader="none"/>
        </w:tabs>
      </w:pPr>
      <w:rPr>
        <w:rFonts w:eastAsia="SimSun;宋体"/>
        <w:b/>
        <w:bCs/>
        <w:sz w:val="28"/>
      </w:rPr>
    </w:lvl>
    <w:lvl w:ilvl="6">
      <w:start w:val="1"/>
      <w:numFmt w:val="decimal"/>
      <w:isLgl w:val="false"/>
      <w:suff w:val="tab"/>
      <w:lvlText w:val="%1.%2.%3.%4.%5.%6.%7."/>
      <w:lvlJc w:val="left"/>
      <w:pPr>
        <w:ind w:left="1800" w:hanging="1800"/>
        <w:tabs>
          <w:tab w:val="num" w:pos="0" w:leader="none"/>
        </w:tabs>
      </w:pPr>
      <w:rPr>
        <w:rFonts w:eastAsia="SimSun;宋体"/>
        <w:b/>
        <w:bCs/>
        <w:sz w:val="28"/>
      </w:rPr>
    </w:lvl>
    <w:lvl w:ilvl="7">
      <w:start w:val="1"/>
      <w:numFmt w:val="decimal"/>
      <w:isLgl w:val="false"/>
      <w:suff w:val="tab"/>
      <w:lvlText w:val="%1.%2.%3.%4.%5.%6.%7.%8."/>
      <w:lvlJc w:val="left"/>
      <w:pPr>
        <w:ind w:left="1800" w:hanging="1800"/>
        <w:tabs>
          <w:tab w:val="num" w:pos="0" w:leader="none"/>
        </w:tabs>
      </w:pPr>
      <w:rPr>
        <w:rFonts w:eastAsia="SimSun;宋体"/>
        <w:b/>
        <w:bCs/>
        <w:sz w:val="28"/>
      </w:rPr>
    </w:lvl>
    <w:lvl w:ilvl="8">
      <w:start w:val="1"/>
      <w:numFmt w:val="decimal"/>
      <w:isLgl w:val="false"/>
      <w:suff w:val="tab"/>
      <w:lvlText w:val="%1.%2.%3.%4.%5.%6.%7.%8.%9."/>
      <w:lvlJc w:val="left"/>
      <w:pPr>
        <w:ind w:left="2160" w:hanging="2160"/>
        <w:tabs>
          <w:tab w:val="num" w:pos="0" w:leader="none"/>
        </w:tabs>
      </w:pPr>
      <w:rPr>
        <w:rFonts w:eastAsia="SimSun;宋体"/>
        <w:b/>
        <w:bCs/>
        <w:sz w:val="28"/>
      </w:rPr>
    </w:lvl>
  </w:abstractNum>
  <w:abstractNum w:abstractNumId="62">
    <w:multiLevelType w:val="hybridMultilevel"/>
    <w:lvl w:ilvl="0">
      <w:start w:val="1"/>
      <w:numFmt w:val="bullet"/>
      <w:isLgl w:val="false"/>
      <w:suff w:val="tab"/>
      <w:lvlText w:val=""/>
      <w:lvlJc w:val="left"/>
      <w:pPr>
        <w:ind w:left="720" w:hanging="360"/>
        <w:tabs>
          <w:tab w:val="num" w:pos="0" w:leader="none"/>
        </w:tabs>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3">
    <w:multiLevelType w:val="hybridMultilevel"/>
    <w:lvl w:ilvl="0">
      <w:start w:val="1"/>
      <w:numFmt w:val="decimal"/>
      <w:isLgl w:val="false"/>
      <w:suff w:val="tab"/>
      <w:lvlText w:val="%1."/>
      <w:lvlJc w:val="left"/>
      <w:pPr>
        <w:ind w:left="450" w:hanging="450"/>
        <w:tabs>
          <w:tab w:val="num" w:pos="0" w:leader="none"/>
        </w:tabs>
      </w:pPr>
      <w:rPr>
        <w:color w:val="FFFFFF"/>
      </w:rPr>
    </w:lvl>
    <w:lvl w:ilvl="1">
      <w:start w:val="1"/>
      <w:numFmt w:val="decimal"/>
      <w:isLgl w:val="false"/>
      <w:suff w:val="tab"/>
      <w:lvlText w:val="%1.%2."/>
      <w:lvlJc w:val="left"/>
      <w:pPr>
        <w:ind w:left="720" w:hanging="720"/>
        <w:tabs>
          <w:tab w:val="num" w:pos="0" w:leader="none"/>
        </w:tabs>
      </w:pPr>
    </w:lvl>
    <w:lvl w:ilvl="2">
      <w:start w:val="1"/>
      <w:numFmt w:val="decimal"/>
      <w:isLgl w:val="false"/>
      <w:suff w:val="tab"/>
      <w:lvlText w:val="%1.%2.%3."/>
      <w:lvlJc w:val="left"/>
      <w:pPr>
        <w:ind w:left="720" w:hanging="720"/>
        <w:tabs>
          <w:tab w:val="num" w:pos="0" w:leader="none"/>
        </w:tabs>
      </w:pPr>
    </w:lvl>
    <w:lvl w:ilvl="3">
      <w:start w:val="1"/>
      <w:numFmt w:val="decimal"/>
      <w:isLgl w:val="false"/>
      <w:suff w:val="tab"/>
      <w:lvlText w:val="%1.%2.%3.%4."/>
      <w:lvlJc w:val="left"/>
      <w:pPr>
        <w:ind w:left="1080" w:hanging="1080"/>
        <w:tabs>
          <w:tab w:val="num" w:pos="0" w:leader="none"/>
        </w:tabs>
      </w:pPr>
    </w:lvl>
    <w:lvl w:ilvl="4">
      <w:start w:val="1"/>
      <w:numFmt w:val="decimal"/>
      <w:isLgl w:val="false"/>
      <w:suff w:val="tab"/>
      <w:lvlText w:val="%1.%2.%3.%4.%5."/>
      <w:lvlJc w:val="left"/>
      <w:pPr>
        <w:ind w:left="1080" w:hanging="1080"/>
        <w:tabs>
          <w:tab w:val="num" w:pos="0" w:leader="none"/>
        </w:tabs>
      </w:pPr>
    </w:lvl>
    <w:lvl w:ilvl="5">
      <w:start w:val="1"/>
      <w:numFmt w:val="decimal"/>
      <w:isLgl w:val="false"/>
      <w:suff w:val="tab"/>
      <w:lvlText w:val="%1.%2.%3.%4.%5.%6."/>
      <w:lvlJc w:val="left"/>
      <w:pPr>
        <w:ind w:left="1440" w:hanging="1440"/>
        <w:tabs>
          <w:tab w:val="num" w:pos="0" w:leader="none"/>
        </w:tabs>
      </w:pPr>
    </w:lvl>
    <w:lvl w:ilvl="6">
      <w:start w:val="1"/>
      <w:numFmt w:val="decimal"/>
      <w:isLgl w:val="false"/>
      <w:suff w:val="tab"/>
      <w:lvlText w:val="%1.%2.%3.%4.%5.%6.%7."/>
      <w:lvlJc w:val="left"/>
      <w:pPr>
        <w:ind w:left="1800" w:hanging="1800"/>
        <w:tabs>
          <w:tab w:val="num" w:pos="0" w:leader="none"/>
        </w:tabs>
      </w:pPr>
    </w:lvl>
    <w:lvl w:ilvl="7">
      <w:start w:val="1"/>
      <w:numFmt w:val="decimal"/>
      <w:isLgl w:val="false"/>
      <w:suff w:val="tab"/>
      <w:lvlText w:val="%1.%2.%3.%4.%5.%6.%7.%8."/>
      <w:lvlJc w:val="left"/>
      <w:pPr>
        <w:ind w:left="1800" w:hanging="1800"/>
        <w:tabs>
          <w:tab w:val="num" w:pos="0" w:leader="none"/>
        </w:tabs>
      </w:pPr>
    </w:lvl>
    <w:lvl w:ilvl="8">
      <w:start w:val="1"/>
      <w:numFmt w:val="decimal"/>
      <w:isLgl w:val="false"/>
      <w:suff w:val="tab"/>
      <w:lvlText w:val="%1.%2.%3.%4.%5.%6.%7.%8.%9."/>
      <w:lvlJc w:val="left"/>
      <w:pPr>
        <w:ind w:left="2160" w:hanging="2160"/>
        <w:tabs>
          <w:tab w:val="num" w:pos="0" w:leader="none"/>
        </w:tabs>
      </w:pPr>
    </w:lvl>
  </w:abstractNum>
  <w:abstractNum w:abstractNumId="64">
    <w:multiLevelType w:val="hybridMultilevel"/>
    <w:lvl w:ilvl="0">
      <w:start w:val="3"/>
      <w:numFmt w:val="decimal"/>
      <w:isLgl w:val="false"/>
      <w:suff w:val="tab"/>
      <w:lvlText w:val="%1."/>
      <w:lvlJc w:val="left"/>
      <w:pPr>
        <w:ind w:left="450" w:hanging="450"/>
        <w:tabs>
          <w:tab w:val="num" w:pos="0" w:leader="none"/>
        </w:tabs>
      </w:pPr>
      <w:rPr>
        <w:rFonts w:eastAsia="SimSun;宋体"/>
        <w:b/>
        <w:bCs/>
        <w:sz w:val="28"/>
        <w:lang w:val="en-US"/>
      </w:rPr>
    </w:lvl>
    <w:lvl w:ilvl="1">
      <w:start w:val="1"/>
      <w:numFmt w:val="decimal"/>
      <w:isLgl w:val="false"/>
      <w:suff w:val="tab"/>
      <w:lvlText w:val="%1.%2."/>
      <w:lvlJc w:val="left"/>
      <w:pPr>
        <w:ind w:left="450" w:hanging="45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720" w:hanging="72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080" w:hanging="1080"/>
        <w:tabs>
          <w:tab w:val="num" w:pos="0" w:leader="none"/>
        </w:tabs>
      </w:pPr>
      <w:rPr>
        <w:rFonts w:eastAsia="SimSun;宋体"/>
        <w:b/>
        <w:bCs/>
        <w:sz w:val="28"/>
        <w:lang w:val="en-US"/>
      </w:rPr>
    </w:lvl>
    <w:lvl w:ilvl="6">
      <w:start w:val="1"/>
      <w:numFmt w:val="decimal"/>
      <w:isLgl w:val="false"/>
      <w:suff w:val="tab"/>
      <w:lvlText w:val="%1.%2.%3.%4.%5.%6.%7."/>
      <w:lvlJc w:val="left"/>
      <w:pPr>
        <w:ind w:left="1440" w:hanging="1440"/>
        <w:tabs>
          <w:tab w:val="num" w:pos="0" w:leader="none"/>
        </w:tabs>
      </w:pPr>
      <w:rPr>
        <w:rFonts w:eastAsia="SimSun;宋体"/>
        <w:b/>
        <w:bCs/>
        <w:sz w:val="28"/>
        <w:lang w:val="en-US"/>
      </w:rPr>
    </w:lvl>
    <w:lvl w:ilvl="7">
      <w:start w:val="1"/>
      <w:numFmt w:val="decimal"/>
      <w:isLgl w:val="false"/>
      <w:suff w:val="tab"/>
      <w:lvlText w:val="%1.%2.%3.%4.%5.%6.%7.%8."/>
      <w:lvlJc w:val="left"/>
      <w:pPr>
        <w:ind w:left="1440" w:hanging="1440"/>
        <w:tabs>
          <w:tab w:val="num" w:pos="0" w:leader="none"/>
        </w:tabs>
      </w:pPr>
      <w:rPr>
        <w:rFonts w:eastAsia="SimSun;宋体"/>
        <w:b/>
        <w:bCs/>
        <w:sz w:val="28"/>
        <w:lang w:val="en-US"/>
      </w:rPr>
    </w:lvl>
    <w:lvl w:ilvl="8">
      <w:start w:val="1"/>
      <w:numFmt w:val="decimal"/>
      <w:isLgl w:val="false"/>
      <w:suff w:val="tab"/>
      <w:lvlText w:val="%1.%2.%3.%4.%5.%6.%7.%8.%9."/>
      <w:lvlJc w:val="left"/>
      <w:pPr>
        <w:ind w:left="1800" w:hanging="1800"/>
        <w:tabs>
          <w:tab w:val="num" w:pos="0" w:leader="none"/>
        </w:tabs>
      </w:pPr>
      <w:rPr>
        <w:rFonts w:eastAsia="SimSun;宋体"/>
        <w:b/>
        <w:bCs/>
        <w:sz w:val="28"/>
        <w:lang w:val="en-US"/>
      </w:rPr>
    </w:lvl>
  </w:abstractNum>
  <w:abstractNum w:abstractNumId="65">
    <w:multiLevelType w:val="hybridMultilevel"/>
    <w:lvl w:ilvl="0">
      <w:start w:val="3"/>
      <w:numFmt w:val="decimal"/>
      <w:isLgl w:val="false"/>
      <w:suff w:val="tab"/>
      <w:lvlText w:val="%1."/>
      <w:lvlJc w:val="left"/>
      <w:pPr>
        <w:ind w:left="450" w:hanging="450"/>
        <w:tabs>
          <w:tab w:val="num" w:pos="0" w:leader="none"/>
        </w:tabs>
      </w:pPr>
      <w:rPr>
        <w:rFonts w:eastAsia="SimSun;宋体"/>
        <w:b/>
        <w:bCs/>
        <w:sz w:val="28"/>
        <w:lang w:val="en-US"/>
      </w:rPr>
    </w:lvl>
    <w:lvl w:ilvl="1">
      <w:start w:val="1"/>
      <w:numFmt w:val="decimal"/>
      <w:isLgl w:val="false"/>
      <w:suff w:val="tab"/>
      <w:lvlText w:val="%1.%2."/>
      <w:lvlJc w:val="left"/>
      <w:pPr>
        <w:ind w:left="450" w:hanging="45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720" w:hanging="72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080" w:hanging="1080"/>
        <w:tabs>
          <w:tab w:val="num" w:pos="0" w:leader="none"/>
        </w:tabs>
      </w:pPr>
      <w:rPr>
        <w:rFonts w:eastAsia="SimSun;宋体"/>
        <w:b/>
        <w:bCs/>
        <w:sz w:val="28"/>
        <w:lang w:val="en-US"/>
      </w:rPr>
    </w:lvl>
    <w:lvl w:ilvl="6">
      <w:start w:val="1"/>
      <w:numFmt w:val="decimal"/>
      <w:isLgl w:val="false"/>
      <w:suff w:val="tab"/>
      <w:lvlText w:val="%1.%2.%3.%4.%5.%6.%7."/>
      <w:lvlJc w:val="left"/>
      <w:pPr>
        <w:ind w:left="1440" w:hanging="1440"/>
        <w:tabs>
          <w:tab w:val="num" w:pos="0" w:leader="none"/>
        </w:tabs>
      </w:pPr>
      <w:rPr>
        <w:rFonts w:eastAsia="SimSun;宋体"/>
        <w:b/>
        <w:bCs/>
        <w:sz w:val="28"/>
        <w:lang w:val="en-US"/>
      </w:rPr>
    </w:lvl>
    <w:lvl w:ilvl="7">
      <w:start w:val="1"/>
      <w:numFmt w:val="decimal"/>
      <w:isLgl w:val="false"/>
      <w:suff w:val="tab"/>
      <w:lvlText w:val="%1.%2.%3.%4.%5.%6.%7.%8."/>
      <w:lvlJc w:val="left"/>
      <w:pPr>
        <w:ind w:left="1440" w:hanging="1440"/>
        <w:tabs>
          <w:tab w:val="num" w:pos="0" w:leader="none"/>
        </w:tabs>
      </w:pPr>
      <w:rPr>
        <w:rFonts w:eastAsia="SimSun;宋体"/>
        <w:b/>
        <w:bCs/>
        <w:sz w:val="28"/>
        <w:lang w:val="en-US"/>
      </w:rPr>
    </w:lvl>
    <w:lvl w:ilvl="8">
      <w:start w:val="1"/>
      <w:numFmt w:val="decimal"/>
      <w:isLgl w:val="false"/>
      <w:suff w:val="tab"/>
      <w:lvlText w:val="%1.%2.%3.%4.%5.%6.%7.%8.%9."/>
      <w:lvlJc w:val="left"/>
      <w:pPr>
        <w:ind w:left="1800" w:hanging="1800"/>
        <w:tabs>
          <w:tab w:val="num" w:pos="0" w:leader="none"/>
        </w:tabs>
      </w:pPr>
      <w:rPr>
        <w:rFonts w:eastAsia="SimSun;宋体"/>
        <w:b/>
        <w:bCs/>
        <w:sz w:val="28"/>
        <w:lang w:val="en-US"/>
      </w:rPr>
    </w:lvl>
  </w:abstractNum>
  <w:abstractNum w:abstractNumId="66">
    <w:multiLevelType w:val="hybridMultilevel"/>
    <w:lvl w:ilvl="0">
      <w:start w:val="5"/>
      <w:numFmt w:val="decimal"/>
      <w:isLgl w:val="false"/>
      <w:suff w:val="tab"/>
      <w:lvlText w:val="%1."/>
      <w:lvlJc w:val="left"/>
      <w:pPr>
        <w:ind w:left="450" w:hanging="450"/>
        <w:tabs>
          <w:tab w:val="num" w:pos="0" w:leader="none"/>
        </w:tabs>
      </w:pPr>
      <w:rPr>
        <w:rFonts w:eastAsia="SimSun;宋体"/>
        <w:b/>
        <w:bCs/>
        <w:sz w:val="28"/>
        <w:lang w:val="en-US"/>
      </w:rPr>
    </w:lvl>
    <w:lvl w:ilvl="1">
      <w:start w:val="2"/>
      <w:numFmt w:val="decimal"/>
      <w:isLgl w:val="false"/>
      <w:suff w:val="tab"/>
      <w:lvlText w:val="%1.%2."/>
      <w:lvlJc w:val="left"/>
      <w:pPr>
        <w:ind w:left="450" w:hanging="45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720" w:hanging="72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080" w:hanging="1080"/>
        <w:tabs>
          <w:tab w:val="num" w:pos="0" w:leader="none"/>
        </w:tabs>
      </w:pPr>
      <w:rPr>
        <w:rFonts w:eastAsia="SimSun;宋体"/>
        <w:b/>
        <w:bCs/>
        <w:sz w:val="28"/>
        <w:lang w:val="en-US"/>
      </w:rPr>
    </w:lvl>
    <w:lvl w:ilvl="6">
      <w:start w:val="1"/>
      <w:numFmt w:val="decimal"/>
      <w:isLgl w:val="false"/>
      <w:suff w:val="tab"/>
      <w:lvlText w:val="%1.%2.%3.%4.%5.%6.%7."/>
      <w:lvlJc w:val="left"/>
      <w:pPr>
        <w:ind w:left="1440" w:hanging="1440"/>
        <w:tabs>
          <w:tab w:val="num" w:pos="0" w:leader="none"/>
        </w:tabs>
      </w:pPr>
      <w:rPr>
        <w:rFonts w:eastAsia="SimSun;宋体"/>
        <w:b/>
        <w:bCs/>
        <w:sz w:val="28"/>
        <w:lang w:val="en-US"/>
      </w:rPr>
    </w:lvl>
    <w:lvl w:ilvl="7">
      <w:start w:val="1"/>
      <w:numFmt w:val="decimal"/>
      <w:isLgl w:val="false"/>
      <w:suff w:val="tab"/>
      <w:lvlText w:val="%1.%2.%3.%4.%5.%6.%7.%8."/>
      <w:lvlJc w:val="left"/>
      <w:pPr>
        <w:ind w:left="1440" w:hanging="1440"/>
        <w:tabs>
          <w:tab w:val="num" w:pos="0" w:leader="none"/>
        </w:tabs>
      </w:pPr>
      <w:rPr>
        <w:rFonts w:eastAsia="SimSun;宋体"/>
        <w:b/>
        <w:bCs/>
        <w:sz w:val="28"/>
        <w:lang w:val="en-US"/>
      </w:rPr>
    </w:lvl>
    <w:lvl w:ilvl="8">
      <w:start w:val="1"/>
      <w:numFmt w:val="decimal"/>
      <w:isLgl w:val="false"/>
      <w:suff w:val="tab"/>
      <w:lvlText w:val="%1.%2.%3.%4.%5.%6.%7.%8.%9."/>
      <w:lvlJc w:val="left"/>
      <w:pPr>
        <w:ind w:left="1800" w:hanging="1800"/>
        <w:tabs>
          <w:tab w:val="num" w:pos="0" w:leader="none"/>
        </w:tabs>
      </w:pPr>
      <w:rPr>
        <w:rFonts w:eastAsia="SimSun;宋体"/>
        <w:b/>
        <w:bCs/>
        <w:sz w:val="28"/>
        <w:lang w:val="en-US"/>
      </w:rPr>
    </w:lvl>
  </w:abstractNum>
  <w:abstractNum w:abstractNumId="67">
    <w:multiLevelType w:val="hybridMultilevel"/>
    <w:lvl w:ilvl="0">
      <w:start w:val="3"/>
      <w:numFmt w:val="decimal"/>
      <w:isLgl w:val="false"/>
      <w:suff w:val="tab"/>
      <w:lvlText w:val="%1."/>
      <w:lvlJc w:val="left"/>
      <w:pPr>
        <w:ind w:left="450" w:hanging="450"/>
        <w:tabs>
          <w:tab w:val="num" w:pos="0" w:leader="none"/>
        </w:tabs>
      </w:pPr>
      <w:rPr>
        <w:rFonts w:eastAsia="SimSun;宋体"/>
        <w:b/>
        <w:bCs/>
        <w:sz w:val="28"/>
        <w:lang w:val="en-US"/>
      </w:rPr>
    </w:lvl>
    <w:lvl w:ilvl="1">
      <w:start w:val="1"/>
      <w:numFmt w:val="decimal"/>
      <w:isLgl w:val="false"/>
      <w:suff w:val="tab"/>
      <w:lvlText w:val="%1.%2."/>
      <w:lvlJc w:val="left"/>
      <w:pPr>
        <w:ind w:left="450" w:hanging="45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720" w:hanging="72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080" w:hanging="1080"/>
        <w:tabs>
          <w:tab w:val="num" w:pos="0" w:leader="none"/>
        </w:tabs>
      </w:pPr>
      <w:rPr>
        <w:rFonts w:eastAsia="SimSun;宋体"/>
        <w:b/>
        <w:bCs/>
        <w:sz w:val="28"/>
        <w:lang w:val="en-US"/>
      </w:rPr>
    </w:lvl>
    <w:lvl w:ilvl="6">
      <w:start w:val="1"/>
      <w:numFmt w:val="decimal"/>
      <w:isLgl w:val="false"/>
      <w:suff w:val="tab"/>
      <w:lvlText w:val="%1.%2.%3.%4.%5.%6.%7."/>
      <w:lvlJc w:val="left"/>
      <w:pPr>
        <w:ind w:left="1440" w:hanging="1440"/>
        <w:tabs>
          <w:tab w:val="num" w:pos="0" w:leader="none"/>
        </w:tabs>
      </w:pPr>
      <w:rPr>
        <w:rFonts w:eastAsia="SimSun;宋体"/>
        <w:b/>
        <w:bCs/>
        <w:sz w:val="28"/>
        <w:lang w:val="en-US"/>
      </w:rPr>
    </w:lvl>
    <w:lvl w:ilvl="7">
      <w:start w:val="1"/>
      <w:numFmt w:val="decimal"/>
      <w:isLgl w:val="false"/>
      <w:suff w:val="tab"/>
      <w:lvlText w:val="%1.%2.%3.%4.%5.%6.%7.%8."/>
      <w:lvlJc w:val="left"/>
      <w:pPr>
        <w:ind w:left="1440" w:hanging="1440"/>
        <w:tabs>
          <w:tab w:val="num" w:pos="0" w:leader="none"/>
        </w:tabs>
      </w:pPr>
      <w:rPr>
        <w:rFonts w:eastAsia="SimSun;宋体"/>
        <w:b/>
        <w:bCs/>
        <w:sz w:val="28"/>
        <w:lang w:val="en-US"/>
      </w:rPr>
    </w:lvl>
    <w:lvl w:ilvl="8">
      <w:start w:val="1"/>
      <w:numFmt w:val="decimal"/>
      <w:isLgl w:val="false"/>
      <w:suff w:val="tab"/>
      <w:lvlText w:val="%1.%2.%3.%4.%5.%6.%7.%8.%9."/>
      <w:lvlJc w:val="left"/>
      <w:pPr>
        <w:ind w:left="1800" w:hanging="1800"/>
        <w:tabs>
          <w:tab w:val="num" w:pos="0" w:leader="none"/>
        </w:tabs>
      </w:pPr>
      <w:rPr>
        <w:rFonts w:eastAsia="SimSun;宋体"/>
        <w:b/>
        <w:bCs/>
        <w:sz w:val="28"/>
        <w:lang w:val="en-US"/>
      </w:rPr>
    </w:lvl>
  </w:abstractNum>
  <w:abstractNum w:abstractNumId="68">
    <w:multiLevelType w:val="hybridMultilevel"/>
    <w:lvl w:ilvl="0">
      <w:start w:val="3"/>
      <w:numFmt w:val="decimal"/>
      <w:isLgl w:val="false"/>
      <w:suff w:val="tab"/>
      <w:lvlText w:val="%1."/>
      <w:lvlJc w:val="left"/>
      <w:pPr>
        <w:ind w:left="675" w:hanging="675"/>
        <w:tabs>
          <w:tab w:val="num" w:pos="0" w:leader="none"/>
        </w:tabs>
      </w:pPr>
      <w:rPr>
        <w:rFonts w:eastAsia="SimSun;宋体"/>
        <w:sz w:val="28"/>
      </w:rPr>
    </w:lvl>
    <w:lvl w:ilvl="1">
      <w:start w:val="2"/>
      <w:numFmt w:val="decimal"/>
      <w:isLgl w:val="false"/>
      <w:suff w:val="tab"/>
      <w:lvlText w:val="%1.%2."/>
      <w:lvlJc w:val="left"/>
      <w:pPr>
        <w:ind w:left="675" w:hanging="675"/>
        <w:tabs>
          <w:tab w:val="num" w:pos="0" w:leader="none"/>
        </w:tabs>
      </w:pPr>
      <w:rPr>
        <w:rFonts w:eastAsia="SimSun;宋体"/>
        <w:sz w:val="28"/>
      </w:rPr>
    </w:lvl>
    <w:lvl w:ilvl="2">
      <w:start w:val="1"/>
      <w:numFmt w:val="decimal"/>
      <w:isLgl w:val="false"/>
      <w:suff w:val="tab"/>
      <w:lvlText w:val="%1.%2.%3."/>
      <w:lvlJc w:val="left"/>
      <w:pPr>
        <w:ind w:left="720" w:hanging="720"/>
        <w:tabs>
          <w:tab w:val="num" w:pos="0" w:leader="none"/>
        </w:tabs>
      </w:pPr>
      <w:rPr>
        <w:rFonts w:eastAsia="SimSun;宋体"/>
        <w:b/>
        <w:sz w:val="28"/>
      </w:rPr>
    </w:lvl>
    <w:lvl w:ilvl="3">
      <w:start w:val="1"/>
      <w:numFmt w:val="decimal"/>
      <w:isLgl w:val="false"/>
      <w:suff w:val="tab"/>
      <w:lvlText w:val="%1.%2.%3.%4."/>
      <w:lvlJc w:val="left"/>
      <w:pPr>
        <w:ind w:left="720" w:hanging="720"/>
        <w:tabs>
          <w:tab w:val="num" w:pos="0" w:leader="none"/>
        </w:tabs>
      </w:pPr>
      <w:rPr>
        <w:rFonts w:eastAsia="SimSun;宋体"/>
        <w:sz w:val="28"/>
      </w:rPr>
    </w:lvl>
    <w:lvl w:ilvl="4">
      <w:start w:val="1"/>
      <w:numFmt w:val="decimal"/>
      <w:isLgl w:val="false"/>
      <w:suff w:val="tab"/>
      <w:lvlText w:val="%1.%2.%3.%4.%5."/>
      <w:lvlJc w:val="left"/>
      <w:pPr>
        <w:ind w:left="1080" w:hanging="1080"/>
        <w:tabs>
          <w:tab w:val="num" w:pos="0" w:leader="none"/>
        </w:tabs>
      </w:pPr>
      <w:rPr>
        <w:rFonts w:eastAsia="SimSun;宋体"/>
        <w:sz w:val="28"/>
      </w:rPr>
    </w:lvl>
    <w:lvl w:ilvl="5">
      <w:start w:val="1"/>
      <w:numFmt w:val="decimal"/>
      <w:isLgl w:val="false"/>
      <w:suff w:val="tab"/>
      <w:lvlText w:val="%1.%2.%3.%4.%5.%6."/>
      <w:lvlJc w:val="left"/>
      <w:pPr>
        <w:ind w:left="1080" w:hanging="1080"/>
        <w:tabs>
          <w:tab w:val="num" w:pos="0" w:leader="none"/>
        </w:tabs>
      </w:pPr>
      <w:rPr>
        <w:rFonts w:eastAsia="SimSun;宋体"/>
        <w:sz w:val="28"/>
      </w:rPr>
    </w:lvl>
    <w:lvl w:ilvl="6">
      <w:start w:val="1"/>
      <w:numFmt w:val="decimal"/>
      <w:isLgl w:val="false"/>
      <w:suff w:val="tab"/>
      <w:lvlText w:val="%1.%2.%3.%4.%5.%6.%7."/>
      <w:lvlJc w:val="left"/>
      <w:pPr>
        <w:ind w:left="1440" w:hanging="1440"/>
        <w:tabs>
          <w:tab w:val="num" w:pos="0" w:leader="none"/>
        </w:tabs>
      </w:pPr>
      <w:rPr>
        <w:rFonts w:eastAsia="SimSun;宋体"/>
        <w:sz w:val="28"/>
      </w:rPr>
    </w:lvl>
    <w:lvl w:ilvl="7">
      <w:start w:val="1"/>
      <w:numFmt w:val="decimal"/>
      <w:isLgl w:val="false"/>
      <w:suff w:val="tab"/>
      <w:lvlText w:val="%1.%2.%3.%4.%5.%6.%7.%8."/>
      <w:lvlJc w:val="left"/>
      <w:pPr>
        <w:ind w:left="1440" w:hanging="1440"/>
        <w:tabs>
          <w:tab w:val="num" w:pos="0" w:leader="none"/>
        </w:tabs>
      </w:pPr>
      <w:rPr>
        <w:rFonts w:eastAsia="SimSun;宋体"/>
        <w:sz w:val="28"/>
      </w:rPr>
    </w:lvl>
    <w:lvl w:ilvl="8">
      <w:start w:val="1"/>
      <w:numFmt w:val="decimal"/>
      <w:isLgl w:val="false"/>
      <w:suff w:val="tab"/>
      <w:lvlText w:val="%1.%2.%3.%4.%5.%6.%7.%8.%9."/>
      <w:lvlJc w:val="left"/>
      <w:pPr>
        <w:ind w:left="1800" w:hanging="1800"/>
        <w:tabs>
          <w:tab w:val="num" w:pos="0" w:leader="none"/>
        </w:tabs>
      </w:pPr>
      <w:rPr>
        <w:rFonts w:eastAsia="SimSun;宋体"/>
        <w:sz w:val="28"/>
      </w:rPr>
    </w:lvl>
  </w:abstractNum>
  <w:abstractNum w:abstractNumId="69">
    <w:multiLevelType w:val="hybridMultilevel"/>
    <w:lvl w:ilvl="0">
      <w:start w:val="3"/>
      <w:numFmt w:val="decimal"/>
      <w:isLgl w:val="false"/>
      <w:suff w:val="tab"/>
      <w:lvlText w:val="%1"/>
      <w:lvlJc w:val="left"/>
      <w:pPr>
        <w:ind w:left="600" w:hanging="600"/>
        <w:tabs>
          <w:tab w:val="num" w:pos="0" w:leader="none"/>
        </w:tabs>
      </w:pPr>
      <w:rPr>
        <w:rFonts w:eastAsia="SimSun;宋体"/>
        <w:sz w:val="28"/>
      </w:rPr>
    </w:lvl>
    <w:lvl w:ilvl="1">
      <w:start w:val="2"/>
      <w:numFmt w:val="decimal"/>
      <w:isLgl w:val="false"/>
      <w:suff w:val="tab"/>
      <w:lvlText w:val="%1.%2"/>
      <w:lvlJc w:val="left"/>
      <w:pPr>
        <w:ind w:left="883" w:hanging="600"/>
        <w:tabs>
          <w:tab w:val="num" w:pos="0" w:leader="none"/>
        </w:tabs>
      </w:pPr>
      <w:rPr>
        <w:rFonts w:eastAsia="SimSun;宋体"/>
        <w:sz w:val="28"/>
      </w:rPr>
    </w:lvl>
    <w:lvl w:ilvl="2">
      <w:start w:val="2"/>
      <w:numFmt w:val="decimal"/>
      <w:isLgl w:val="false"/>
      <w:suff w:val="tab"/>
      <w:lvlText w:val="%1.%2.%3"/>
      <w:lvlJc w:val="left"/>
      <w:pPr>
        <w:ind w:left="1286" w:hanging="720"/>
        <w:tabs>
          <w:tab w:val="num" w:pos="0" w:leader="none"/>
        </w:tabs>
      </w:pPr>
      <w:rPr>
        <w:rFonts w:eastAsia="SimSun;宋体"/>
        <w:b/>
        <w:sz w:val="28"/>
      </w:rPr>
    </w:lvl>
    <w:lvl w:ilvl="3">
      <w:start w:val="1"/>
      <w:numFmt w:val="decimal"/>
      <w:isLgl w:val="false"/>
      <w:suff w:val="tab"/>
      <w:lvlText w:val="%1.%2.%3.%4"/>
      <w:lvlJc w:val="left"/>
      <w:pPr>
        <w:ind w:left="1569" w:hanging="720"/>
        <w:tabs>
          <w:tab w:val="num" w:pos="0" w:leader="none"/>
        </w:tabs>
      </w:pPr>
      <w:rPr>
        <w:rFonts w:eastAsia="SimSun;宋体"/>
        <w:sz w:val="28"/>
      </w:rPr>
    </w:lvl>
    <w:lvl w:ilvl="4">
      <w:start w:val="1"/>
      <w:numFmt w:val="decimal"/>
      <w:isLgl w:val="false"/>
      <w:suff w:val="tab"/>
      <w:lvlText w:val="%1.%2.%3.%4.%5"/>
      <w:lvlJc w:val="left"/>
      <w:pPr>
        <w:ind w:left="2212" w:hanging="1080"/>
        <w:tabs>
          <w:tab w:val="num" w:pos="0" w:leader="none"/>
        </w:tabs>
      </w:pPr>
      <w:rPr>
        <w:rFonts w:eastAsia="SimSun;宋体"/>
        <w:sz w:val="28"/>
      </w:rPr>
    </w:lvl>
    <w:lvl w:ilvl="5">
      <w:start w:val="1"/>
      <w:numFmt w:val="decimal"/>
      <w:isLgl w:val="false"/>
      <w:suff w:val="tab"/>
      <w:lvlText w:val="%1.%2.%3.%4.%5.%6"/>
      <w:lvlJc w:val="left"/>
      <w:pPr>
        <w:ind w:left="2495" w:hanging="1080"/>
        <w:tabs>
          <w:tab w:val="num" w:pos="0" w:leader="none"/>
        </w:tabs>
      </w:pPr>
      <w:rPr>
        <w:rFonts w:eastAsia="SimSun;宋体"/>
        <w:sz w:val="28"/>
      </w:rPr>
    </w:lvl>
    <w:lvl w:ilvl="6">
      <w:start w:val="1"/>
      <w:numFmt w:val="decimal"/>
      <w:isLgl w:val="false"/>
      <w:suff w:val="tab"/>
      <w:lvlText w:val="%1.%2.%3.%4.%5.%6.%7"/>
      <w:lvlJc w:val="left"/>
      <w:pPr>
        <w:ind w:left="3138" w:hanging="1440"/>
        <w:tabs>
          <w:tab w:val="num" w:pos="0" w:leader="none"/>
        </w:tabs>
      </w:pPr>
      <w:rPr>
        <w:rFonts w:eastAsia="SimSun;宋体"/>
        <w:sz w:val="28"/>
      </w:rPr>
    </w:lvl>
    <w:lvl w:ilvl="7">
      <w:start w:val="1"/>
      <w:numFmt w:val="decimal"/>
      <w:isLgl w:val="false"/>
      <w:suff w:val="tab"/>
      <w:lvlText w:val="%1.%2.%3.%4.%5.%6.%7.%8"/>
      <w:lvlJc w:val="left"/>
      <w:pPr>
        <w:ind w:left="3421" w:hanging="1440"/>
        <w:tabs>
          <w:tab w:val="num" w:pos="0" w:leader="none"/>
        </w:tabs>
      </w:pPr>
      <w:rPr>
        <w:rFonts w:eastAsia="SimSun;宋体"/>
        <w:sz w:val="28"/>
      </w:rPr>
    </w:lvl>
    <w:lvl w:ilvl="8">
      <w:start w:val="1"/>
      <w:numFmt w:val="decimal"/>
      <w:isLgl w:val="false"/>
      <w:suff w:val="tab"/>
      <w:lvlText w:val="%1.%2.%3.%4.%5.%6.%7.%8.%9"/>
      <w:lvlJc w:val="left"/>
      <w:pPr>
        <w:ind w:left="4064" w:hanging="1800"/>
        <w:tabs>
          <w:tab w:val="num" w:pos="0" w:leader="none"/>
        </w:tabs>
      </w:pPr>
      <w:rPr>
        <w:rFonts w:eastAsia="SimSun;宋体"/>
        <w:sz w:val="28"/>
      </w:rPr>
    </w:lvl>
  </w:abstractNum>
  <w:abstractNum w:abstractNumId="70">
    <w:multiLevelType w:val="hybridMultilevel"/>
    <w:lvl w:ilvl="0">
      <w:start w:val="5"/>
      <w:numFmt w:val="decimal"/>
      <w:isLgl w:val="false"/>
      <w:suff w:val="tab"/>
      <w:lvlText w:val="%1."/>
      <w:lvlJc w:val="left"/>
      <w:pPr>
        <w:ind w:left="450" w:hanging="450"/>
        <w:tabs>
          <w:tab w:val="num" w:pos="0" w:leader="none"/>
        </w:tabs>
      </w:pPr>
      <w:rPr>
        <w:rFonts w:eastAsia="SimSun;宋体"/>
        <w:b/>
        <w:bCs/>
        <w:sz w:val="28"/>
        <w:lang w:val="en-US"/>
      </w:rPr>
    </w:lvl>
    <w:lvl w:ilvl="1">
      <w:start w:val="2"/>
      <w:numFmt w:val="decimal"/>
      <w:isLgl w:val="false"/>
      <w:suff w:val="tab"/>
      <w:lvlText w:val="%1.%2."/>
      <w:lvlJc w:val="left"/>
      <w:pPr>
        <w:ind w:left="450" w:hanging="450"/>
        <w:tabs>
          <w:tab w:val="num" w:pos="0" w:leader="none"/>
        </w:tabs>
      </w:pPr>
      <w:rPr>
        <w:rFonts w:eastAsia="SimSun;宋体"/>
        <w:b/>
        <w:bCs/>
        <w:sz w:val="28"/>
        <w:lang w:val="en-US"/>
      </w:rPr>
    </w:lvl>
    <w:lvl w:ilvl="2">
      <w:start w:val="1"/>
      <w:numFmt w:val="decimal"/>
      <w:isLgl w:val="false"/>
      <w:suff w:val="tab"/>
      <w:lvlText w:val="%1.%2.%3."/>
      <w:lvlJc w:val="left"/>
      <w:pPr>
        <w:ind w:left="720" w:hanging="720"/>
        <w:tabs>
          <w:tab w:val="num" w:pos="0" w:leader="none"/>
        </w:tabs>
      </w:pPr>
      <w:rPr>
        <w:rFonts w:eastAsia="SimSun;宋体"/>
        <w:b/>
        <w:bCs/>
        <w:sz w:val="28"/>
        <w:lang w:val="en-US"/>
      </w:rPr>
    </w:lvl>
    <w:lvl w:ilvl="3">
      <w:start w:val="1"/>
      <w:numFmt w:val="decimal"/>
      <w:isLgl w:val="false"/>
      <w:suff w:val="tab"/>
      <w:lvlText w:val="%1.%2.%3.%4."/>
      <w:lvlJc w:val="left"/>
      <w:pPr>
        <w:ind w:left="720" w:hanging="720"/>
        <w:tabs>
          <w:tab w:val="num" w:pos="0" w:leader="none"/>
        </w:tabs>
      </w:pPr>
      <w:rPr>
        <w:rFonts w:eastAsia="SimSun;宋体"/>
        <w:b/>
        <w:bCs/>
        <w:sz w:val="28"/>
        <w:lang w:val="en-US"/>
      </w:rPr>
    </w:lvl>
    <w:lvl w:ilvl="4">
      <w:start w:val="1"/>
      <w:numFmt w:val="decimal"/>
      <w:isLgl w:val="false"/>
      <w:suff w:val="tab"/>
      <w:lvlText w:val="%1.%2.%3.%4.%5."/>
      <w:lvlJc w:val="left"/>
      <w:pPr>
        <w:ind w:left="1080" w:hanging="1080"/>
        <w:tabs>
          <w:tab w:val="num" w:pos="0" w:leader="none"/>
        </w:tabs>
      </w:pPr>
      <w:rPr>
        <w:rFonts w:eastAsia="SimSun;宋体"/>
        <w:b/>
        <w:bCs/>
        <w:sz w:val="28"/>
        <w:lang w:val="en-US"/>
      </w:rPr>
    </w:lvl>
    <w:lvl w:ilvl="5">
      <w:start w:val="1"/>
      <w:numFmt w:val="decimal"/>
      <w:isLgl w:val="false"/>
      <w:suff w:val="tab"/>
      <w:lvlText w:val="%1.%2.%3.%4.%5.%6."/>
      <w:lvlJc w:val="left"/>
      <w:pPr>
        <w:ind w:left="1080" w:hanging="1080"/>
        <w:tabs>
          <w:tab w:val="num" w:pos="0" w:leader="none"/>
        </w:tabs>
      </w:pPr>
      <w:rPr>
        <w:rFonts w:eastAsia="SimSun;宋体"/>
        <w:b/>
        <w:bCs/>
        <w:sz w:val="28"/>
        <w:lang w:val="en-US"/>
      </w:rPr>
    </w:lvl>
    <w:lvl w:ilvl="6">
      <w:start w:val="1"/>
      <w:numFmt w:val="decimal"/>
      <w:isLgl w:val="false"/>
      <w:suff w:val="tab"/>
      <w:lvlText w:val="%1.%2.%3.%4.%5.%6.%7."/>
      <w:lvlJc w:val="left"/>
      <w:pPr>
        <w:ind w:left="1440" w:hanging="1440"/>
        <w:tabs>
          <w:tab w:val="num" w:pos="0" w:leader="none"/>
        </w:tabs>
      </w:pPr>
      <w:rPr>
        <w:rFonts w:eastAsia="SimSun;宋体"/>
        <w:b/>
        <w:bCs/>
        <w:sz w:val="28"/>
        <w:lang w:val="en-US"/>
      </w:rPr>
    </w:lvl>
    <w:lvl w:ilvl="7">
      <w:start w:val="1"/>
      <w:numFmt w:val="decimal"/>
      <w:isLgl w:val="false"/>
      <w:suff w:val="tab"/>
      <w:lvlText w:val="%1.%2.%3.%4.%5.%6.%7.%8."/>
      <w:lvlJc w:val="left"/>
      <w:pPr>
        <w:ind w:left="1440" w:hanging="1440"/>
        <w:tabs>
          <w:tab w:val="num" w:pos="0" w:leader="none"/>
        </w:tabs>
      </w:pPr>
      <w:rPr>
        <w:rFonts w:eastAsia="SimSun;宋体"/>
        <w:b/>
        <w:bCs/>
        <w:sz w:val="28"/>
        <w:lang w:val="en-US"/>
      </w:rPr>
    </w:lvl>
    <w:lvl w:ilvl="8">
      <w:start w:val="1"/>
      <w:numFmt w:val="decimal"/>
      <w:isLgl w:val="false"/>
      <w:suff w:val="tab"/>
      <w:lvlText w:val="%1.%2.%3.%4.%5.%6.%7.%8.%9."/>
      <w:lvlJc w:val="left"/>
      <w:pPr>
        <w:ind w:left="1800" w:hanging="1800"/>
        <w:tabs>
          <w:tab w:val="num" w:pos="0" w:leader="none"/>
        </w:tabs>
      </w:pPr>
      <w:rPr>
        <w:rFonts w:eastAsia="SimSun;宋体"/>
        <w:b/>
        <w:bCs/>
        <w:sz w:val="28"/>
        <w:lang w:val="en-US"/>
      </w:rPr>
    </w:lvl>
  </w:abstractNum>
  <w:abstractNum w:abstractNumId="71">
    <w:multiLevelType w:val="hybridMultilevel"/>
    <w:lvl w:ilvl="0">
      <w:start w:val="3"/>
      <w:numFmt w:val="decimal"/>
      <w:isLgl w:val="false"/>
      <w:suff w:val="tab"/>
      <w:lvlText w:val="%1."/>
      <w:lvlJc w:val="left"/>
      <w:pPr>
        <w:ind w:left="675" w:hanging="675"/>
        <w:tabs>
          <w:tab w:val="num" w:pos="0" w:leader="none"/>
        </w:tabs>
      </w:pPr>
      <w:rPr>
        <w:rFonts w:eastAsia="SimSun;宋体"/>
        <w:sz w:val="28"/>
      </w:rPr>
    </w:lvl>
    <w:lvl w:ilvl="1">
      <w:start w:val="2"/>
      <w:numFmt w:val="decimal"/>
      <w:isLgl w:val="false"/>
      <w:suff w:val="tab"/>
      <w:lvlText w:val="%1.%2."/>
      <w:lvlJc w:val="left"/>
      <w:pPr>
        <w:ind w:left="958" w:hanging="675"/>
        <w:tabs>
          <w:tab w:val="num" w:pos="0" w:leader="none"/>
        </w:tabs>
      </w:pPr>
      <w:rPr>
        <w:rFonts w:eastAsia="SimSun;宋体"/>
        <w:sz w:val="28"/>
      </w:rPr>
    </w:lvl>
    <w:lvl w:ilvl="2">
      <w:start w:val="1"/>
      <w:numFmt w:val="decimal"/>
      <w:isLgl w:val="false"/>
      <w:suff w:val="tab"/>
      <w:lvlText w:val="%1.%2.%3."/>
      <w:lvlJc w:val="left"/>
      <w:pPr>
        <w:ind w:left="1286" w:hanging="720"/>
        <w:tabs>
          <w:tab w:val="num" w:pos="0" w:leader="none"/>
        </w:tabs>
      </w:pPr>
      <w:rPr>
        <w:rFonts w:eastAsia="SimSun;宋体"/>
        <w:b/>
        <w:sz w:val="28"/>
      </w:rPr>
    </w:lvl>
    <w:lvl w:ilvl="3">
      <w:start w:val="1"/>
      <w:numFmt w:val="decimal"/>
      <w:isLgl w:val="false"/>
      <w:suff w:val="tab"/>
      <w:lvlText w:val="%1.%2.%3.%4."/>
      <w:lvlJc w:val="left"/>
      <w:pPr>
        <w:ind w:left="1569" w:hanging="720"/>
        <w:tabs>
          <w:tab w:val="num" w:pos="0" w:leader="none"/>
        </w:tabs>
      </w:pPr>
      <w:rPr>
        <w:rFonts w:eastAsia="SimSun;宋体"/>
        <w:sz w:val="28"/>
      </w:rPr>
    </w:lvl>
    <w:lvl w:ilvl="4">
      <w:start w:val="1"/>
      <w:numFmt w:val="decimal"/>
      <w:isLgl w:val="false"/>
      <w:suff w:val="tab"/>
      <w:lvlText w:val="%1.%2.%3.%4.%5."/>
      <w:lvlJc w:val="left"/>
      <w:pPr>
        <w:ind w:left="2212" w:hanging="1080"/>
        <w:tabs>
          <w:tab w:val="num" w:pos="0" w:leader="none"/>
        </w:tabs>
      </w:pPr>
      <w:rPr>
        <w:rFonts w:eastAsia="SimSun;宋体"/>
        <w:sz w:val="28"/>
      </w:rPr>
    </w:lvl>
    <w:lvl w:ilvl="5">
      <w:start w:val="1"/>
      <w:numFmt w:val="decimal"/>
      <w:isLgl w:val="false"/>
      <w:suff w:val="tab"/>
      <w:lvlText w:val="%1.%2.%3.%4.%5.%6."/>
      <w:lvlJc w:val="left"/>
      <w:pPr>
        <w:ind w:left="2495" w:hanging="1080"/>
        <w:tabs>
          <w:tab w:val="num" w:pos="0" w:leader="none"/>
        </w:tabs>
      </w:pPr>
      <w:rPr>
        <w:rFonts w:eastAsia="SimSun;宋体"/>
        <w:sz w:val="28"/>
      </w:rPr>
    </w:lvl>
    <w:lvl w:ilvl="6">
      <w:start w:val="1"/>
      <w:numFmt w:val="decimal"/>
      <w:isLgl w:val="false"/>
      <w:suff w:val="tab"/>
      <w:lvlText w:val="%1.%2.%3.%4.%5.%6.%7."/>
      <w:lvlJc w:val="left"/>
      <w:pPr>
        <w:ind w:left="3138" w:hanging="1440"/>
        <w:tabs>
          <w:tab w:val="num" w:pos="0" w:leader="none"/>
        </w:tabs>
      </w:pPr>
      <w:rPr>
        <w:rFonts w:eastAsia="SimSun;宋体"/>
        <w:sz w:val="28"/>
      </w:rPr>
    </w:lvl>
    <w:lvl w:ilvl="7">
      <w:start w:val="1"/>
      <w:numFmt w:val="decimal"/>
      <w:isLgl w:val="false"/>
      <w:suff w:val="tab"/>
      <w:lvlText w:val="%1.%2.%3.%4.%5.%6.%7.%8."/>
      <w:lvlJc w:val="left"/>
      <w:pPr>
        <w:ind w:left="3421" w:hanging="1440"/>
        <w:tabs>
          <w:tab w:val="num" w:pos="0" w:leader="none"/>
        </w:tabs>
      </w:pPr>
      <w:rPr>
        <w:rFonts w:eastAsia="SimSun;宋体"/>
        <w:sz w:val="28"/>
      </w:rPr>
    </w:lvl>
    <w:lvl w:ilvl="8">
      <w:start w:val="1"/>
      <w:numFmt w:val="decimal"/>
      <w:isLgl w:val="false"/>
      <w:suff w:val="tab"/>
      <w:lvlText w:val="%1.%2.%3.%4.%5.%6.%7.%8.%9."/>
      <w:lvlJc w:val="left"/>
      <w:pPr>
        <w:ind w:left="4064" w:hanging="1800"/>
        <w:tabs>
          <w:tab w:val="num" w:pos="0" w:leader="none"/>
        </w:tabs>
      </w:pPr>
      <w:rPr>
        <w:rFonts w:eastAsia="SimSun;宋体"/>
        <w:sz w:val="28"/>
      </w:rPr>
    </w:lvl>
  </w:abstractNum>
  <w:abstractNum w:abstractNumId="72">
    <w:multiLevelType w:val="hybridMultilevel"/>
    <w:lvl w:ilvl="0">
      <w:start w:val="3"/>
      <w:numFmt w:val="decimal"/>
      <w:isLgl w:val="false"/>
      <w:suff w:val="tab"/>
      <w:lvlText w:val="%1."/>
      <w:lvlJc w:val="left"/>
      <w:pPr>
        <w:ind w:left="675" w:hanging="675"/>
        <w:tabs>
          <w:tab w:val="num" w:pos="0" w:leader="none"/>
        </w:tabs>
      </w:pPr>
      <w:rPr>
        <w:rFonts w:eastAsia="SimSun;宋体"/>
        <w:sz w:val="28"/>
      </w:rPr>
    </w:lvl>
    <w:lvl w:ilvl="1">
      <w:start w:val="2"/>
      <w:numFmt w:val="decimal"/>
      <w:isLgl w:val="false"/>
      <w:suff w:val="tab"/>
      <w:lvlText w:val="%1.%2."/>
      <w:lvlJc w:val="left"/>
      <w:pPr>
        <w:ind w:left="675" w:hanging="675"/>
        <w:tabs>
          <w:tab w:val="num" w:pos="0" w:leader="none"/>
        </w:tabs>
      </w:pPr>
      <w:rPr>
        <w:rFonts w:eastAsia="SimSun;宋体"/>
        <w:sz w:val="28"/>
      </w:rPr>
    </w:lvl>
    <w:lvl w:ilvl="2">
      <w:start w:val="1"/>
      <w:numFmt w:val="decimal"/>
      <w:isLgl w:val="false"/>
      <w:suff w:val="tab"/>
      <w:lvlText w:val="%1.%2.%3."/>
      <w:lvlJc w:val="left"/>
      <w:pPr>
        <w:ind w:left="720" w:hanging="720"/>
        <w:tabs>
          <w:tab w:val="num" w:pos="0" w:leader="none"/>
        </w:tabs>
      </w:pPr>
      <w:rPr>
        <w:rFonts w:eastAsia="SimSun;宋体"/>
        <w:b/>
        <w:sz w:val="28"/>
        <w:lang w:val="en-US"/>
      </w:rPr>
    </w:lvl>
    <w:lvl w:ilvl="3">
      <w:start w:val="1"/>
      <w:numFmt w:val="decimal"/>
      <w:isLgl w:val="false"/>
      <w:suff w:val="tab"/>
      <w:lvlText w:val="%1.%2.%3.%4."/>
      <w:lvlJc w:val="left"/>
      <w:pPr>
        <w:ind w:left="720" w:hanging="720"/>
        <w:tabs>
          <w:tab w:val="num" w:pos="0" w:leader="none"/>
        </w:tabs>
      </w:pPr>
      <w:rPr>
        <w:rFonts w:eastAsia="SimSun;宋体"/>
        <w:sz w:val="28"/>
      </w:rPr>
    </w:lvl>
    <w:lvl w:ilvl="4">
      <w:start w:val="1"/>
      <w:numFmt w:val="decimal"/>
      <w:isLgl w:val="false"/>
      <w:suff w:val="tab"/>
      <w:lvlText w:val="%1.%2.%3.%4.%5."/>
      <w:lvlJc w:val="left"/>
      <w:pPr>
        <w:ind w:left="1080" w:hanging="1080"/>
        <w:tabs>
          <w:tab w:val="num" w:pos="0" w:leader="none"/>
        </w:tabs>
      </w:pPr>
      <w:rPr>
        <w:rFonts w:eastAsia="SimSun;宋体"/>
        <w:sz w:val="28"/>
      </w:rPr>
    </w:lvl>
    <w:lvl w:ilvl="5">
      <w:start w:val="1"/>
      <w:numFmt w:val="decimal"/>
      <w:isLgl w:val="false"/>
      <w:suff w:val="tab"/>
      <w:lvlText w:val="%1.%2.%3.%4.%5.%6."/>
      <w:lvlJc w:val="left"/>
      <w:pPr>
        <w:ind w:left="1080" w:hanging="1080"/>
        <w:tabs>
          <w:tab w:val="num" w:pos="0" w:leader="none"/>
        </w:tabs>
      </w:pPr>
      <w:rPr>
        <w:rFonts w:eastAsia="SimSun;宋体"/>
        <w:sz w:val="28"/>
      </w:rPr>
    </w:lvl>
    <w:lvl w:ilvl="6">
      <w:start w:val="1"/>
      <w:numFmt w:val="decimal"/>
      <w:isLgl w:val="false"/>
      <w:suff w:val="tab"/>
      <w:lvlText w:val="%1.%2.%3.%4.%5.%6.%7."/>
      <w:lvlJc w:val="left"/>
      <w:pPr>
        <w:ind w:left="1440" w:hanging="1440"/>
        <w:tabs>
          <w:tab w:val="num" w:pos="0" w:leader="none"/>
        </w:tabs>
      </w:pPr>
      <w:rPr>
        <w:rFonts w:eastAsia="SimSun;宋体"/>
        <w:sz w:val="28"/>
      </w:rPr>
    </w:lvl>
    <w:lvl w:ilvl="7">
      <w:start w:val="1"/>
      <w:numFmt w:val="decimal"/>
      <w:isLgl w:val="false"/>
      <w:suff w:val="tab"/>
      <w:lvlText w:val="%1.%2.%3.%4.%5.%6.%7.%8."/>
      <w:lvlJc w:val="left"/>
      <w:pPr>
        <w:ind w:left="1440" w:hanging="1440"/>
        <w:tabs>
          <w:tab w:val="num" w:pos="0" w:leader="none"/>
        </w:tabs>
      </w:pPr>
      <w:rPr>
        <w:rFonts w:eastAsia="SimSun;宋体"/>
        <w:sz w:val="28"/>
      </w:rPr>
    </w:lvl>
    <w:lvl w:ilvl="8">
      <w:start w:val="1"/>
      <w:numFmt w:val="decimal"/>
      <w:isLgl w:val="false"/>
      <w:suff w:val="tab"/>
      <w:lvlText w:val="%1.%2.%3.%4.%5.%6.%7.%8.%9."/>
      <w:lvlJc w:val="left"/>
      <w:pPr>
        <w:ind w:left="1800" w:hanging="1800"/>
        <w:tabs>
          <w:tab w:val="num" w:pos="0" w:leader="none"/>
        </w:tabs>
      </w:pPr>
      <w:rPr>
        <w:rFonts w:eastAsia="SimSun;宋体"/>
        <w:sz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DejaVu Sans" w:eastAsia="DejaVu Sans" w:hint="default"/>
        <w:sz w:val="24"/>
        <w:szCs w:val="24"/>
        <w:lang w:val="en-US" w:bidi="hi-IN"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9"/>
    <w:link w:val="941"/>
    <w:uiPriority w:val="9"/>
    <w:rPr>
      <w:rFonts w:ascii="Arial" w:hAnsi="Arial" w:cs="Arial" w:eastAsia="Arial"/>
      <w:sz w:val="40"/>
      <w:szCs w:val="40"/>
    </w:rPr>
  </w:style>
  <w:style w:type="character" w:styleId="14">
    <w:name w:val="Heading 2 Char"/>
    <w:basedOn w:val="9"/>
    <w:link w:val="942"/>
    <w:uiPriority w:val="9"/>
    <w:rPr>
      <w:rFonts w:ascii="Arial" w:hAnsi="Arial" w:cs="Arial" w:eastAsia="Arial"/>
      <w:sz w:val="34"/>
    </w:rPr>
  </w:style>
  <w:style w:type="character" w:styleId="16">
    <w:name w:val="Heading 3 Char"/>
    <w:basedOn w:val="9"/>
    <w:link w:val="943"/>
    <w:uiPriority w:val="9"/>
    <w:rPr>
      <w:rFonts w:ascii="Arial" w:hAnsi="Arial" w:cs="Arial" w:eastAsia="Arial"/>
      <w:sz w:val="30"/>
      <w:szCs w:val="30"/>
    </w:rPr>
  </w:style>
  <w:style w:type="character" w:styleId="18">
    <w:name w:val="Heading 4 Char"/>
    <w:basedOn w:val="9"/>
    <w:link w:val="944"/>
    <w:uiPriority w:val="9"/>
    <w:rPr>
      <w:rFonts w:ascii="Arial" w:hAnsi="Arial" w:cs="Arial" w:eastAsia="Arial"/>
      <w:b/>
      <w:bCs/>
      <w:sz w:val="26"/>
      <w:szCs w:val="26"/>
    </w:rPr>
  </w:style>
  <w:style w:type="character" w:styleId="20">
    <w:name w:val="Heading 5 Char"/>
    <w:basedOn w:val="9"/>
    <w:link w:val="945"/>
    <w:uiPriority w:val="9"/>
    <w:rPr>
      <w:rFonts w:ascii="Arial" w:hAnsi="Arial" w:cs="Arial" w:eastAsia="Arial"/>
      <w:b/>
      <w:bCs/>
      <w:sz w:val="24"/>
      <w:szCs w:val="24"/>
    </w:rPr>
  </w:style>
  <w:style w:type="character" w:styleId="22">
    <w:name w:val="Heading 6 Char"/>
    <w:basedOn w:val="9"/>
    <w:link w:val="946"/>
    <w:uiPriority w:val="9"/>
    <w:rPr>
      <w:rFonts w:ascii="Arial" w:hAnsi="Arial" w:cs="Arial" w:eastAsia="Arial"/>
      <w:b/>
      <w:bCs/>
      <w:sz w:val="22"/>
      <w:szCs w:val="22"/>
    </w:rPr>
  </w:style>
  <w:style w:type="character" w:styleId="24">
    <w:name w:val="Heading 7 Char"/>
    <w:basedOn w:val="9"/>
    <w:link w:val="947"/>
    <w:uiPriority w:val="9"/>
    <w:rPr>
      <w:rFonts w:ascii="Arial" w:hAnsi="Arial" w:cs="Arial" w:eastAsia="Arial"/>
      <w:b/>
      <w:bCs/>
      <w:i/>
      <w:iCs/>
      <w:sz w:val="22"/>
      <w:szCs w:val="22"/>
    </w:rPr>
  </w:style>
  <w:style w:type="character" w:styleId="26">
    <w:name w:val="Heading 8 Char"/>
    <w:basedOn w:val="9"/>
    <w:link w:val="948"/>
    <w:uiPriority w:val="9"/>
    <w:rPr>
      <w:rFonts w:ascii="Arial" w:hAnsi="Arial" w:cs="Arial" w:eastAsia="Arial"/>
      <w:i/>
      <w:iCs/>
      <w:sz w:val="22"/>
      <w:szCs w:val="22"/>
    </w:rPr>
  </w:style>
  <w:style w:type="character" w:styleId="28">
    <w:name w:val="Heading 9 Char"/>
    <w:basedOn w:val="9"/>
    <w:link w:val="949"/>
    <w:uiPriority w:val="9"/>
    <w:rPr>
      <w:rFonts w:ascii="Arial" w:hAnsi="Arial" w:cs="Arial" w:eastAsia="Arial"/>
      <w:i/>
      <w:iCs/>
      <w:sz w:val="21"/>
      <w:szCs w:val="21"/>
    </w:rPr>
  </w:style>
  <w:style w:type="paragraph" w:styleId="31">
    <w:name w:val="No Spacing"/>
    <w:uiPriority w:val="1"/>
    <w:qFormat/>
    <w:pPr>
      <w:spacing w:before="0" w:after="0" w:line="240" w:lineRule="auto"/>
    </w:pPr>
  </w:style>
  <w:style w:type="paragraph" w:styleId="32">
    <w:name w:val="Title"/>
    <w:basedOn w:val="940"/>
    <w:next w:val="940"/>
    <w:link w:val="33"/>
    <w:uiPriority w:val="10"/>
    <w:qFormat/>
    <w:pPr>
      <w:contextualSpacing/>
      <w:spacing w:before="300" w:after="200"/>
    </w:pPr>
    <w:rPr>
      <w:sz w:val="48"/>
      <w:szCs w:val="48"/>
    </w:rPr>
  </w:style>
  <w:style w:type="character" w:styleId="33">
    <w:name w:val="Title Char"/>
    <w:basedOn w:val="9"/>
    <w:link w:val="32"/>
    <w:uiPriority w:val="10"/>
    <w:rPr>
      <w:sz w:val="48"/>
      <w:szCs w:val="48"/>
    </w:rPr>
  </w:style>
  <w:style w:type="paragraph" w:styleId="34">
    <w:name w:val="Subtitle"/>
    <w:basedOn w:val="940"/>
    <w:next w:val="940"/>
    <w:link w:val="35"/>
    <w:uiPriority w:val="11"/>
    <w:qFormat/>
    <w:pPr>
      <w:spacing w:before="200" w:after="200"/>
    </w:pPr>
    <w:rPr>
      <w:sz w:val="24"/>
      <w:szCs w:val="24"/>
    </w:rPr>
  </w:style>
  <w:style w:type="character" w:styleId="35">
    <w:name w:val="Subtitle Char"/>
    <w:basedOn w:val="9"/>
    <w:link w:val="34"/>
    <w:uiPriority w:val="11"/>
    <w:rPr>
      <w:sz w:val="24"/>
      <w:szCs w:val="24"/>
    </w:rPr>
  </w:style>
  <w:style w:type="paragraph" w:styleId="36">
    <w:name w:val="Quote"/>
    <w:basedOn w:val="940"/>
    <w:next w:val="940"/>
    <w:link w:val="37"/>
    <w:uiPriority w:val="29"/>
    <w:qFormat/>
    <w:pPr>
      <w:ind w:left="720" w:right="720"/>
    </w:pPr>
    <w:rPr>
      <w:i/>
    </w:rPr>
  </w:style>
  <w:style w:type="character" w:styleId="37">
    <w:name w:val="Quote Char"/>
    <w:link w:val="36"/>
    <w:uiPriority w:val="29"/>
    <w:rPr>
      <w:i/>
    </w:rPr>
  </w:style>
  <w:style w:type="paragraph" w:styleId="38">
    <w:name w:val="Intense Quote"/>
    <w:basedOn w:val="940"/>
    <w:next w:val="940"/>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9"/>
    <w:link w:val="1406"/>
    <w:uiPriority w:val="99"/>
  </w:style>
  <w:style w:type="character" w:styleId="43">
    <w:name w:val="Footer Char"/>
    <w:basedOn w:val="9"/>
    <w:link w:val="1404"/>
    <w:uiPriority w:val="99"/>
  </w:style>
  <w:style w:type="character" w:styleId="45">
    <w:name w:val="Caption Char"/>
    <w:basedOn w:val="1395"/>
    <w:link w:val="1404"/>
    <w:uiPriority w:val="99"/>
  </w:style>
  <w:style w:type="table" w:styleId="46">
    <w:name w:val="Table Grid"/>
    <w:basedOn w:val="3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7">
    <w:name w:val="Table Grid Light"/>
    <w:basedOn w:val="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3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3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3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3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3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3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3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3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3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3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3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3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3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3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3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3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3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3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3">
    <w:name w:val="Grid Table 5 Dark - Accent 2"/>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4">
    <w:name w:val="Grid Table 5 Dark - Accent 3"/>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5">
    <w:name w:val="Grid Table 5 Dark- Accent 4"/>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6">
    <w:name w:val="Grid Table 5 Dark - Accent 5"/>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7">
    <w:name w:val="Grid Table 5 Dark - Accent 6"/>
    <w:basedOn w:val="3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8">
    <w:name w:val="Grid Table 6 Colorful"/>
    <w:basedOn w:val="3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3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3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3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3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3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3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3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3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3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3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3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3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30"/>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30"/>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30"/>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30"/>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30"/>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30"/>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3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3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3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3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3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3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3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3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8">
    <w:name w:val="List Table 3 - Accent 2"/>
    <w:basedOn w:val="3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19">
    <w:name w:val="List Table 3 - Accent 3"/>
    <w:basedOn w:val="3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0">
    <w:name w:val="List Table 3 - Accent 4"/>
    <w:basedOn w:val="3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1">
    <w:name w:val="List Table 3 - Accent 5"/>
    <w:basedOn w:val="3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2">
    <w:name w:val="List Table 3 - Accent 6"/>
    <w:basedOn w:val="3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3">
    <w:name w:val="List Table 4"/>
    <w:basedOn w:val="3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3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5">
    <w:name w:val="List Table 4 - Accent 2"/>
    <w:basedOn w:val="3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6">
    <w:name w:val="List Table 4 - Accent 3"/>
    <w:basedOn w:val="3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7">
    <w:name w:val="List Table 4 - Accent 4"/>
    <w:basedOn w:val="3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8">
    <w:name w:val="List Table 4 - Accent 5"/>
    <w:basedOn w:val="3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29">
    <w:name w:val="List Table 4 - Accent 6"/>
    <w:basedOn w:val="3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0">
    <w:name w:val="List Table 5 Dark"/>
    <w:basedOn w:val="3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3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3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3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3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3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3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3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3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39">
    <w:name w:val="List Table 6 Colorful - Accent 2"/>
    <w:basedOn w:val="3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0">
    <w:name w:val="List Table 6 Colorful - Accent 3"/>
    <w:basedOn w:val="3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1">
    <w:name w:val="List Table 6 Colorful - Accent 4"/>
    <w:basedOn w:val="3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2">
    <w:name w:val="List Table 6 Colorful - Accent 5"/>
    <w:basedOn w:val="3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3">
    <w:name w:val="List Table 6 Colorful - Accent 6"/>
    <w:basedOn w:val="3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4">
    <w:name w:val="List Table 7 Colorful"/>
    <w:basedOn w:val="3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3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6">
    <w:name w:val="List Table 7 Colorful - Accent 2"/>
    <w:basedOn w:val="3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3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3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3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3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1">
    <w:name w:val="Lined - Accent"/>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3">
    <w:name w:val="Lined - Accent 2"/>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4">
    <w:name w:val="Lined - Accent 3"/>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5">
    <w:name w:val="Lined - Accent 4"/>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6">
    <w:name w:val="Lined - Accent 5"/>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7">
    <w:name w:val="Lined - Accent 6"/>
    <w:basedOn w:val="3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8">
    <w:name w:val="Bordered &amp; Lined - Accent"/>
    <w:basedOn w:val="3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3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0">
    <w:name w:val="Bordered &amp; Lined - Accent 2"/>
    <w:basedOn w:val="3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1">
    <w:name w:val="Bordered &amp; Lined - Accent 3"/>
    <w:basedOn w:val="3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2">
    <w:name w:val="Bordered &amp; Lined - Accent 4"/>
    <w:basedOn w:val="3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3">
    <w:name w:val="Bordered &amp; Lined - Accent 5"/>
    <w:basedOn w:val="3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4">
    <w:name w:val="Bordered &amp; Lined - Accent 6"/>
    <w:basedOn w:val="3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5">
    <w:name w:val="Bordered"/>
    <w:basedOn w:val="3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3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3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3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3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3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3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Footnote Text Char"/>
    <w:link w:val="1401"/>
    <w:uiPriority w:val="99"/>
    <w:rPr>
      <w:sz w:val="18"/>
    </w:rPr>
  </w:style>
  <w:style w:type="character" w:styleId="175">
    <w:name w:val="footnote reference"/>
    <w:basedOn w:val="9"/>
    <w:uiPriority w:val="99"/>
    <w:unhideWhenUsed/>
    <w:rPr>
      <w:vertAlign w:val="superscript"/>
    </w:rPr>
  </w:style>
  <w:style w:type="character" w:styleId="177">
    <w:name w:val="Endnote Text Char"/>
    <w:link w:val="1415"/>
    <w:uiPriority w:val="99"/>
    <w:rPr>
      <w:sz w:val="20"/>
    </w:rPr>
  </w:style>
  <w:style w:type="character" w:styleId="178">
    <w:name w:val="endnote reference"/>
    <w:basedOn w:val="9"/>
    <w:uiPriority w:val="99"/>
    <w:semiHidden/>
    <w:unhideWhenUsed/>
    <w:rPr>
      <w:vertAlign w:val="superscript"/>
    </w:rPr>
  </w:style>
  <w:style w:type="paragraph" w:styleId="179">
    <w:name w:val="toc 1"/>
    <w:basedOn w:val="940"/>
    <w:next w:val="940"/>
    <w:uiPriority w:val="39"/>
    <w:unhideWhenUsed/>
    <w:pPr>
      <w:ind w:left="0" w:right="0" w:firstLine="0"/>
      <w:spacing w:after="57"/>
    </w:pPr>
  </w:style>
  <w:style w:type="paragraph" w:styleId="180">
    <w:name w:val="toc 2"/>
    <w:basedOn w:val="940"/>
    <w:next w:val="940"/>
    <w:uiPriority w:val="39"/>
    <w:unhideWhenUsed/>
    <w:pPr>
      <w:ind w:left="283" w:right="0" w:firstLine="0"/>
      <w:spacing w:after="57"/>
    </w:pPr>
  </w:style>
  <w:style w:type="paragraph" w:styleId="181">
    <w:name w:val="toc 3"/>
    <w:basedOn w:val="940"/>
    <w:next w:val="940"/>
    <w:uiPriority w:val="39"/>
    <w:unhideWhenUsed/>
    <w:pPr>
      <w:ind w:left="567" w:right="0" w:firstLine="0"/>
      <w:spacing w:after="57"/>
    </w:pPr>
  </w:style>
  <w:style w:type="paragraph" w:styleId="182">
    <w:name w:val="toc 4"/>
    <w:basedOn w:val="940"/>
    <w:next w:val="940"/>
    <w:uiPriority w:val="39"/>
    <w:unhideWhenUsed/>
    <w:pPr>
      <w:ind w:left="850" w:right="0" w:firstLine="0"/>
      <w:spacing w:after="57"/>
    </w:pPr>
  </w:style>
  <w:style w:type="paragraph" w:styleId="183">
    <w:name w:val="toc 5"/>
    <w:basedOn w:val="940"/>
    <w:next w:val="940"/>
    <w:uiPriority w:val="39"/>
    <w:unhideWhenUsed/>
    <w:pPr>
      <w:ind w:left="1134" w:right="0" w:firstLine="0"/>
      <w:spacing w:after="57"/>
    </w:pPr>
  </w:style>
  <w:style w:type="paragraph" w:styleId="184">
    <w:name w:val="toc 6"/>
    <w:basedOn w:val="940"/>
    <w:next w:val="940"/>
    <w:uiPriority w:val="39"/>
    <w:unhideWhenUsed/>
    <w:pPr>
      <w:ind w:left="1417" w:right="0" w:firstLine="0"/>
      <w:spacing w:after="57"/>
    </w:pPr>
  </w:style>
  <w:style w:type="paragraph" w:styleId="185">
    <w:name w:val="toc 7"/>
    <w:basedOn w:val="940"/>
    <w:next w:val="940"/>
    <w:uiPriority w:val="39"/>
    <w:unhideWhenUsed/>
    <w:pPr>
      <w:ind w:left="1701" w:right="0" w:firstLine="0"/>
      <w:spacing w:after="57"/>
    </w:pPr>
  </w:style>
  <w:style w:type="paragraph" w:styleId="186">
    <w:name w:val="toc 8"/>
    <w:basedOn w:val="940"/>
    <w:next w:val="940"/>
    <w:uiPriority w:val="39"/>
    <w:unhideWhenUsed/>
    <w:pPr>
      <w:ind w:left="1984" w:right="0" w:firstLine="0"/>
      <w:spacing w:after="57"/>
    </w:pPr>
  </w:style>
  <w:style w:type="paragraph" w:styleId="187">
    <w:name w:val="toc 9"/>
    <w:basedOn w:val="940"/>
    <w:next w:val="940"/>
    <w:uiPriority w:val="39"/>
    <w:unhideWhenUsed/>
    <w:pPr>
      <w:ind w:left="2268" w:right="0" w:firstLine="0"/>
      <w:spacing w:after="57"/>
    </w:pPr>
  </w:style>
  <w:style w:type="paragraph" w:styleId="188">
    <w:name w:val="TOC Heading"/>
    <w:uiPriority w:val="39"/>
    <w:unhideWhenUsed/>
  </w:style>
  <w:style w:type="paragraph" w:styleId="189">
    <w:name w:val="table of figures"/>
    <w:basedOn w:val="940"/>
    <w:next w:val="940"/>
    <w:uiPriority w:val="99"/>
    <w:unhideWhenUsed/>
    <w:pPr>
      <w:spacing w:after="0" w:afterAutospacing="0"/>
    </w:pPr>
  </w:style>
  <w:style w:type="paragraph" w:styleId="940" w:default="1">
    <w:name w:val="Normal"/>
    <w:qFormat/>
    <w:pPr>
      <w:widowControl/>
    </w:pPr>
    <w:rPr>
      <w:rFonts w:ascii="Times New Roman" w:hAnsi="Times New Roman" w:cs="Times New Roman" w:eastAsia="Calibri"/>
      <w:color w:val="auto"/>
      <w:sz w:val="24"/>
      <w:szCs w:val="24"/>
      <w:lang w:val="ru-RU" w:bidi="ar-SA" w:eastAsia="zh-CN"/>
    </w:rPr>
  </w:style>
  <w:style w:type="paragraph" w:styleId="941">
    <w:name w:val="Heading 1"/>
    <w:basedOn w:val="940"/>
    <w:next w:val="940"/>
    <w:qFormat/>
    <w:pPr>
      <w:jc w:val="center"/>
      <w:keepLines/>
      <w:keepNext/>
      <w:outlineLvl w:val="0"/>
    </w:pPr>
    <w:rPr>
      <w:rFonts w:ascii="Cambria" w:hAnsi="Cambria" w:cs="Cambria" w:eastAsia="SimSun;宋体"/>
      <w:b/>
      <w:bCs/>
      <w:sz w:val="28"/>
      <w:szCs w:val="28"/>
      <w:lang w:val="en-US"/>
    </w:rPr>
  </w:style>
  <w:style w:type="paragraph" w:styleId="942">
    <w:name w:val="Heading 2"/>
    <w:basedOn w:val="940"/>
    <w:next w:val="940"/>
    <w:qFormat/>
    <w:pPr>
      <w:numPr>
        <w:ilvl w:val="1"/>
        <w:numId w:val="1"/>
      </w:numPr>
      <w:keepLines/>
      <w:keepNext/>
      <w:spacing w:before="40" w:after="0"/>
      <w:outlineLvl w:val="1"/>
    </w:pPr>
    <w:rPr>
      <w:rFonts w:ascii="Cambria" w:hAnsi="Cambria" w:cs="Cambria" w:eastAsia="SimSun;宋体"/>
      <w:color w:val="365F91"/>
      <w:sz w:val="26"/>
      <w:szCs w:val="26"/>
      <w:lang w:val="en-US"/>
    </w:rPr>
  </w:style>
  <w:style w:type="paragraph" w:styleId="943">
    <w:name w:val="Heading 3"/>
    <w:basedOn w:val="940"/>
    <w:next w:val="940"/>
    <w:qFormat/>
    <w:pPr>
      <w:numPr>
        <w:ilvl w:val="2"/>
        <w:numId w:val="1"/>
      </w:numPr>
      <w:keepLines/>
      <w:keepNext/>
      <w:spacing w:before="200" w:after="0"/>
      <w:outlineLvl w:val="2"/>
    </w:pPr>
    <w:rPr>
      <w:rFonts w:ascii="Cambria" w:hAnsi="Cambria" w:cs="Cambria" w:eastAsia="SimSun;宋体"/>
      <w:b/>
      <w:bCs/>
      <w:sz w:val="28"/>
      <w:lang w:val="en-US"/>
    </w:rPr>
  </w:style>
  <w:style w:type="paragraph" w:styleId="944">
    <w:name w:val="Heading 4"/>
    <w:basedOn w:val="940"/>
    <w:next w:val="940"/>
    <w:qFormat/>
    <w:pPr>
      <w:numPr>
        <w:ilvl w:val="3"/>
        <w:numId w:val="1"/>
      </w:numPr>
      <w:keepLines/>
      <w:keepNext/>
      <w:spacing w:before="40" w:after="0"/>
      <w:outlineLvl w:val="3"/>
    </w:pPr>
    <w:rPr>
      <w:rFonts w:ascii="Cambria" w:hAnsi="Cambria" w:cs="Cambria" w:eastAsia="SimSun;宋体"/>
      <w:i/>
      <w:iCs/>
      <w:color w:val="365F91"/>
      <w:lang w:val="en-US"/>
    </w:rPr>
  </w:style>
  <w:style w:type="paragraph" w:styleId="945">
    <w:name w:val="Heading 5"/>
    <w:basedOn w:val="940"/>
    <w:next w:val="940"/>
    <w:qFormat/>
    <w:pPr>
      <w:numPr>
        <w:ilvl w:val="4"/>
        <w:numId w:val="1"/>
      </w:numPr>
      <w:keepLines/>
      <w:keepNext/>
      <w:spacing w:before="40" w:after="0"/>
      <w:outlineLvl w:val="4"/>
    </w:pPr>
    <w:rPr>
      <w:rFonts w:ascii="Cambria" w:hAnsi="Cambria" w:cs="Cambria" w:eastAsia="SimSun;宋体"/>
      <w:color w:val="365F91"/>
      <w:lang w:val="en-US"/>
    </w:rPr>
  </w:style>
  <w:style w:type="paragraph" w:styleId="946">
    <w:name w:val="Heading 6"/>
    <w:basedOn w:val="940"/>
    <w:next w:val="940"/>
    <w:qFormat/>
    <w:pPr>
      <w:numPr>
        <w:ilvl w:val="5"/>
        <w:numId w:val="1"/>
      </w:numPr>
      <w:keepLines/>
      <w:keepNext/>
      <w:spacing w:before="40" w:after="0"/>
      <w:outlineLvl w:val="5"/>
    </w:pPr>
    <w:rPr>
      <w:rFonts w:ascii="Cambria" w:hAnsi="Cambria" w:cs="Cambria" w:eastAsia="SimSun;宋体"/>
      <w:color w:val="243F60"/>
      <w:lang w:val="en-US"/>
    </w:rPr>
  </w:style>
  <w:style w:type="paragraph" w:styleId="947">
    <w:name w:val="Heading 7"/>
    <w:basedOn w:val="940"/>
    <w:next w:val="940"/>
    <w:qFormat/>
    <w:pPr>
      <w:numPr>
        <w:ilvl w:val="6"/>
        <w:numId w:val="1"/>
      </w:numPr>
      <w:keepLines/>
      <w:keepNext/>
      <w:spacing w:before="40" w:after="0"/>
      <w:outlineLvl w:val="6"/>
    </w:pPr>
    <w:rPr>
      <w:rFonts w:ascii="Cambria" w:hAnsi="Cambria" w:cs="Cambria" w:eastAsia="SimSun;宋体"/>
      <w:i/>
      <w:iCs/>
      <w:color w:val="243F60"/>
      <w:lang w:val="en-US"/>
    </w:rPr>
  </w:style>
  <w:style w:type="paragraph" w:styleId="948">
    <w:name w:val="Heading 8"/>
    <w:basedOn w:val="940"/>
    <w:next w:val="940"/>
    <w:qFormat/>
    <w:pPr>
      <w:numPr>
        <w:ilvl w:val="7"/>
        <w:numId w:val="1"/>
      </w:numPr>
      <w:keepLines/>
      <w:keepNext/>
      <w:spacing w:before="40" w:after="0"/>
      <w:outlineLvl w:val="7"/>
    </w:pPr>
    <w:rPr>
      <w:rFonts w:ascii="Cambria" w:hAnsi="Cambria" w:cs="Cambria" w:eastAsia="SimSun;宋体"/>
      <w:color w:val="272727"/>
      <w:sz w:val="21"/>
      <w:szCs w:val="21"/>
      <w:lang w:val="en-US"/>
    </w:rPr>
  </w:style>
  <w:style w:type="paragraph" w:styleId="949">
    <w:name w:val="Heading 9"/>
    <w:basedOn w:val="940"/>
    <w:next w:val="940"/>
    <w:qFormat/>
    <w:pPr>
      <w:numPr>
        <w:ilvl w:val="8"/>
        <w:numId w:val="1"/>
      </w:numPr>
      <w:keepLines/>
      <w:keepNext/>
      <w:spacing w:before="40" w:after="0"/>
      <w:outlineLvl w:val="8"/>
    </w:pPr>
    <w:rPr>
      <w:rFonts w:ascii="Cambria" w:hAnsi="Cambria" w:cs="Cambria" w:eastAsia="SimSun;宋体"/>
      <w:i/>
      <w:iCs/>
      <w:color w:val="272727"/>
      <w:sz w:val="21"/>
      <w:szCs w:val="21"/>
      <w:lang w:val="en-US"/>
    </w:rPr>
  </w:style>
  <w:style w:type="character" w:styleId="950">
    <w:name w:val="WW8Num1z0"/>
    <w:qFormat/>
  </w:style>
  <w:style w:type="character" w:styleId="951">
    <w:name w:val="WW8Num1z1"/>
    <w:qFormat/>
    <w:rPr>
      <w:rFonts w:eastAsia="SimSun;宋体"/>
      <w:b/>
      <w:bCs/>
      <w:sz w:val="28"/>
      <w:szCs w:val="28"/>
      <w:lang w:val="en-US"/>
    </w:rPr>
  </w:style>
  <w:style w:type="character" w:styleId="952">
    <w:name w:val="WW8Num1z2"/>
    <w:qFormat/>
  </w:style>
  <w:style w:type="character" w:styleId="953">
    <w:name w:val="WW8Num1z3"/>
    <w:qFormat/>
  </w:style>
  <w:style w:type="character" w:styleId="954">
    <w:name w:val="WW8Num1z4"/>
    <w:qFormat/>
  </w:style>
  <w:style w:type="character" w:styleId="955">
    <w:name w:val="WW8Num1z5"/>
    <w:qFormat/>
  </w:style>
  <w:style w:type="character" w:styleId="956">
    <w:name w:val="WW8Num1z6"/>
    <w:qFormat/>
  </w:style>
  <w:style w:type="character" w:styleId="957">
    <w:name w:val="WW8Num1z7"/>
    <w:qFormat/>
  </w:style>
  <w:style w:type="character" w:styleId="958">
    <w:name w:val="WW8Num1z8"/>
    <w:qFormat/>
  </w:style>
  <w:style w:type="character" w:styleId="959">
    <w:name w:val="WW8Num2z0"/>
    <w:qFormat/>
    <w:rPr>
      <w:rFonts w:ascii="Symbol" w:hAnsi="Symbol" w:cs="Symbol"/>
    </w:rPr>
  </w:style>
  <w:style w:type="character" w:styleId="960">
    <w:name w:val="WW8Num3z0"/>
    <w:qFormat/>
    <w:rPr>
      <w:rFonts w:ascii="Courier New" w:hAnsi="Courier New" w:cs="Courier New"/>
      <w:sz w:val="24"/>
      <w:szCs w:val="24"/>
      <w:lang w:eastAsia="ru-RU"/>
    </w:rPr>
  </w:style>
  <w:style w:type="character" w:styleId="961">
    <w:name w:val="WW8Num4z0"/>
    <w:qFormat/>
    <w:rPr>
      <w:rFonts w:ascii="Symbol" w:hAnsi="Symbol" w:cs="Symbol"/>
    </w:rPr>
  </w:style>
  <w:style w:type="character" w:styleId="962">
    <w:name w:val="WW8Num5z0"/>
    <w:qFormat/>
    <w:rPr>
      <w:rFonts w:ascii="Symbol" w:hAnsi="Symbol" w:cs="Symbol"/>
    </w:rPr>
  </w:style>
  <w:style w:type="character" w:styleId="963">
    <w:name w:val="WW8Num6z0"/>
    <w:qFormat/>
    <w:rPr>
      <w:rFonts w:ascii="Tempus Sans ITC" w:hAnsi="Tempus Sans ITC" w:cs="Times New Roman"/>
    </w:rPr>
  </w:style>
  <w:style w:type="character" w:styleId="964">
    <w:name w:val="WW8Num7z0"/>
    <w:qFormat/>
    <w:rPr>
      <w:rFonts w:ascii="Symbol" w:hAnsi="Symbol" w:cs="Symbol"/>
      <w:lang w:eastAsia="en-US"/>
    </w:rPr>
  </w:style>
  <w:style w:type="character" w:styleId="965">
    <w:name w:val="WW8Num8z0"/>
    <w:qFormat/>
    <w:rPr>
      <w:rFonts w:ascii="Symbol" w:hAnsi="Symbol" w:cs="Symbol"/>
    </w:rPr>
  </w:style>
  <w:style w:type="character" w:styleId="966">
    <w:name w:val="WW8Num9z0"/>
    <w:qFormat/>
    <w:rPr>
      <w:rFonts w:ascii="Symbol" w:hAnsi="Symbol" w:cs="Symbol"/>
      <w:lang w:eastAsia="en-US"/>
    </w:rPr>
  </w:style>
  <w:style w:type="character" w:styleId="967">
    <w:name w:val="WW8Num10z0"/>
    <w:qFormat/>
    <w:rPr>
      <w:rFonts w:ascii="Symbol" w:hAnsi="Symbol" w:cs="Symbol"/>
    </w:rPr>
  </w:style>
  <w:style w:type="character" w:styleId="968">
    <w:name w:val="WW8Num11z0"/>
    <w:qFormat/>
    <w:rPr>
      <w:rFonts w:ascii="Symbol" w:hAnsi="Symbol" w:cs="Symbol"/>
      <w:lang w:eastAsia="en-US"/>
    </w:rPr>
  </w:style>
  <w:style w:type="character" w:styleId="969">
    <w:name w:val="WW8Num12z0"/>
    <w:qFormat/>
    <w:rPr>
      <w:rFonts w:ascii="Symbol" w:hAnsi="Symbol" w:cs="Symbol"/>
    </w:rPr>
  </w:style>
  <w:style w:type="character" w:styleId="970">
    <w:name w:val="WW8Num13z0"/>
    <w:qFormat/>
    <w:rPr>
      <w:rFonts w:ascii="Symbol" w:hAnsi="Symbol" w:cs="Symbol"/>
      <w:lang w:eastAsia="en-US"/>
    </w:rPr>
  </w:style>
  <w:style w:type="character" w:styleId="971">
    <w:name w:val="WW8Num14z0"/>
    <w:qFormat/>
    <w:rPr>
      <w:rFonts w:ascii="Tempus Sans ITC" w:hAnsi="Tempus Sans ITC" w:cs="Times New Roman"/>
    </w:rPr>
  </w:style>
  <w:style w:type="character" w:styleId="972">
    <w:name w:val="WW8Num15z0"/>
    <w:qFormat/>
    <w:rPr>
      <w:rFonts w:ascii="Symbol" w:hAnsi="Symbol" w:cs="Symbol"/>
    </w:rPr>
  </w:style>
  <w:style w:type="character" w:styleId="973">
    <w:name w:val="WW8Num16z0"/>
    <w:qFormat/>
    <w:rPr>
      <w:rFonts w:ascii="Symbol" w:hAnsi="Symbol" w:cs="Symbol"/>
      <w:lang w:eastAsia="en-US"/>
    </w:rPr>
  </w:style>
  <w:style w:type="character" w:styleId="974">
    <w:name w:val="WW8Num17z0"/>
    <w:qFormat/>
    <w:rPr>
      <w:rFonts w:ascii="Symbol" w:hAnsi="Symbol" w:cs="Symbol"/>
    </w:rPr>
  </w:style>
  <w:style w:type="character" w:styleId="975">
    <w:name w:val="WW8Num18z0"/>
    <w:qFormat/>
    <w:rPr>
      <w:rFonts w:ascii="Symbol" w:hAnsi="Symbol" w:cs="Symbol"/>
    </w:rPr>
  </w:style>
  <w:style w:type="character" w:styleId="976">
    <w:name w:val="WW8Num19z0"/>
    <w:qFormat/>
    <w:rPr>
      <w:rFonts w:ascii="Liberation Serif;Times New Roman" w:hAnsi="Liberation Serif;Times New Roman" w:cs="Liberation Serif;Times New Roman"/>
      <w:lang w:val="ru-RU" w:bidi="ar-SA"/>
    </w:rPr>
  </w:style>
  <w:style w:type="character" w:styleId="977">
    <w:name w:val="WW8Num20z0"/>
    <w:qFormat/>
    <w:rPr>
      <w:rFonts w:ascii="Courier New" w:hAnsi="Courier New" w:cs="Courier New"/>
    </w:rPr>
  </w:style>
  <w:style w:type="character" w:styleId="978">
    <w:name w:val="WW8Num21z0"/>
    <w:qFormat/>
  </w:style>
  <w:style w:type="character" w:styleId="979">
    <w:name w:val="WW8Num21z2"/>
    <w:qFormat/>
    <w:rPr>
      <w:rFonts w:eastAsia="SimSun;宋体"/>
      <w:b/>
      <w:sz w:val="28"/>
      <w:lang w:val="en-US"/>
    </w:rPr>
  </w:style>
  <w:style w:type="character" w:styleId="980">
    <w:name w:val="WW8Num22z0"/>
    <w:qFormat/>
  </w:style>
  <w:style w:type="character" w:styleId="981">
    <w:name w:val="WW8Num22z2"/>
    <w:qFormat/>
    <w:rPr>
      <w:rFonts w:eastAsia="SimSun;宋体"/>
      <w:b/>
      <w:sz w:val="28"/>
      <w:lang w:val="en-US"/>
    </w:rPr>
  </w:style>
  <w:style w:type="character" w:styleId="982">
    <w:name w:val="WW8Num23z0"/>
    <w:qFormat/>
  </w:style>
  <w:style w:type="character" w:styleId="983">
    <w:name w:val="WW8Num23z1"/>
    <w:qFormat/>
    <w:rPr>
      <w:b/>
      <w:i w:val="0"/>
      <w:sz w:val="28"/>
      <w:szCs w:val="28"/>
    </w:rPr>
  </w:style>
  <w:style w:type="character" w:styleId="984">
    <w:name w:val="WW8Num23z2"/>
    <w:qFormat/>
    <w:rPr>
      <w:b/>
    </w:rPr>
  </w:style>
  <w:style w:type="character" w:styleId="985">
    <w:name w:val="WW8Num24z0"/>
    <w:qFormat/>
    <w:rPr>
      <w:rFonts w:ascii="Courier New" w:hAnsi="Courier New" w:cs="Courier New"/>
    </w:rPr>
  </w:style>
  <w:style w:type="character" w:styleId="986">
    <w:name w:val="WW8Num25z0"/>
    <w:qFormat/>
    <w:rPr>
      <w:rFonts w:ascii="Courier New" w:hAnsi="Courier New" w:cs="Courier New"/>
    </w:rPr>
  </w:style>
  <w:style w:type="character" w:styleId="987">
    <w:name w:val="WW8Num26z0"/>
    <w:qFormat/>
    <w:rPr>
      <w:rFonts w:ascii="Times New Roman" w:hAnsi="Times New Roman" w:cs="Times New Roman"/>
      <w:b w:val="0"/>
      <w:bCs w:val="0"/>
      <w:i w:val="0"/>
      <w:iCs w:val="0"/>
      <w:sz w:val="24"/>
      <w:szCs w:val="24"/>
      <w:lang w:val="ru-RU" w:bidi="ar-SA" w:eastAsia="zh-CN"/>
    </w:rPr>
  </w:style>
  <w:style w:type="character" w:styleId="988">
    <w:name w:val="WW8Num27z0"/>
    <w:qFormat/>
  </w:style>
  <w:style w:type="character" w:styleId="989">
    <w:name w:val="WW8Num28z0"/>
    <w:qFormat/>
    <w:rPr>
      <w:color w:val="FFFFFF"/>
    </w:rPr>
  </w:style>
  <w:style w:type="character" w:styleId="990">
    <w:name w:val="WW8Num28z1"/>
    <w:qFormat/>
    <w:rPr>
      <w:b/>
      <w:i w:val="0"/>
      <w:sz w:val="28"/>
      <w:szCs w:val="28"/>
    </w:rPr>
  </w:style>
  <w:style w:type="character" w:styleId="991">
    <w:name w:val="WW8Num28z2"/>
    <w:qFormat/>
    <w:rPr>
      <w:b/>
    </w:rPr>
  </w:style>
  <w:style w:type="character" w:styleId="992">
    <w:name w:val="WW8Num28z3"/>
    <w:qFormat/>
  </w:style>
  <w:style w:type="character" w:styleId="993">
    <w:name w:val="WW8Num29z0"/>
    <w:qFormat/>
  </w:style>
  <w:style w:type="character" w:styleId="994">
    <w:name w:val="WW8Num30z0"/>
    <w:qFormat/>
    <w:rPr>
      <w:rFonts w:ascii="Courier New" w:hAnsi="Courier New" w:cs="Courier New"/>
    </w:rPr>
  </w:style>
  <w:style w:type="character" w:styleId="995">
    <w:name w:val="WW8Num31z0"/>
    <w:qFormat/>
    <w:rPr>
      <w:rFonts w:ascii="Courier New" w:hAnsi="Courier New" w:cs="Courier New"/>
    </w:rPr>
  </w:style>
  <w:style w:type="character" w:styleId="996">
    <w:name w:val="WW8Num32z0"/>
    <w:qFormat/>
    <w:rPr>
      <w:rFonts w:ascii="Courier New" w:hAnsi="Courier New" w:cs="Courier New"/>
    </w:rPr>
  </w:style>
  <w:style w:type="character" w:styleId="997">
    <w:name w:val="WW8Num33z0"/>
    <w:qFormat/>
  </w:style>
  <w:style w:type="character" w:styleId="998">
    <w:name w:val="WW8Num33z2"/>
    <w:qFormat/>
    <w:rPr>
      <w:b/>
    </w:rPr>
  </w:style>
  <w:style w:type="character" w:styleId="999">
    <w:name w:val="WW8Num34z0"/>
    <w:qFormat/>
  </w:style>
  <w:style w:type="character" w:styleId="1000">
    <w:name w:val="WW8Num34z2"/>
    <w:qFormat/>
    <w:rPr>
      <w:rFonts w:eastAsia="SimSun;宋体"/>
      <w:b/>
      <w:sz w:val="28"/>
      <w:lang w:val="en-US"/>
    </w:rPr>
  </w:style>
  <w:style w:type="character" w:styleId="1001">
    <w:name w:val="WW8Num35z0"/>
    <w:qFormat/>
  </w:style>
  <w:style w:type="character" w:styleId="1002">
    <w:name w:val="WW8Num35z1"/>
    <w:qFormat/>
    <w:rPr>
      <w:i w:val="0"/>
    </w:rPr>
  </w:style>
  <w:style w:type="character" w:styleId="1003">
    <w:name w:val="WW8Num35z2"/>
    <w:qFormat/>
    <w:rPr>
      <w:rFonts w:eastAsia="SimSun;宋体"/>
      <w:b/>
      <w:sz w:val="28"/>
      <w:lang w:val="en-US"/>
    </w:rPr>
  </w:style>
  <w:style w:type="character" w:styleId="1004">
    <w:name w:val="WW8Num36z0"/>
    <w:qFormat/>
    <w:rPr>
      <w:rFonts w:ascii="Courier New" w:hAnsi="Courier New" w:cs="Courier New"/>
    </w:rPr>
  </w:style>
  <w:style w:type="character" w:styleId="1005">
    <w:name w:val="WW8Num37z0"/>
    <w:qFormat/>
    <w:rPr>
      <w:rFonts w:ascii="Courier New" w:hAnsi="Courier New" w:cs="Courier New"/>
    </w:rPr>
  </w:style>
  <w:style w:type="character" w:styleId="1006">
    <w:name w:val="WW8Num38z0"/>
    <w:qFormat/>
  </w:style>
  <w:style w:type="character" w:styleId="1007">
    <w:name w:val="WW8Num38z2"/>
    <w:qFormat/>
    <w:rPr>
      <w:rFonts w:eastAsia="SimSun;宋体"/>
      <w:b/>
      <w:bCs/>
      <w:sz w:val="28"/>
      <w:szCs w:val="28"/>
      <w:lang w:val="en-US"/>
    </w:rPr>
  </w:style>
  <w:style w:type="character" w:styleId="1008">
    <w:name w:val="WW8Num39z0"/>
    <w:qFormat/>
  </w:style>
  <w:style w:type="character" w:styleId="1009">
    <w:name w:val="WW8Num40z0"/>
    <w:qFormat/>
  </w:style>
  <w:style w:type="character" w:styleId="1010">
    <w:name w:val="WW8Num40z2"/>
    <w:qFormat/>
    <w:rPr>
      <w:rFonts w:eastAsia="SimSun;宋体"/>
      <w:b/>
      <w:sz w:val="28"/>
      <w:lang w:val="en-US"/>
    </w:rPr>
  </w:style>
  <w:style w:type="character" w:styleId="1011">
    <w:name w:val="WW8Num41z0"/>
    <w:qFormat/>
    <w:rPr>
      <w:rFonts w:ascii="Courier New" w:hAnsi="Courier New" w:cs="Courier New"/>
    </w:rPr>
  </w:style>
  <w:style w:type="character" w:styleId="1012">
    <w:name w:val="WW8Num42z0"/>
    <w:qFormat/>
  </w:style>
  <w:style w:type="character" w:styleId="1013">
    <w:name w:val="WW8Num42z2"/>
    <w:qFormat/>
    <w:rPr>
      <w:b/>
    </w:rPr>
  </w:style>
  <w:style w:type="character" w:styleId="1014">
    <w:name w:val="WW8Num43z0"/>
    <w:qFormat/>
  </w:style>
  <w:style w:type="character" w:styleId="1015">
    <w:name w:val="WW8Num43z2"/>
    <w:qFormat/>
    <w:rPr>
      <w:b/>
    </w:rPr>
  </w:style>
  <w:style w:type="character" w:styleId="1016">
    <w:name w:val="WW8Num44z0"/>
    <w:qFormat/>
    <w:rPr>
      <w:rFonts w:eastAsia="SimSun;宋体"/>
      <w:b/>
      <w:bCs/>
      <w:sz w:val="28"/>
      <w:lang w:val="en-US"/>
    </w:rPr>
  </w:style>
  <w:style w:type="character" w:styleId="1017">
    <w:name w:val="WW8Num44z2"/>
    <w:qFormat/>
    <w:rPr>
      <w:b/>
    </w:rPr>
  </w:style>
  <w:style w:type="character" w:styleId="1018">
    <w:name w:val="WW8Num45z0"/>
    <w:qFormat/>
    <w:rPr>
      <w:color w:val="FFFFFF"/>
    </w:rPr>
  </w:style>
  <w:style w:type="character" w:styleId="1019">
    <w:name w:val="WW8Num45z1"/>
    <w:qFormat/>
    <w:rPr>
      <w:b/>
      <w:i w:val="0"/>
      <w:sz w:val="28"/>
      <w:szCs w:val="28"/>
    </w:rPr>
  </w:style>
  <w:style w:type="character" w:styleId="1020">
    <w:name w:val="WW8Num45z2"/>
    <w:qFormat/>
    <w:rPr>
      <w:b/>
    </w:rPr>
  </w:style>
  <w:style w:type="character" w:styleId="1021">
    <w:name w:val="WW8Num45z3"/>
    <w:qFormat/>
  </w:style>
  <w:style w:type="character" w:styleId="1022">
    <w:name w:val="WW8Num46z0"/>
    <w:qFormat/>
    <w:rPr>
      <w:rFonts w:ascii="Courier New" w:hAnsi="Courier New" w:cs="Courier New"/>
    </w:rPr>
  </w:style>
  <w:style w:type="character" w:styleId="1023">
    <w:name w:val="WW8Num47z0"/>
    <w:qFormat/>
  </w:style>
  <w:style w:type="character" w:styleId="1024">
    <w:name w:val="WW8Num47z2"/>
    <w:qFormat/>
    <w:rPr>
      <w:b/>
    </w:rPr>
  </w:style>
  <w:style w:type="character" w:styleId="1025">
    <w:name w:val="WW8Num48z0"/>
    <w:qFormat/>
  </w:style>
  <w:style w:type="character" w:styleId="1026">
    <w:name w:val="WW8Num48z1"/>
    <w:qFormat/>
    <w:rPr>
      <w:b/>
    </w:rPr>
  </w:style>
  <w:style w:type="character" w:styleId="1027">
    <w:name w:val="WW8Num49z0"/>
    <w:qFormat/>
    <w:rPr>
      <w:rFonts w:eastAsia="SimSun;宋体"/>
      <w:b/>
      <w:bCs/>
      <w:sz w:val="28"/>
      <w:lang w:val="en-US"/>
    </w:rPr>
  </w:style>
  <w:style w:type="character" w:styleId="1028">
    <w:name w:val="WW8Num49z2"/>
    <w:qFormat/>
    <w:rPr>
      <w:b/>
    </w:rPr>
  </w:style>
  <w:style w:type="character" w:styleId="1029">
    <w:name w:val="WW8Num50z0"/>
    <w:qFormat/>
  </w:style>
  <w:style w:type="character" w:styleId="1030">
    <w:name w:val="WW8Num50z2"/>
    <w:qFormat/>
    <w:rPr>
      <w:rFonts w:eastAsia="SimSun;宋体"/>
      <w:b/>
      <w:sz w:val="28"/>
      <w:lang w:val="en-US"/>
    </w:rPr>
  </w:style>
  <w:style w:type="character" w:styleId="1031">
    <w:name w:val="WW8Num51z0"/>
    <w:qFormat/>
    <w:rPr>
      <w:color w:val="FFFFFF"/>
    </w:rPr>
  </w:style>
  <w:style w:type="character" w:styleId="1032">
    <w:name w:val="WW8Num51z1"/>
    <w:qFormat/>
  </w:style>
  <w:style w:type="character" w:styleId="1033">
    <w:name w:val="WW8Num51z2"/>
    <w:qFormat/>
    <w:rPr>
      <w:b/>
    </w:rPr>
  </w:style>
  <w:style w:type="character" w:styleId="1034">
    <w:name w:val="WW8Num52z0"/>
    <w:qFormat/>
    <w:rPr>
      <w:rFonts w:ascii="Courier New" w:hAnsi="Courier New" w:cs="Courier New"/>
    </w:rPr>
  </w:style>
  <w:style w:type="character" w:styleId="1035">
    <w:name w:val="WW8Num53z0"/>
    <w:qFormat/>
    <w:rPr>
      <w:rFonts w:ascii="Courier New" w:hAnsi="Courier New" w:cs="Courier New"/>
    </w:rPr>
  </w:style>
  <w:style w:type="character" w:styleId="1036">
    <w:name w:val="WW8Num54z0"/>
    <w:qFormat/>
    <w:rPr>
      <w:color w:val="FFFFFF"/>
    </w:rPr>
  </w:style>
  <w:style w:type="character" w:styleId="1037">
    <w:name w:val="WW8Num54z1"/>
    <w:qFormat/>
    <w:rPr>
      <w:rFonts w:eastAsia="SimSun;宋体"/>
      <w:b/>
      <w:bCs/>
      <w:i w:val="0"/>
      <w:sz w:val="28"/>
      <w:szCs w:val="28"/>
      <w:lang w:val="en-US"/>
    </w:rPr>
  </w:style>
  <w:style w:type="character" w:styleId="1038">
    <w:name w:val="WW8Num54z2"/>
    <w:qFormat/>
    <w:rPr>
      <w:rFonts w:eastAsia="SimSun;宋体"/>
      <w:b/>
      <w:sz w:val="28"/>
      <w:lang w:val="en-US"/>
    </w:rPr>
  </w:style>
  <w:style w:type="character" w:styleId="1039">
    <w:name w:val="WW8Num54z3"/>
    <w:qFormat/>
  </w:style>
  <w:style w:type="character" w:styleId="1040">
    <w:name w:val="WW8Num55z0"/>
    <w:qFormat/>
  </w:style>
  <w:style w:type="character" w:styleId="1041">
    <w:name w:val="WW8Num56z0"/>
    <w:qFormat/>
  </w:style>
  <w:style w:type="character" w:styleId="1042">
    <w:name w:val="WW8Num56z1"/>
    <w:qFormat/>
    <w:rPr>
      <w:rFonts w:eastAsia="SimSun;宋体"/>
      <w:b/>
      <w:bCs/>
      <w:i w:val="0"/>
      <w:sz w:val="28"/>
      <w:szCs w:val="28"/>
      <w:lang w:val="en-US"/>
    </w:rPr>
  </w:style>
  <w:style w:type="character" w:styleId="1043">
    <w:name w:val="WW8Num56z2"/>
    <w:qFormat/>
    <w:rPr>
      <w:rFonts w:eastAsia="SimSun;宋体"/>
      <w:b/>
      <w:sz w:val="28"/>
      <w:lang w:val="en-US"/>
    </w:rPr>
  </w:style>
  <w:style w:type="character" w:styleId="1044">
    <w:name w:val="WW8Num57z0"/>
    <w:qFormat/>
    <w:rPr>
      <w:rFonts w:ascii="Symbol" w:hAnsi="Symbol" w:cs="Symbol"/>
      <w:sz w:val="24"/>
      <w:szCs w:val="24"/>
    </w:rPr>
  </w:style>
  <w:style w:type="character" w:styleId="1045">
    <w:name w:val="WW8Num58z0"/>
    <w:qFormat/>
    <w:rPr>
      <w:rFonts w:ascii="Symbol" w:hAnsi="Symbol" w:cs="Symbol"/>
      <w:sz w:val="24"/>
      <w:szCs w:val="24"/>
    </w:rPr>
  </w:style>
  <w:style w:type="character" w:styleId="1046">
    <w:name w:val="WW8Num59z0"/>
    <w:qFormat/>
    <w:rPr>
      <w:b w:val="0"/>
    </w:rPr>
  </w:style>
  <w:style w:type="character" w:styleId="1047">
    <w:name w:val="WW8Num59z1"/>
    <w:qFormat/>
    <w:rPr>
      <w:rFonts w:eastAsia="SimSun;宋体"/>
      <w:b/>
      <w:bCs/>
      <w:sz w:val="28"/>
      <w:lang w:val="en-US"/>
    </w:rPr>
  </w:style>
  <w:style w:type="character" w:styleId="1048">
    <w:name w:val="WW8Num60z0"/>
    <w:qFormat/>
    <w:rPr>
      <w:b/>
      <w:color w:val="FFFFFF"/>
    </w:rPr>
  </w:style>
  <w:style w:type="character" w:styleId="1049">
    <w:name w:val="WW8Num60z1"/>
    <w:qFormat/>
    <w:rPr>
      <w:rFonts w:eastAsia="SimSun;宋体"/>
      <w:b/>
      <w:bCs/>
      <w:i w:val="0"/>
      <w:iCs w:val="0"/>
      <w:sz w:val="28"/>
      <w:szCs w:val="28"/>
      <w:lang w:val="en-US"/>
    </w:rPr>
  </w:style>
  <w:style w:type="character" w:styleId="1050">
    <w:name w:val="WW8Num60z2"/>
    <w:qFormat/>
    <w:rPr>
      <w:rFonts w:eastAsia="SimSun;宋体"/>
      <w:b/>
      <w:sz w:val="28"/>
      <w:lang w:val="en-US"/>
    </w:rPr>
  </w:style>
  <w:style w:type="character" w:styleId="1051">
    <w:name w:val="WW8Num60z3"/>
    <w:qFormat/>
  </w:style>
  <w:style w:type="character" w:styleId="1052">
    <w:name w:val="WW8Num61z0"/>
    <w:qFormat/>
    <w:rPr>
      <w:rFonts w:ascii="Courier New" w:hAnsi="Courier New" w:cs="Courier New"/>
    </w:rPr>
  </w:style>
  <w:style w:type="character" w:styleId="1053">
    <w:name w:val="WW8Num62z0"/>
    <w:qFormat/>
    <w:rPr>
      <w:color w:val="FFFFFF"/>
    </w:rPr>
  </w:style>
  <w:style w:type="character" w:styleId="1054">
    <w:name w:val="WW8Num62z1"/>
    <w:qFormat/>
    <w:rPr>
      <w:color w:val="000000"/>
    </w:rPr>
  </w:style>
  <w:style w:type="character" w:styleId="1055">
    <w:name w:val="WW8Num62z2"/>
    <w:qFormat/>
    <w:rPr>
      <w:rFonts w:eastAsia="SimSun;宋体"/>
      <w:b/>
      <w:bCs/>
      <w:sz w:val="28"/>
      <w:lang w:val="en-US"/>
    </w:rPr>
  </w:style>
  <w:style w:type="character" w:styleId="1056">
    <w:name w:val="WW8Num62z3"/>
    <w:qFormat/>
  </w:style>
  <w:style w:type="character" w:styleId="1057">
    <w:name w:val="WW8Num63z0"/>
    <w:qFormat/>
    <w:rPr>
      <w:rFonts w:ascii="Courier New" w:hAnsi="Courier New" w:cs="Courier New"/>
    </w:rPr>
  </w:style>
  <w:style w:type="character" w:styleId="1058">
    <w:name w:val="WW8Num64z0"/>
    <w:qFormat/>
  </w:style>
  <w:style w:type="character" w:styleId="1059">
    <w:name w:val="WW8Num64z2"/>
    <w:qFormat/>
    <w:rPr>
      <w:rFonts w:eastAsia="SimSun;宋体"/>
      <w:b/>
      <w:sz w:val="28"/>
      <w:lang w:val="en-US"/>
    </w:rPr>
  </w:style>
  <w:style w:type="character" w:styleId="1060">
    <w:name w:val="WW8Num65z0"/>
    <w:qFormat/>
    <w:rPr>
      <w:rFonts w:ascii="Times New Roman" w:hAnsi="Times New Roman" w:cs="Times New Roman" w:eastAsia="Calibri"/>
      <w:color w:val="FFFFFF"/>
    </w:rPr>
  </w:style>
  <w:style w:type="character" w:styleId="1061">
    <w:name w:val="WW8Num65z1"/>
    <w:qFormat/>
    <w:rPr>
      <w:rFonts w:eastAsia="SimSun;宋体"/>
      <w:b/>
      <w:bCs/>
      <w:i w:val="0"/>
      <w:sz w:val="28"/>
      <w:szCs w:val="28"/>
      <w:lang w:val="en-US"/>
    </w:rPr>
  </w:style>
  <w:style w:type="character" w:styleId="1062">
    <w:name w:val="WW8Num65z2"/>
    <w:qFormat/>
    <w:rPr>
      <w:rFonts w:eastAsia="SimSun;宋体"/>
      <w:b/>
      <w:sz w:val="28"/>
      <w:lang w:val="en-US"/>
    </w:rPr>
  </w:style>
  <w:style w:type="character" w:styleId="1063">
    <w:name w:val="WW8Num65z3"/>
    <w:qFormat/>
  </w:style>
  <w:style w:type="character" w:styleId="1064">
    <w:name w:val="WW8Num66z0"/>
    <w:qFormat/>
    <w:rPr>
      <w:rFonts w:ascii="Courier New" w:hAnsi="Courier New" w:cs="Courier New"/>
    </w:rPr>
  </w:style>
  <w:style w:type="character" w:styleId="1065">
    <w:name w:val="WW8Num67z0"/>
    <w:qFormat/>
  </w:style>
  <w:style w:type="character" w:styleId="1066">
    <w:name w:val="WW8Num67z2"/>
    <w:qFormat/>
    <w:rPr>
      <w:rFonts w:eastAsia="SimSun;宋体"/>
      <w:b/>
      <w:sz w:val="28"/>
      <w:lang w:val="en-US"/>
    </w:rPr>
  </w:style>
  <w:style w:type="character" w:styleId="1067">
    <w:name w:val="WW8Num68z0"/>
    <w:qFormat/>
  </w:style>
  <w:style w:type="character" w:styleId="1068">
    <w:name w:val="WW8Num68z1"/>
    <w:qFormat/>
    <w:rPr>
      <w:rFonts w:eastAsia="SimSun;宋体"/>
      <w:b/>
      <w:bCs/>
      <w:sz w:val="28"/>
      <w:lang w:val="ru-RU"/>
    </w:rPr>
  </w:style>
  <w:style w:type="character" w:styleId="1069">
    <w:name w:val="WW8Num68z2"/>
    <w:qFormat/>
    <w:rPr>
      <w:b/>
    </w:rPr>
  </w:style>
  <w:style w:type="character" w:styleId="1070">
    <w:name w:val="WW8Num69z0"/>
    <w:qFormat/>
    <w:rPr>
      <w:rFonts w:ascii="Courier New" w:hAnsi="Courier New" w:cs="Courier New"/>
    </w:rPr>
  </w:style>
  <w:style w:type="character" w:styleId="1071">
    <w:name w:val="WW8Num70z0"/>
    <w:qFormat/>
    <w:rPr>
      <w:rFonts w:ascii="Courier New" w:hAnsi="Courier New" w:cs="Courier New"/>
    </w:rPr>
  </w:style>
  <w:style w:type="character" w:styleId="1072">
    <w:name w:val="WW8Num71z0"/>
    <w:qFormat/>
    <w:rPr>
      <w:rFonts w:ascii="Courier New" w:hAnsi="Courier New" w:cs="Courier New"/>
    </w:rPr>
  </w:style>
  <w:style w:type="character" w:styleId="1073">
    <w:name w:val="WW8Num72z0"/>
    <w:qFormat/>
    <w:rPr>
      <w:rFonts w:ascii="Liberation Serif;Times New Roman" w:hAnsi="Liberation Serif;Times New Roman" w:cs="Liberation Serif;Times New Roman"/>
      <w:lang w:val="ru-RU" w:bidi="ar-SA"/>
    </w:rPr>
  </w:style>
  <w:style w:type="character" w:styleId="1074">
    <w:name w:val="WW8Num73z0"/>
    <w:qFormat/>
    <w:rPr>
      <w:rFonts w:ascii="Courier New" w:hAnsi="Courier New" w:cs="Courier New"/>
    </w:rPr>
  </w:style>
  <w:style w:type="character" w:styleId="1075">
    <w:name w:val="WW8Num74z0"/>
    <w:qFormat/>
    <w:rPr>
      <w:rFonts w:ascii="Courier New" w:hAnsi="Courier New" w:cs="Courier New"/>
    </w:rPr>
  </w:style>
  <w:style w:type="character" w:styleId="1076">
    <w:name w:val="WW8Num75z0"/>
    <w:qFormat/>
    <w:rPr>
      <w:color w:val="FFFFFF"/>
    </w:rPr>
  </w:style>
  <w:style w:type="character" w:styleId="1077">
    <w:name w:val="WW8Num75z1"/>
    <w:qFormat/>
    <w:rPr>
      <w:rFonts w:eastAsia="SimSun;宋体"/>
      <w:b/>
      <w:bCs/>
      <w:sz w:val="28"/>
      <w:lang w:val="en-US"/>
    </w:rPr>
  </w:style>
  <w:style w:type="character" w:styleId="1078">
    <w:name w:val="WW8Num75z2"/>
    <w:qFormat/>
    <w:rPr>
      <w:rFonts w:eastAsia="SimSun;宋体"/>
      <w:b/>
      <w:sz w:val="28"/>
      <w:lang w:val="en-US"/>
    </w:rPr>
  </w:style>
  <w:style w:type="character" w:styleId="1079">
    <w:name w:val="WW8Num76z0"/>
    <w:qFormat/>
    <w:rPr>
      <w:rFonts w:ascii="Courier New" w:hAnsi="Courier New" w:cs="Courier New"/>
    </w:rPr>
  </w:style>
  <w:style w:type="character" w:styleId="1080">
    <w:name w:val="WW8Num77z0"/>
    <w:qFormat/>
    <w:rPr>
      <w:rFonts w:ascii="Courier New" w:hAnsi="Courier New" w:cs="Courier New"/>
    </w:rPr>
  </w:style>
  <w:style w:type="character" w:styleId="1081">
    <w:name w:val="WW8Num78z0"/>
    <w:qFormat/>
    <w:rPr>
      <w:rFonts w:ascii="Courier New" w:hAnsi="Courier New" w:cs="Courier New"/>
    </w:rPr>
  </w:style>
  <w:style w:type="character" w:styleId="1082">
    <w:name w:val="WW8Num79z0"/>
    <w:qFormat/>
    <w:rPr>
      <w:rFonts w:ascii="Liberation Serif;Times New Roman" w:hAnsi="Liberation Serif;Times New Roman" w:cs="Liberation Serif;Times New Roman"/>
      <w:lang w:val="ru-RU" w:bidi="ar-SA"/>
    </w:rPr>
  </w:style>
  <w:style w:type="character" w:styleId="1083">
    <w:name w:val="WW8Num80z0"/>
    <w:qFormat/>
  </w:style>
  <w:style w:type="character" w:styleId="1084">
    <w:name w:val="WW8Num80z2"/>
    <w:qFormat/>
    <w:rPr>
      <w:b/>
    </w:rPr>
  </w:style>
  <w:style w:type="character" w:styleId="1085">
    <w:name w:val="WW8Num81z0"/>
    <w:qFormat/>
    <w:rPr>
      <w:rFonts w:ascii="Courier New" w:hAnsi="Courier New" w:cs="Courier New"/>
    </w:rPr>
  </w:style>
  <w:style w:type="character" w:styleId="1086">
    <w:name w:val="WW8Num82z0"/>
    <w:qFormat/>
  </w:style>
  <w:style w:type="character" w:styleId="1087">
    <w:name w:val="WW8Num82z2"/>
    <w:qFormat/>
    <w:rPr>
      <w:b/>
    </w:rPr>
  </w:style>
  <w:style w:type="character" w:styleId="1088">
    <w:name w:val="WW8Num83z0"/>
    <w:qFormat/>
    <w:rPr>
      <w:sz w:val="24"/>
      <w:szCs w:val="24"/>
    </w:rPr>
  </w:style>
  <w:style w:type="character" w:styleId="1089">
    <w:name w:val="WW8Num84z0"/>
    <w:qFormat/>
    <w:rPr>
      <w:color w:val="FFFFFF"/>
    </w:rPr>
  </w:style>
  <w:style w:type="character" w:styleId="1090">
    <w:name w:val="WW8Num84z1"/>
    <w:qFormat/>
    <w:rPr>
      <w:rFonts w:eastAsia="SimSun;宋体"/>
      <w:b/>
      <w:bCs/>
      <w:i w:val="0"/>
      <w:sz w:val="28"/>
      <w:szCs w:val="28"/>
      <w:lang w:val="en-US"/>
    </w:rPr>
  </w:style>
  <w:style w:type="character" w:styleId="1091">
    <w:name w:val="WW8Num84z2"/>
    <w:qFormat/>
    <w:rPr>
      <w:rFonts w:eastAsia="SimSun;宋体"/>
      <w:b/>
      <w:sz w:val="28"/>
      <w:lang w:val="en-US"/>
    </w:rPr>
  </w:style>
  <w:style w:type="character" w:styleId="1092">
    <w:name w:val="WW8Num84z3"/>
    <w:qFormat/>
  </w:style>
  <w:style w:type="character" w:styleId="1093">
    <w:name w:val="WW8Num85z0"/>
    <w:qFormat/>
  </w:style>
  <w:style w:type="character" w:styleId="1094">
    <w:name w:val="WW8Num85z2"/>
    <w:qFormat/>
    <w:rPr>
      <w:rFonts w:eastAsia="SimSun;宋体"/>
      <w:b/>
      <w:bCs/>
      <w:sz w:val="28"/>
      <w:lang w:val="en-US"/>
    </w:rPr>
  </w:style>
  <w:style w:type="character" w:styleId="1095">
    <w:name w:val="WW8Num86z0"/>
    <w:qFormat/>
    <w:rPr>
      <w:rFonts w:ascii="Courier New" w:hAnsi="Courier New" w:cs="Courier New"/>
    </w:rPr>
  </w:style>
  <w:style w:type="character" w:styleId="1096">
    <w:name w:val="WW8Num87z0"/>
    <w:qFormat/>
    <w:rPr>
      <w:rFonts w:ascii="Courier New" w:hAnsi="Courier New" w:cs="Courier New"/>
    </w:rPr>
  </w:style>
  <w:style w:type="character" w:styleId="1097">
    <w:name w:val="WW8Num88z0"/>
    <w:qFormat/>
  </w:style>
  <w:style w:type="character" w:styleId="1098">
    <w:name w:val="WW8Num88z2"/>
    <w:qFormat/>
    <w:rPr>
      <w:rFonts w:eastAsia="SimSun;宋体"/>
      <w:b/>
      <w:sz w:val="28"/>
      <w:lang w:val="en-US"/>
    </w:rPr>
  </w:style>
  <w:style w:type="character" w:styleId="1099">
    <w:name w:val="WW8Num89z0"/>
    <w:qFormat/>
    <w:rPr>
      <w:rFonts w:ascii="Courier New" w:hAnsi="Courier New" w:cs="Courier New"/>
    </w:rPr>
  </w:style>
  <w:style w:type="character" w:styleId="1100">
    <w:name w:val="WW8Num90z0"/>
    <w:qFormat/>
    <w:rPr>
      <w:rFonts w:ascii="Courier New" w:hAnsi="Courier New" w:cs="Courier New"/>
    </w:rPr>
  </w:style>
  <w:style w:type="character" w:styleId="1101">
    <w:name w:val="WW8Num91z0"/>
    <w:qFormat/>
    <w:rPr>
      <w:rFonts w:ascii="Courier New" w:hAnsi="Courier New" w:cs="Courier New"/>
    </w:rPr>
  </w:style>
  <w:style w:type="character" w:styleId="1102">
    <w:name w:val="WW8Num92z0"/>
    <w:qFormat/>
    <w:rPr>
      <w:rFonts w:ascii="Courier New" w:hAnsi="Courier New" w:cs="Courier New"/>
    </w:rPr>
  </w:style>
  <w:style w:type="character" w:styleId="1103">
    <w:name w:val="WW8Num93z0"/>
    <w:qFormat/>
  </w:style>
  <w:style w:type="character" w:styleId="1104">
    <w:name w:val="WW8Num93z1"/>
    <w:qFormat/>
    <w:rPr>
      <w:b/>
      <w:i w:val="0"/>
      <w:sz w:val="28"/>
      <w:szCs w:val="28"/>
    </w:rPr>
  </w:style>
  <w:style w:type="character" w:styleId="1105">
    <w:name w:val="WW8Num93z2"/>
    <w:qFormat/>
    <w:rPr>
      <w:b/>
    </w:rPr>
  </w:style>
  <w:style w:type="character" w:styleId="1106">
    <w:name w:val="WW8Num94z0"/>
    <w:qFormat/>
    <w:rPr>
      <w:rFonts w:ascii="Courier New" w:hAnsi="Courier New" w:cs="Courier New"/>
    </w:rPr>
  </w:style>
  <w:style w:type="character" w:styleId="1107">
    <w:name w:val="WW8Num95z0"/>
    <w:qFormat/>
    <w:rPr>
      <w:rFonts w:eastAsia="SimSun;宋体"/>
      <w:b/>
      <w:bCs/>
      <w:sz w:val="28"/>
      <w:lang w:val="en-US"/>
    </w:rPr>
  </w:style>
  <w:style w:type="character" w:styleId="1108">
    <w:name w:val="WW8Num95z2"/>
    <w:qFormat/>
    <w:rPr>
      <w:rFonts w:eastAsia="SimSun;宋体"/>
      <w:b/>
      <w:sz w:val="28"/>
      <w:lang w:val="en-US"/>
    </w:rPr>
  </w:style>
  <w:style w:type="character" w:styleId="1109">
    <w:name w:val="WW8Num96z0"/>
    <w:qFormat/>
    <w:rPr>
      <w:rFonts w:ascii="Courier New" w:hAnsi="Courier New" w:cs="Courier New"/>
    </w:rPr>
  </w:style>
  <w:style w:type="character" w:styleId="1110">
    <w:name w:val="WW8Num97z0"/>
    <w:qFormat/>
    <w:rPr>
      <w:rFonts w:ascii="Symbol" w:hAnsi="Symbol" w:cs="Symbol"/>
      <w:color w:val="0B2734"/>
      <w:sz w:val="20"/>
    </w:rPr>
  </w:style>
  <w:style w:type="character" w:styleId="1111">
    <w:name w:val="WW8Num97z1"/>
    <w:qFormat/>
    <w:rPr>
      <w:rFonts w:ascii="Courier New" w:hAnsi="Courier New" w:cs="Courier New"/>
      <w:sz w:val="20"/>
    </w:rPr>
  </w:style>
  <w:style w:type="character" w:styleId="1112">
    <w:name w:val="WW8Num97z2"/>
    <w:qFormat/>
    <w:rPr>
      <w:rFonts w:ascii="Wingdings" w:hAnsi="Wingdings" w:cs="Wingdings"/>
      <w:sz w:val="20"/>
    </w:rPr>
  </w:style>
  <w:style w:type="character" w:styleId="1113">
    <w:name w:val="WW8Num98z0"/>
    <w:qFormat/>
    <w:rPr>
      <w:rFonts w:ascii="Courier New" w:hAnsi="Courier New" w:cs="Courier New"/>
    </w:rPr>
  </w:style>
  <w:style w:type="character" w:styleId="1114">
    <w:name w:val="WW8Num99z0"/>
    <w:qFormat/>
    <w:rPr>
      <w:rFonts w:ascii="Courier New" w:hAnsi="Courier New" w:cs="Courier New"/>
    </w:rPr>
  </w:style>
  <w:style w:type="character" w:styleId="1115">
    <w:name w:val="WW8Num100z0"/>
    <w:qFormat/>
  </w:style>
  <w:style w:type="character" w:styleId="1116">
    <w:name w:val="WW8Num100z1"/>
    <w:qFormat/>
    <w:rPr>
      <w:rFonts w:eastAsia="SimSun;宋体"/>
      <w:b/>
      <w:bCs/>
      <w:sz w:val="28"/>
      <w:lang w:val="ru-RU"/>
    </w:rPr>
  </w:style>
  <w:style w:type="character" w:styleId="1117">
    <w:name w:val="WW8Num100z2"/>
    <w:qFormat/>
    <w:rPr>
      <w:b/>
    </w:rPr>
  </w:style>
  <w:style w:type="character" w:styleId="1118">
    <w:name w:val="WW8Num101z0"/>
    <w:qFormat/>
    <w:rPr>
      <w:rFonts w:ascii="Courier New" w:hAnsi="Courier New" w:cs="Courier New"/>
    </w:rPr>
  </w:style>
  <w:style w:type="character" w:styleId="1119">
    <w:name w:val="WW8Num102z0"/>
    <w:qFormat/>
    <w:rPr>
      <w:rFonts w:ascii="Symbol" w:hAnsi="Symbol" w:cs="Symbol"/>
      <w:sz w:val="24"/>
      <w:szCs w:val="24"/>
    </w:rPr>
  </w:style>
  <w:style w:type="character" w:styleId="1120">
    <w:name w:val="WW8Num103z0"/>
    <w:qFormat/>
    <w:rPr>
      <w:rFonts w:ascii="Courier New" w:hAnsi="Courier New" w:cs="Courier New"/>
    </w:rPr>
  </w:style>
  <w:style w:type="character" w:styleId="1121">
    <w:name w:val="WW8Num104z0"/>
    <w:qFormat/>
    <w:rPr>
      <w:color w:val="FFFFFF"/>
    </w:rPr>
  </w:style>
  <w:style w:type="character" w:styleId="1122">
    <w:name w:val="WW8Num104z1"/>
    <w:qFormat/>
    <w:rPr>
      <w:rFonts w:eastAsia="SimSun;宋体"/>
      <w:b/>
      <w:bCs/>
      <w:i w:val="0"/>
      <w:sz w:val="28"/>
      <w:szCs w:val="28"/>
      <w:lang w:val="en-US"/>
    </w:rPr>
  </w:style>
  <w:style w:type="character" w:styleId="1123">
    <w:name w:val="WW8Num104z2"/>
    <w:qFormat/>
    <w:rPr>
      <w:rFonts w:eastAsia="SimSun;宋体"/>
      <w:b/>
      <w:sz w:val="28"/>
      <w:lang w:val="en-US"/>
    </w:rPr>
  </w:style>
  <w:style w:type="character" w:styleId="1124">
    <w:name w:val="WW8Num104z3"/>
    <w:qFormat/>
  </w:style>
  <w:style w:type="character" w:styleId="1125">
    <w:name w:val="WW8Num105z0"/>
    <w:qFormat/>
    <w:rPr>
      <w:rFonts w:eastAsia="SimSun;宋体"/>
      <w:b/>
      <w:bCs/>
      <w:sz w:val="28"/>
      <w:lang w:val="en-US"/>
    </w:rPr>
  </w:style>
  <w:style w:type="character" w:styleId="1126">
    <w:name w:val="WW8Num105z2"/>
    <w:qFormat/>
    <w:rPr>
      <w:rFonts w:eastAsia="SimSun;宋体"/>
      <w:b/>
      <w:bCs/>
      <w:sz w:val="28"/>
      <w:lang w:val="en-US"/>
    </w:rPr>
  </w:style>
  <w:style w:type="character" w:styleId="1127">
    <w:name w:val="WW8Num106z0"/>
    <w:qFormat/>
    <w:rPr>
      <w:rFonts w:ascii="Symbol" w:hAnsi="Symbol" w:cs="Symbol"/>
      <w:sz w:val="24"/>
      <w:szCs w:val="24"/>
    </w:rPr>
  </w:style>
  <w:style w:type="character" w:styleId="1128">
    <w:name w:val="WW8Num107z0"/>
    <w:qFormat/>
    <w:rPr>
      <w:b w:val="0"/>
    </w:rPr>
  </w:style>
  <w:style w:type="character" w:styleId="1129">
    <w:name w:val="WW8Num107z2"/>
    <w:qFormat/>
    <w:rPr>
      <w:rFonts w:eastAsia="SimSun;宋体"/>
      <w:b/>
      <w:bCs/>
      <w:sz w:val="28"/>
      <w:lang w:val="en-US"/>
    </w:rPr>
  </w:style>
  <w:style w:type="character" w:styleId="1130">
    <w:name w:val="WW8Num108z0"/>
    <w:qFormat/>
  </w:style>
  <w:style w:type="character" w:styleId="1131">
    <w:name w:val="WW8Num109z0"/>
    <w:qFormat/>
    <w:rPr>
      <w:rFonts w:ascii="Tempus Sans ITC" w:hAnsi="Tempus Sans ITC" w:cs="Times New Roman"/>
    </w:rPr>
  </w:style>
  <w:style w:type="character" w:styleId="1132">
    <w:name w:val="WW8Num110z0"/>
    <w:qFormat/>
  </w:style>
  <w:style w:type="character" w:styleId="1133">
    <w:name w:val="WW8Num110z1"/>
    <w:qFormat/>
    <w:rPr>
      <w:rFonts w:eastAsia="SimSun;宋体"/>
      <w:b/>
      <w:bCs/>
      <w:sz w:val="28"/>
      <w:lang w:val="en-US"/>
    </w:rPr>
  </w:style>
  <w:style w:type="character" w:styleId="1134">
    <w:name w:val="WW8Num111z0"/>
    <w:qFormat/>
  </w:style>
  <w:style w:type="character" w:styleId="1135">
    <w:name w:val="WW8Num111z1"/>
    <w:qFormat/>
    <w:rPr>
      <w:rFonts w:ascii="Times New Roman" w:hAnsi="Times New Roman" w:cs="Times New Roman"/>
    </w:rPr>
  </w:style>
  <w:style w:type="character" w:styleId="1136">
    <w:name w:val="WW8Num112z0"/>
    <w:qFormat/>
    <w:rPr>
      <w:rFonts w:ascii="Times New Roman" w:hAnsi="Times New Roman" w:cs="Times New Roman"/>
      <w:b/>
      <w:bCs w:val="0"/>
      <w:i w:val="0"/>
      <w:iCs w:val="0"/>
      <w:caps w:val="0"/>
      <w:smallCaps w:val="0"/>
      <w:strike w:val="false"/>
      <w:vanish w:val="false"/>
      <w:color w:val="000000"/>
      <w:spacing w:val="0"/>
      <w:position w:val="0"/>
      <w:sz w:val="32"/>
      <w:szCs w:val="32"/>
      <w:u w:val="none"/>
      <w:vertAlign w:val="baseline"/>
    </w:rPr>
  </w:style>
  <w:style w:type="character" w:styleId="1137">
    <w:name w:val="WW8Num112z1"/>
    <w:qFormat/>
    <w:rPr>
      <w:rFonts w:eastAsia="SimSun;宋体"/>
      <w:b/>
      <w:bCs/>
      <w:sz w:val="28"/>
      <w:szCs w:val="28"/>
      <w:lang w:val="en-US"/>
    </w:rPr>
  </w:style>
  <w:style w:type="character" w:styleId="1138">
    <w:name w:val="WW8Num112z2"/>
    <w:qFormat/>
  </w:style>
  <w:style w:type="character" w:styleId="1139">
    <w:name w:val="WW8Num112z3"/>
    <w:qFormat/>
  </w:style>
  <w:style w:type="character" w:styleId="1140">
    <w:name w:val="WW8Num112z4"/>
    <w:qFormat/>
  </w:style>
  <w:style w:type="character" w:styleId="1141">
    <w:name w:val="WW8Num112z5"/>
    <w:qFormat/>
  </w:style>
  <w:style w:type="character" w:styleId="1142">
    <w:name w:val="WW8Num112z6"/>
    <w:qFormat/>
  </w:style>
  <w:style w:type="character" w:styleId="1143">
    <w:name w:val="WW8Num112z7"/>
    <w:qFormat/>
  </w:style>
  <w:style w:type="character" w:styleId="1144">
    <w:name w:val="WW8Num112z8"/>
    <w:qFormat/>
  </w:style>
  <w:style w:type="character" w:styleId="1145">
    <w:name w:val="WW8Num113z0"/>
    <w:qFormat/>
    <w:rPr>
      <w:rFonts w:ascii="Courier New" w:hAnsi="Courier New" w:cs="Courier New"/>
    </w:rPr>
  </w:style>
  <w:style w:type="character" w:styleId="1146">
    <w:name w:val="WW8Num114z0"/>
    <w:qFormat/>
    <w:rPr>
      <w:rFonts w:ascii="Symbol" w:hAnsi="Symbol" w:cs="Symbol"/>
      <w:color w:val="000000"/>
      <w:lang w:eastAsia="en-US"/>
    </w:rPr>
  </w:style>
  <w:style w:type="character" w:styleId="1147">
    <w:name w:val="WW8Num115z0"/>
    <w:qFormat/>
  </w:style>
  <w:style w:type="character" w:styleId="1148">
    <w:name w:val="WW8Num115z2"/>
    <w:qFormat/>
    <w:rPr>
      <w:b/>
    </w:rPr>
  </w:style>
  <w:style w:type="character" w:styleId="1149">
    <w:name w:val="WW8Num116z0"/>
    <w:qFormat/>
    <w:rPr>
      <w:rFonts w:ascii="Courier New" w:hAnsi="Courier New" w:cs="Courier New"/>
    </w:rPr>
  </w:style>
  <w:style w:type="character" w:styleId="1150">
    <w:name w:val="WW8Num117z0"/>
    <w:qFormat/>
    <w:rPr>
      <w:rFonts w:eastAsia="SimSun;宋体"/>
      <w:b/>
      <w:bCs/>
      <w:sz w:val="28"/>
    </w:rPr>
  </w:style>
  <w:style w:type="character" w:styleId="1151">
    <w:name w:val="WW8Num117z2"/>
    <w:qFormat/>
    <w:rPr>
      <w:b/>
    </w:rPr>
  </w:style>
  <w:style w:type="character" w:styleId="1152">
    <w:name w:val="WW8Num118z0"/>
    <w:qFormat/>
    <w:rPr>
      <w:rFonts w:ascii="Symbol" w:hAnsi="Symbol" w:cs="Symbol"/>
    </w:rPr>
  </w:style>
  <w:style w:type="character" w:styleId="1153">
    <w:name w:val="WW8Num119z0"/>
    <w:qFormat/>
    <w:rPr>
      <w:rFonts w:ascii="Courier New" w:hAnsi="Courier New" w:cs="Courier New"/>
    </w:rPr>
  </w:style>
  <w:style w:type="character" w:styleId="1154">
    <w:name w:val="WW8Num120z0"/>
    <w:qFormat/>
    <w:rPr>
      <w:color w:val="FFFFFF"/>
    </w:rPr>
  </w:style>
  <w:style w:type="character" w:styleId="1155">
    <w:name w:val="WW8Num120z1"/>
    <w:qFormat/>
  </w:style>
  <w:style w:type="character" w:styleId="1156">
    <w:name w:val="WW8Num121z0"/>
    <w:qFormat/>
    <w:rPr>
      <w:rFonts w:ascii="Courier New" w:hAnsi="Courier New" w:cs="Courier New"/>
    </w:rPr>
  </w:style>
  <w:style w:type="character" w:styleId="1157">
    <w:name w:val="WW8Num122z0"/>
    <w:qFormat/>
    <w:rPr>
      <w:rFonts w:ascii="Courier New" w:hAnsi="Courier New" w:cs="Courier New"/>
    </w:rPr>
  </w:style>
  <w:style w:type="character" w:styleId="1158">
    <w:name w:val="WW8Num123z0"/>
    <w:qFormat/>
    <w:rPr>
      <w:rFonts w:eastAsia="SimSun;宋体"/>
      <w:b/>
      <w:bCs/>
      <w:sz w:val="28"/>
      <w:lang w:val="en-US"/>
    </w:rPr>
  </w:style>
  <w:style w:type="character" w:styleId="1159">
    <w:name w:val="WW8Num124z0"/>
    <w:qFormat/>
    <w:rPr>
      <w:rFonts w:eastAsia="SimSun;宋体"/>
      <w:b/>
      <w:bCs/>
      <w:sz w:val="28"/>
      <w:lang w:val="en-US"/>
    </w:rPr>
  </w:style>
  <w:style w:type="character" w:styleId="1160">
    <w:name w:val="WW8Num125z0"/>
    <w:qFormat/>
    <w:rPr>
      <w:rFonts w:eastAsia="SimSun;宋体"/>
      <w:b/>
      <w:bCs/>
      <w:sz w:val="28"/>
      <w:lang w:val="en-US"/>
    </w:rPr>
  </w:style>
  <w:style w:type="character" w:styleId="1161">
    <w:name w:val="WW8Num126z0"/>
    <w:qFormat/>
    <w:rPr>
      <w:rFonts w:eastAsia="SimSun;宋体"/>
      <w:b/>
      <w:bCs/>
      <w:sz w:val="28"/>
      <w:lang w:val="en-US"/>
    </w:rPr>
  </w:style>
  <w:style w:type="character" w:styleId="1162">
    <w:name w:val="WW8Num127z0"/>
    <w:qFormat/>
    <w:rPr>
      <w:rFonts w:eastAsia="SimSun;宋体"/>
      <w:sz w:val="28"/>
    </w:rPr>
  </w:style>
  <w:style w:type="character" w:styleId="1163">
    <w:name w:val="WW8Num127z2"/>
    <w:qFormat/>
    <w:rPr>
      <w:rFonts w:eastAsia="SimSun;宋体"/>
      <w:b/>
      <w:sz w:val="28"/>
    </w:rPr>
  </w:style>
  <w:style w:type="character" w:styleId="1164">
    <w:name w:val="WW8Num128z0"/>
    <w:qFormat/>
    <w:rPr>
      <w:rFonts w:eastAsia="SimSun;宋体"/>
      <w:sz w:val="28"/>
    </w:rPr>
  </w:style>
  <w:style w:type="character" w:styleId="1165">
    <w:name w:val="WW8Num128z2"/>
    <w:qFormat/>
    <w:rPr>
      <w:rFonts w:eastAsia="SimSun;宋体"/>
      <w:b/>
      <w:sz w:val="28"/>
    </w:rPr>
  </w:style>
  <w:style w:type="character" w:styleId="1166">
    <w:name w:val="WW8Num129z0"/>
    <w:qFormat/>
    <w:rPr>
      <w:rFonts w:eastAsia="SimSun;宋体"/>
      <w:b/>
      <w:bCs/>
      <w:sz w:val="28"/>
      <w:lang w:val="en-US"/>
    </w:rPr>
  </w:style>
  <w:style w:type="character" w:styleId="1167">
    <w:name w:val="WW8Num130z0"/>
    <w:qFormat/>
    <w:rPr>
      <w:rFonts w:eastAsia="SimSun;宋体"/>
      <w:sz w:val="28"/>
    </w:rPr>
  </w:style>
  <w:style w:type="character" w:styleId="1168">
    <w:name w:val="WW8Num130z2"/>
    <w:qFormat/>
    <w:rPr>
      <w:rFonts w:eastAsia="SimSun;宋体"/>
      <w:b/>
      <w:sz w:val="28"/>
    </w:rPr>
  </w:style>
  <w:style w:type="character" w:styleId="1169">
    <w:name w:val="WW8Num131z0"/>
    <w:qFormat/>
    <w:rPr>
      <w:rFonts w:eastAsia="SimSun;宋体"/>
      <w:sz w:val="28"/>
    </w:rPr>
  </w:style>
  <w:style w:type="character" w:styleId="1170">
    <w:name w:val="WW8Num131z2"/>
    <w:qFormat/>
    <w:rPr>
      <w:rFonts w:eastAsia="SimSun;宋体"/>
      <w:b/>
      <w:sz w:val="28"/>
      <w:lang w:val="en-US"/>
    </w:rPr>
  </w:style>
  <w:style w:type="character" w:styleId="1171">
    <w:name w:val="Основной шрифт абзаца"/>
    <w:qFormat/>
  </w:style>
  <w:style w:type="character" w:styleId="1172">
    <w:name w:val="WW8Num18z1"/>
    <w:qFormat/>
    <w:rPr>
      <w:rFonts w:ascii="Courier New" w:hAnsi="Courier New" w:cs="Courier New"/>
    </w:rPr>
  </w:style>
  <w:style w:type="character" w:styleId="1173">
    <w:name w:val="WW8Num18z2"/>
    <w:qFormat/>
    <w:rPr>
      <w:rFonts w:ascii="Wingdings" w:hAnsi="Wingdings" w:cs="Wingdings"/>
    </w:rPr>
  </w:style>
  <w:style w:type="character" w:styleId="1174">
    <w:name w:val="WW8Num18z3"/>
    <w:qFormat/>
    <w:rPr>
      <w:rFonts w:ascii="Symbol" w:hAnsi="Symbol" w:cs="Symbol"/>
    </w:rPr>
  </w:style>
  <w:style w:type="character" w:styleId="1175">
    <w:name w:val="WW8Num19z2"/>
    <w:qFormat/>
    <w:rPr>
      <w:rFonts w:ascii="Wingdings" w:hAnsi="Wingdings" w:cs="Wingdings"/>
    </w:rPr>
  </w:style>
  <w:style w:type="character" w:styleId="1176">
    <w:name w:val="WW8Num19z3"/>
    <w:qFormat/>
    <w:rPr>
      <w:rFonts w:ascii="Symbol" w:hAnsi="Symbol" w:cs="Symbol"/>
    </w:rPr>
  </w:style>
  <w:style w:type="character" w:styleId="1177">
    <w:name w:val="WW8Num20z2"/>
    <w:qFormat/>
    <w:rPr>
      <w:rFonts w:eastAsia="SimSun;宋体"/>
      <w:b/>
      <w:sz w:val="28"/>
      <w:lang w:val="en-US"/>
    </w:rPr>
  </w:style>
  <w:style w:type="character" w:styleId="1178">
    <w:name w:val="WW8Num22z1"/>
    <w:qFormat/>
    <w:rPr>
      <w:b/>
      <w:i w:val="0"/>
      <w:sz w:val="28"/>
      <w:szCs w:val="28"/>
    </w:rPr>
  </w:style>
  <w:style w:type="character" w:styleId="1179">
    <w:name w:val="WW8Num23z3"/>
    <w:qFormat/>
    <w:rPr>
      <w:rFonts w:ascii="Symbol" w:hAnsi="Symbol" w:cs="Symbol"/>
    </w:rPr>
  </w:style>
  <w:style w:type="character" w:styleId="1180">
    <w:name w:val="WW8Num24z2"/>
    <w:qFormat/>
    <w:rPr>
      <w:rFonts w:ascii="Wingdings" w:hAnsi="Wingdings" w:cs="Wingdings"/>
    </w:rPr>
  </w:style>
  <w:style w:type="character" w:styleId="1181">
    <w:name w:val="WW8Num24z3"/>
    <w:qFormat/>
    <w:rPr>
      <w:rFonts w:ascii="Symbol" w:hAnsi="Symbol" w:cs="Symbol"/>
    </w:rPr>
  </w:style>
  <w:style w:type="character" w:styleId="1182">
    <w:name w:val="WW8Num25z1"/>
    <w:qFormat/>
    <w:rPr>
      <w:lang w:val="ru-RU" w:bidi="ar-SA"/>
    </w:rPr>
  </w:style>
  <w:style w:type="character" w:styleId="1183">
    <w:name w:val="WW8Num27z1"/>
    <w:qFormat/>
    <w:rPr>
      <w:b/>
      <w:i w:val="0"/>
      <w:sz w:val="28"/>
      <w:szCs w:val="28"/>
    </w:rPr>
  </w:style>
  <w:style w:type="character" w:styleId="1184">
    <w:name w:val="WW8Num27z2"/>
    <w:qFormat/>
    <w:rPr>
      <w:b/>
    </w:rPr>
  </w:style>
  <w:style w:type="character" w:styleId="1185">
    <w:name w:val="WW8Num27z3"/>
    <w:qFormat/>
  </w:style>
  <w:style w:type="character" w:styleId="1186">
    <w:name w:val="WW8Num28z4"/>
    <w:qFormat/>
  </w:style>
  <w:style w:type="character" w:styleId="1187">
    <w:name w:val="WW8Num28z5"/>
    <w:qFormat/>
  </w:style>
  <w:style w:type="character" w:styleId="1188">
    <w:name w:val="WW8Num28z6"/>
    <w:qFormat/>
  </w:style>
  <w:style w:type="character" w:styleId="1189">
    <w:name w:val="WW8Num28z7"/>
    <w:qFormat/>
  </w:style>
  <w:style w:type="character" w:styleId="1190">
    <w:name w:val="WW8Num28z8"/>
    <w:qFormat/>
  </w:style>
  <w:style w:type="character" w:styleId="1191">
    <w:name w:val="WW8Num29z2"/>
    <w:qFormat/>
    <w:rPr>
      <w:rFonts w:ascii="Wingdings" w:hAnsi="Wingdings" w:cs="Wingdings"/>
    </w:rPr>
  </w:style>
  <w:style w:type="character" w:styleId="1192">
    <w:name w:val="WW8Num29z3"/>
    <w:qFormat/>
    <w:rPr>
      <w:rFonts w:ascii="Symbol" w:hAnsi="Symbol" w:cs="Symbol"/>
    </w:rPr>
  </w:style>
  <w:style w:type="character" w:styleId="1193">
    <w:name w:val="WW8Num30z2"/>
    <w:qFormat/>
    <w:rPr>
      <w:rFonts w:ascii="Wingdings" w:hAnsi="Wingdings" w:cs="Wingdings"/>
    </w:rPr>
  </w:style>
  <w:style w:type="character" w:styleId="1194">
    <w:name w:val="WW8Num30z3"/>
    <w:qFormat/>
    <w:rPr>
      <w:rFonts w:ascii="Symbol" w:hAnsi="Symbol" w:cs="Symbol"/>
    </w:rPr>
  </w:style>
  <w:style w:type="character" w:styleId="1195">
    <w:name w:val="WW8Num31z2"/>
    <w:qFormat/>
    <w:rPr>
      <w:rFonts w:ascii="Wingdings" w:hAnsi="Wingdings" w:cs="Wingdings"/>
    </w:rPr>
  </w:style>
  <w:style w:type="character" w:styleId="1196">
    <w:name w:val="WW8Num31z3"/>
    <w:qFormat/>
    <w:rPr>
      <w:rFonts w:ascii="Symbol" w:hAnsi="Symbol" w:cs="Symbol"/>
    </w:rPr>
  </w:style>
  <w:style w:type="character" w:styleId="1197">
    <w:name w:val="WW8Num32z2"/>
    <w:qFormat/>
    <w:rPr>
      <w:b/>
    </w:rPr>
  </w:style>
  <w:style w:type="character" w:styleId="1198">
    <w:name w:val="WW8Num34z1"/>
    <w:qFormat/>
    <w:rPr>
      <w:i w:val="0"/>
    </w:rPr>
  </w:style>
  <w:style w:type="character" w:styleId="1199">
    <w:name w:val="WW8Num35z3"/>
    <w:qFormat/>
    <w:rPr>
      <w:rFonts w:ascii="Symbol" w:hAnsi="Symbol" w:cs="Symbol"/>
    </w:rPr>
  </w:style>
  <w:style w:type="character" w:styleId="1200">
    <w:name w:val="WW8Num36z2"/>
    <w:qFormat/>
    <w:rPr>
      <w:rFonts w:ascii="Wingdings" w:hAnsi="Wingdings" w:cs="Wingdings"/>
    </w:rPr>
  </w:style>
  <w:style w:type="character" w:styleId="1201">
    <w:name w:val="WW8Num36z3"/>
    <w:qFormat/>
    <w:rPr>
      <w:rFonts w:ascii="Symbol" w:hAnsi="Symbol" w:cs="Symbol"/>
    </w:rPr>
  </w:style>
  <w:style w:type="character" w:styleId="1202">
    <w:name w:val="WW8Num37z2"/>
    <w:qFormat/>
    <w:rPr>
      <w:b/>
      <w:sz w:val="28"/>
      <w:szCs w:val="28"/>
    </w:rPr>
  </w:style>
  <w:style w:type="character" w:styleId="1203">
    <w:name w:val="WW8Num38z1"/>
    <w:qFormat/>
    <w:rPr>
      <w:b/>
      <w:i w:val="0"/>
      <w:sz w:val="28"/>
      <w:szCs w:val="28"/>
    </w:rPr>
  </w:style>
  <w:style w:type="character" w:styleId="1204">
    <w:name w:val="WW8Num41z2"/>
    <w:qFormat/>
    <w:rPr>
      <w:rFonts w:ascii="Wingdings" w:hAnsi="Wingdings" w:cs="Wingdings"/>
    </w:rPr>
  </w:style>
  <w:style w:type="character" w:styleId="1205">
    <w:name w:val="WW8Num41z3"/>
    <w:qFormat/>
    <w:rPr>
      <w:rFonts w:ascii="Symbol" w:hAnsi="Symbol" w:cs="Symbol"/>
    </w:rPr>
  </w:style>
  <w:style w:type="character" w:styleId="1206">
    <w:name w:val="WW8Num43z1"/>
    <w:qFormat/>
    <w:rPr>
      <w:color w:val="000000"/>
    </w:rPr>
  </w:style>
  <w:style w:type="character" w:styleId="1207">
    <w:name w:val="WW8Num43z3"/>
    <w:qFormat/>
  </w:style>
  <w:style w:type="character" w:styleId="1208">
    <w:name w:val="WW8Num46z1"/>
    <w:qFormat/>
    <w:rPr>
      <w:b/>
      <w:i w:val="0"/>
      <w:sz w:val="28"/>
      <w:szCs w:val="28"/>
    </w:rPr>
  </w:style>
  <w:style w:type="character" w:styleId="1209">
    <w:name w:val="WW8Num46z2"/>
    <w:qFormat/>
    <w:rPr>
      <w:b/>
    </w:rPr>
  </w:style>
  <w:style w:type="character" w:styleId="1210">
    <w:name w:val="WW8Num46z3"/>
    <w:qFormat/>
  </w:style>
  <w:style w:type="character" w:styleId="1211">
    <w:name w:val="WW8Num47z3"/>
    <w:qFormat/>
    <w:rPr>
      <w:rFonts w:ascii="Symbol" w:hAnsi="Symbol" w:cs="Symbol"/>
    </w:rPr>
  </w:style>
  <w:style w:type="character" w:styleId="1212">
    <w:name w:val="WW8Num48z2"/>
    <w:qFormat/>
    <w:rPr>
      <w:b/>
    </w:rPr>
  </w:style>
  <w:style w:type="character" w:styleId="1213">
    <w:name w:val="WW8Num49z1"/>
    <w:qFormat/>
    <w:rPr>
      <w:b/>
    </w:rPr>
  </w:style>
  <w:style w:type="character" w:styleId="1214">
    <w:name w:val="WW8Num52z1"/>
    <w:qFormat/>
  </w:style>
  <w:style w:type="character" w:styleId="1215">
    <w:name w:val="WW8Num52z2"/>
    <w:qFormat/>
    <w:rPr>
      <w:b/>
    </w:rPr>
  </w:style>
  <w:style w:type="character" w:styleId="1216">
    <w:name w:val="WW8Num53z2"/>
    <w:qFormat/>
    <w:rPr>
      <w:rFonts w:ascii="Wingdings" w:hAnsi="Wingdings" w:cs="Wingdings"/>
    </w:rPr>
  </w:style>
  <w:style w:type="character" w:styleId="1217">
    <w:name w:val="WW8Num53z3"/>
    <w:qFormat/>
    <w:rPr>
      <w:rFonts w:ascii="Symbol" w:hAnsi="Symbol" w:cs="Symbol"/>
    </w:rPr>
  </w:style>
  <w:style w:type="character" w:styleId="1218">
    <w:name w:val="WW8Num55z1"/>
    <w:qFormat/>
    <w:rPr>
      <w:rFonts w:eastAsia="SimSun;宋体"/>
      <w:b/>
      <w:bCs/>
      <w:i w:val="0"/>
      <w:sz w:val="28"/>
      <w:szCs w:val="28"/>
      <w:lang w:val="en-US"/>
    </w:rPr>
  </w:style>
  <w:style w:type="character" w:styleId="1219">
    <w:name w:val="WW8Num55z2"/>
    <w:qFormat/>
    <w:rPr>
      <w:rFonts w:eastAsia="SimSun;宋体"/>
      <w:b/>
      <w:sz w:val="28"/>
      <w:lang w:val="en-US"/>
    </w:rPr>
  </w:style>
  <w:style w:type="character" w:styleId="1220">
    <w:name w:val="WW8Num55z3"/>
    <w:qFormat/>
  </w:style>
  <w:style w:type="character" w:styleId="1221">
    <w:name w:val="WW8Num56z3"/>
    <w:qFormat/>
  </w:style>
  <w:style w:type="character" w:styleId="1222">
    <w:name w:val="WW8Num56z4"/>
    <w:qFormat/>
  </w:style>
  <w:style w:type="character" w:styleId="1223">
    <w:name w:val="WW8Num56z5"/>
    <w:qFormat/>
  </w:style>
  <w:style w:type="character" w:styleId="1224">
    <w:name w:val="WW8Num56z6"/>
    <w:qFormat/>
  </w:style>
  <w:style w:type="character" w:styleId="1225">
    <w:name w:val="WW8Num56z7"/>
    <w:qFormat/>
  </w:style>
  <w:style w:type="character" w:styleId="1226">
    <w:name w:val="WW8Num56z8"/>
    <w:qFormat/>
  </w:style>
  <w:style w:type="character" w:styleId="1227">
    <w:name w:val="WW8Num57z1"/>
    <w:qFormat/>
    <w:rPr>
      <w:rFonts w:eastAsia="SimSun;宋体"/>
      <w:b/>
      <w:bCs/>
      <w:i w:val="0"/>
      <w:sz w:val="28"/>
      <w:szCs w:val="28"/>
      <w:lang w:val="en-US"/>
    </w:rPr>
  </w:style>
  <w:style w:type="character" w:styleId="1228">
    <w:name w:val="WW8Num57z2"/>
    <w:qFormat/>
    <w:rPr>
      <w:rFonts w:eastAsia="SimSun;宋体"/>
      <w:b/>
      <w:sz w:val="28"/>
      <w:lang w:val="en-US"/>
    </w:rPr>
  </w:style>
  <w:style w:type="character" w:styleId="1229">
    <w:name w:val="WW8Num58z1"/>
    <w:qFormat/>
    <w:rPr>
      <w:rFonts w:ascii="Courier New" w:hAnsi="Courier New" w:cs="Courier New"/>
    </w:rPr>
  </w:style>
  <w:style w:type="character" w:styleId="1230">
    <w:name w:val="WW8Num58z2"/>
    <w:qFormat/>
    <w:rPr>
      <w:rFonts w:ascii="Wingdings" w:hAnsi="Wingdings" w:cs="Wingdings"/>
    </w:rPr>
  </w:style>
  <w:style w:type="character" w:styleId="1231">
    <w:name w:val="WW8Num59z2"/>
    <w:qFormat/>
    <w:rPr>
      <w:rFonts w:ascii="Wingdings" w:hAnsi="Wingdings" w:cs="Wingdings"/>
    </w:rPr>
  </w:style>
  <w:style w:type="character" w:styleId="1232">
    <w:name w:val="WW8Num61z1"/>
    <w:qFormat/>
    <w:rPr>
      <w:rFonts w:eastAsia="SimSun;宋体"/>
      <w:b/>
      <w:bCs/>
      <w:i w:val="0"/>
      <w:iCs w:val="0"/>
      <w:sz w:val="28"/>
      <w:szCs w:val="28"/>
      <w:lang w:val="en-US"/>
    </w:rPr>
  </w:style>
  <w:style w:type="character" w:styleId="1233">
    <w:name w:val="WW8Num61z2"/>
    <w:qFormat/>
    <w:rPr>
      <w:b/>
    </w:rPr>
  </w:style>
  <w:style w:type="character" w:styleId="1234">
    <w:name w:val="WW8Num61z3"/>
    <w:qFormat/>
  </w:style>
  <w:style w:type="character" w:styleId="1235">
    <w:name w:val="WW8Num63z1"/>
    <w:qFormat/>
    <w:rPr>
      <w:color w:val="000000"/>
    </w:rPr>
  </w:style>
  <w:style w:type="character" w:styleId="1236">
    <w:name w:val="WW8Num63z2"/>
    <w:qFormat/>
    <w:rPr>
      <w:b/>
    </w:rPr>
  </w:style>
  <w:style w:type="character" w:styleId="1237">
    <w:name w:val="WW8Num63z3"/>
    <w:qFormat/>
  </w:style>
  <w:style w:type="character" w:styleId="1238">
    <w:name w:val="WW8Num64z3"/>
    <w:qFormat/>
    <w:rPr>
      <w:rFonts w:ascii="Symbol" w:hAnsi="Symbol" w:cs="Symbol"/>
    </w:rPr>
  </w:style>
  <w:style w:type="character" w:styleId="1239">
    <w:name w:val="WW8Num66z1"/>
    <w:qFormat/>
    <w:rPr>
      <w:b/>
      <w:i w:val="0"/>
      <w:sz w:val="28"/>
      <w:szCs w:val="28"/>
    </w:rPr>
  </w:style>
  <w:style w:type="character" w:styleId="1240">
    <w:name w:val="WW8Num66z2"/>
    <w:qFormat/>
    <w:rPr>
      <w:b/>
    </w:rPr>
  </w:style>
  <w:style w:type="character" w:styleId="1241">
    <w:name w:val="WW8Num66z3"/>
    <w:qFormat/>
  </w:style>
  <w:style w:type="character" w:styleId="1242">
    <w:name w:val="WW8Num67z3"/>
    <w:qFormat/>
    <w:rPr>
      <w:rFonts w:ascii="Symbol" w:hAnsi="Symbol" w:cs="Symbol"/>
    </w:rPr>
  </w:style>
  <w:style w:type="character" w:styleId="1243">
    <w:name w:val="WW8Num69z1"/>
    <w:qFormat/>
    <w:rPr>
      <w:rFonts w:eastAsia="SimSun;宋体"/>
      <w:b/>
      <w:bCs/>
      <w:sz w:val="28"/>
      <w:lang w:val="ru-RU"/>
    </w:rPr>
  </w:style>
  <w:style w:type="character" w:styleId="1244">
    <w:name w:val="WW8Num69z2"/>
    <w:qFormat/>
    <w:rPr>
      <w:b/>
    </w:rPr>
  </w:style>
  <w:style w:type="character" w:styleId="1245">
    <w:name w:val="WW8Num70z2"/>
    <w:qFormat/>
    <w:rPr>
      <w:rFonts w:ascii="Wingdings" w:hAnsi="Wingdings" w:cs="Wingdings"/>
    </w:rPr>
  </w:style>
  <w:style w:type="character" w:styleId="1246">
    <w:name w:val="WW8Num70z3"/>
    <w:qFormat/>
    <w:rPr>
      <w:rFonts w:ascii="Symbol" w:hAnsi="Symbol" w:cs="Symbol"/>
    </w:rPr>
  </w:style>
  <w:style w:type="character" w:styleId="1247">
    <w:name w:val="WW8Num71z2"/>
    <w:qFormat/>
    <w:rPr>
      <w:rFonts w:ascii="Wingdings" w:hAnsi="Wingdings" w:cs="Wingdings"/>
    </w:rPr>
  </w:style>
  <w:style w:type="character" w:styleId="1248">
    <w:name w:val="WW8Num71z3"/>
    <w:qFormat/>
    <w:rPr>
      <w:rFonts w:ascii="Symbol" w:hAnsi="Symbol" w:cs="Symbol"/>
    </w:rPr>
  </w:style>
  <w:style w:type="character" w:styleId="1249">
    <w:name w:val="WW8Num72z2"/>
    <w:qFormat/>
    <w:rPr>
      <w:rFonts w:ascii="Wingdings" w:hAnsi="Wingdings" w:cs="Wingdings"/>
    </w:rPr>
  </w:style>
  <w:style w:type="character" w:styleId="1250">
    <w:name w:val="WW8Num72z3"/>
    <w:qFormat/>
    <w:rPr>
      <w:rFonts w:ascii="Symbol" w:hAnsi="Symbol" w:cs="Symbol"/>
    </w:rPr>
  </w:style>
  <w:style w:type="character" w:styleId="1251">
    <w:name w:val="WW8Num73z1"/>
    <w:qFormat/>
    <w:rPr>
      <w:rFonts w:ascii="Courier New" w:hAnsi="Courier New" w:cs="Courier New"/>
    </w:rPr>
  </w:style>
  <w:style w:type="character" w:styleId="1252">
    <w:name w:val="WW8Num73z2"/>
    <w:qFormat/>
    <w:rPr>
      <w:rFonts w:ascii="Wingdings" w:hAnsi="Wingdings" w:cs="Wingdings"/>
    </w:rPr>
  </w:style>
  <w:style w:type="character" w:styleId="1253">
    <w:name w:val="WW8Num73z3"/>
    <w:qFormat/>
    <w:rPr>
      <w:rFonts w:ascii="Symbol" w:hAnsi="Symbol" w:cs="Symbol"/>
    </w:rPr>
  </w:style>
  <w:style w:type="character" w:styleId="1254">
    <w:name w:val="WW8Num74z2"/>
    <w:qFormat/>
    <w:rPr>
      <w:rFonts w:ascii="Wingdings" w:hAnsi="Wingdings" w:cs="Wingdings"/>
    </w:rPr>
  </w:style>
  <w:style w:type="character" w:styleId="1255">
    <w:name w:val="WW8Num74z3"/>
    <w:qFormat/>
    <w:rPr>
      <w:rFonts w:ascii="Symbol" w:hAnsi="Symbol" w:cs="Symbol"/>
    </w:rPr>
  </w:style>
  <w:style w:type="character" w:styleId="1256">
    <w:name w:val="WW8Num75z3"/>
    <w:qFormat/>
    <w:rPr>
      <w:rFonts w:ascii="Symbol" w:hAnsi="Symbol" w:cs="Symbol"/>
    </w:rPr>
  </w:style>
  <w:style w:type="character" w:styleId="1257">
    <w:name w:val="WW8Num76z1"/>
    <w:qFormat/>
    <w:rPr>
      <w:rFonts w:eastAsia="SimSun;宋体"/>
      <w:b/>
      <w:bCs/>
      <w:sz w:val="28"/>
      <w:lang w:val="en-US"/>
    </w:rPr>
  </w:style>
  <w:style w:type="character" w:styleId="1258">
    <w:name w:val="WW8Num76z2"/>
    <w:qFormat/>
    <w:rPr>
      <w:rFonts w:eastAsia="SimSun;宋体"/>
      <w:b/>
      <w:sz w:val="28"/>
      <w:lang w:val="en-US"/>
    </w:rPr>
  </w:style>
  <w:style w:type="character" w:styleId="1259">
    <w:name w:val="WW8Num77z2"/>
    <w:qFormat/>
    <w:rPr>
      <w:rFonts w:ascii="Wingdings" w:hAnsi="Wingdings" w:cs="Wingdings"/>
    </w:rPr>
  </w:style>
  <w:style w:type="character" w:styleId="1260">
    <w:name w:val="WW8Num77z3"/>
    <w:qFormat/>
    <w:rPr>
      <w:rFonts w:ascii="Symbol" w:hAnsi="Symbol" w:cs="Symbol"/>
    </w:rPr>
  </w:style>
  <w:style w:type="character" w:styleId="1261">
    <w:name w:val="WW8Num78z2"/>
    <w:qFormat/>
    <w:rPr>
      <w:rFonts w:ascii="Wingdings" w:hAnsi="Wingdings" w:cs="Wingdings"/>
    </w:rPr>
  </w:style>
  <w:style w:type="character" w:styleId="1262">
    <w:name w:val="WW8Num78z3"/>
    <w:qFormat/>
    <w:rPr>
      <w:rFonts w:ascii="Symbol" w:hAnsi="Symbol" w:cs="Symbol"/>
    </w:rPr>
  </w:style>
  <w:style w:type="character" w:styleId="1263">
    <w:name w:val="WW8Num79z2"/>
    <w:qFormat/>
    <w:rPr>
      <w:rFonts w:ascii="Wingdings" w:hAnsi="Wingdings" w:cs="Wingdings"/>
    </w:rPr>
  </w:style>
  <w:style w:type="character" w:styleId="1264">
    <w:name w:val="WW8Num79z3"/>
    <w:qFormat/>
    <w:rPr>
      <w:rFonts w:ascii="Symbol" w:hAnsi="Symbol" w:cs="Symbol"/>
    </w:rPr>
  </w:style>
  <w:style w:type="character" w:styleId="1265">
    <w:name w:val="WW8Num80z1"/>
    <w:qFormat/>
    <w:rPr>
      <w:rFonts w:ascii="Courier New" w:hAnsi="Courier New" w:cs="Courier New"/>
    </w:rPr>
  </w:style>
  <w:style w:type="character" w:styleId="1266">
    <w:name w:val="WW8Num80z3"/>
    <w:qFormat/>
    <w:rPr>
      <w:rFonts w:ascii="Symbol" w:hAnsi="Symbol" w:cs="Symbol"/>
    </w:rPr>
  </w:style>
  <w:style w:type="character" w:styleId="1267">
    <w:name w:val="WW8Num81z2"/>
    <w:qFormat/>
    <w:rPr>
      <w:b/>
    </w:rPr>
  </w:style>
  <w:style w:type="character" w:styleId="1268">
    <w:name w:val="WW8Num82z3"/>
    <w:qFormat/>
    <w:rPr>
      <w:rFonts w:ascii="Symbol" w:hAnsi="Symbol" w:cs="Symbol"/>
    </w:rPr>
  </w:style>
  <w:style w:type="character" w:styleId="1269">
    <w:name w:val="WW8Num83z2"/>
    <w:qFormat/>
    <w:rPr>
      <w:b/>
    </w:rPr>
  </w:style>
  <w:style w:type="character" w:styleId="1270">
    <w:name w:val="WW8Num84z4"/>
    <w:qFormat/>
  </w:style>
  <w:style w:type="character" w:styleId="1271">
    <w:name w:val="WW8Num84z5"/>
    <w:qFormat/>
  </w:style>
  <w:style w:type="character" w:styleId="1272">
    <w:name w:val="WW8Num84z6"/>
    <w:qFormat/>
  </w:style>
  <w:style w:type="character" w:styleId="1273">
    <w:name w:val="WW8Num84z7"/>
    <w:qFormat/>
  </w:style>
  <w:style w:type="character" w:styleId="1274">
    <w:name w:val="WW8Num84z8"/>
    <w:qFormat/>
  </w:style>
  <w:style w:type="character" w:styleId="1275">
    <w:name w:val="WW8Num85z1"/>
    <w:qFormat/>
    <w:rPr>
      <w:rFonts w:eastAsia="SimSun;宋体"/>
      <w:b/>
      <w:bCs/>
      <w:i w:val="0"/>
      <w:sz w:val="28"/>
      <w:szCs w:val="28"/>
      <w:lang w:val="en-US"/>
    </w:rPr>
  </w:style>
  <w:style w:type="character" w:styleId="1276">
    <w:name w:val="WW8Num85z3"/>
    <w:qFormat/>
  </w:style>
  <w:style w:type="character" w:styleId="1277">
    <w:name w:val="WW8Num86z2"/>
    <w:qFormat/>
    <w:rPr>
      <w:b/>
    </w:rPr>
  </w:style>
  <w:style w:type="character" w:styleId="1278">
    <w:name w:val="WW8Num87z2"/>
    <w:qFormat/>
    <w:rPr>
      <w:rFonts w:ascii="Wingdings" w:hAnsi="Wingdings" w:cs="Wingdings"/>
    </w:rPr>
  </w:style>
  <w:style w:type="character" w:styleId="1279">
    <w:name w:val="WW8Num87z3"/>
    <w:qFormat/>
    <w:rPr>
      <w:rFonts w:ascii="Symbol" w:hAnsi="Symbol" w:cs="Symbol"/>
    </w:rPr>
  </w:style>
  <w:style w:type="character" w:styleId="1280">
    <w:name w:val="WW8Num88z3"/>
    <w:qFormat/>
    <w:rPr>
      <w:rFonts w:ascii="Symbol" w:hAnsi="Symbol" w:cs="Symbol"/>
    </w:rPr>
  </w:style>
  <w:style w:type="character" w:styleId="1281">
    <w:name w:val="WW8Num89z2"/>
    <w:qFormat/>
    <w:rPr>
      <w:rFonts w:eastAsia="SimSun;宋体"/>
      <w:b/>
      <w:sz w:val="28"/>
      <w:lang w:val="en-US"/>
    </w:rPr>
  </w:style>
  <w:style w:type="character" w:styleId="1282">
    <w:name w:val="WW8Num90z2"/>
    <w:qFormat/>
    <w:rPr>
      <w:rFonts w:ascii="Wingdings" w:hAnsi="Wingdings" w:cs="Wingdings"/>
    </w:rPr>
  </w:style>
  <w:style w:type="character" w:styleId="1283">
    <w:name w:val="WW8Num90z3"/>
    <w:qFormat/>
    <w:rPr>
      <w:rFonts w:ascii="Symbol" w:hAnsi="Symbol" w:cs="Symbol"/>
    </w:rPr>
  </w:style>
  <w:style w:type="character" w:styleId="1284">
    <w:name w:val="WW8Num91z2"/>
    <w:qFormat/>
    <w:rPr>
      <w:rFonts w:ascii="Wingdings" w:hAnsi="Wingdings" w:cs="Wingdings"/>
    </w:rPr>
  </w:style>
  <w:style w:type="character" w:styleId="1285">
    <w:name w:val="WW8Num91z3"/>
    <w:qFormat/>
    <w:rPr>
      <w:rFonts w:ascii="Symbol" w:hAnsi="Symbol" w:cs="Symbol"/>
    </w:rPr>
  </w:style>
  <w:style w:type="character" w:styleId="1286">
    <w:name w:val="WW8Num92z2"/>
    <w:qFormat/>
    <w:rPr>
      <w:rFonts w:ascii="Wingdings" w:hAnsi="Wingdings" w:cs="Wingdings"/>
    </w:rPr>
  </w:style>
  <w:style w:type="character" w:styleId="1287">
    <w:name w:val="WW8Num92z3"/>
    <w:qFormat/>
    <w:rPr>
      <w:rFonts w:ascii="Symbol" w:hAnsi="Symbol" w:cs="Symbol"/>
    </w:rPr>
  </w:style>
  <w:style w:type="character" w:styleId="1288">
    <w:name w:val="WW8Num93z3"/>
    <w:qFormat/>
    <w:rPr>
      <w:rFonts w:ascii="Symbol" w:hAnsi="Symbol" w:cs="Symbol"/>
    </w:rPr>
  </w:style>
  <w:style w:type="character" w:styleId="1289">
    <w:name w:val="WW8Num94z1"/>
    <w:qFormat/>
    <w:rPr>
      <w:b/>
      <w:i w:val="0"/>
      <w:sz w:val="28"/>
      <w:szCs w:val="28"/>
    </w:rPr>
  </w:style>
  <w:style w:type="character" w:styleId="1290">
    <w:name w:val="WW8Num94z2"/>
    <w:qFormat/>
    <w:rPr>
      <w:b/>
    </w:rPr>
  </w:style>
  <w:style w:type="character" w:styleId="1291">
    <w:name w:val="WW8Num95z1"/>
    <w:qFormat/>
    <w:rPr>
      <w:b/>
      <w:i w:val="0"/>
      <w:sz w:val="28"/>
      <w:szCs w:val="28"/>
    </w:rPr>
  </w:style>
  <w:style w:type="character" w:styleId="1292">
    <w:name w:val="WW8Num96z2"/>
    <w:qFormat/>
    <w:rPr>
      <w:rFonts w:ascii="Wingdings" w:hAnsi="Wingdings" w:cs="Wingdings"/>
    </w:rPr>
  </w:style>
  <w:style w:type="character" w:styleId="1293">
    <w:name w:val="WW8Num96z3"/>
    <w:qFormat/>
    <w:rPr>
      <w:rFonts w:ascii="Symbol" w:hAnsi="Symbol" w:cs="Symbol"/>
    </w:rPr>
  </w:style>
  <w:style w:type="character" w:styleId="1294">
    <w:name w:val="WW8Num98z2"/>
    <w:qFormat/>
    <w:rPr>
      <w:rFonts w:ascii="Wingdings" w:hAnsi="Wingdings" w:cs="Wingdings"/>
    </w:rPr>
  </w:style>
  <w:style w:type="character" w:styleId="1295">
    <w:name w:val="WW8Num98z3"/>
    <w:qFormat/>
    <w:rPr>
      <w:rFonts w:ascii="Symbol" w:hAnsi="Symbol" w:cs="Symbol"/>
    </w:rPr>
  </w:style>
  <w:style w:type="character" w:styleId="1296">
    <w:name w:val="WW8Num99z1"/>
    <w:qFormat/>
    <w:rPr>
      <w:rFonts w:ascii="Courier New" w:hAnsi="Courier New" w:cs="Courier New"/>
      <w:sz w:val="20"/>
    </w:rPr>
  </w:style>
  <w:style w:type="character" w:styleId="1297">
    <w:name w:val="WW8Num99z2"/>
    <w:qFormat/>
    <w:rPr>
      <w:rFonts w:ascii="Wingdings" w:hAnsi="Wingdings" w:cs="Wingdings"/>
      <w:sz w:val="20"/>
    </w:rPr>
  </w:style>
  <w:style w:type="character" w:styleId="1298">
    <w:name w:val="WW8Num100z3"/>
    <w:qFormat/>
    <w:rPr>
      <w:rFonts w:ascii="Symbol" w:hAnsi="Symbol" w:cs="Symbol"/>
    </w:rPr>
  </w:style>
  <w:style w:type="character" w:styleId="1299">
    <w:name w:val="WW8Num101z2"/>
    <w:qFormat/>
    <w:rPr>
      <w:rFonts w:ascii="Wingdings" w:hAnsi="Wingdings" w:cs="Wingdings"/>
    </w:rPr>
  </w:style>
  <w:style w:type="character" w:styleId="1300">
    <w:name w:val="WW8Num101z3"/>
    <w:qFormat/>
    <w:rPr>
      <w:rFonts w:ascii="Symbol" w:hAnsi="Symbol" w:cs="Symbol"/>
    </w:rPr>
  </w:style>
  <w:style w:type="character" w:styleId="1301">
    <w:name w:val="WW8Num102z1"/>
    <w:qFormat/>
    <w:rPr>
      <w:rFonts w:eastAsia="SimSun;宋体"/>
      <w:b/>
      <w:bCs/>
      <w:sz w:val="28"/>
      <w:lang w:val="ru-RU"/>
    </w:rPr>
  </w:style>
  <w:style w:type="character" w:styleId="1302">
    <w:name w:val="WW8Num102z2"/>
    <w:qFormat/>
    <w:rPr>
      <w:b/>
    </w:rPr>
  </w:style>
  <w:style w:type="character" w:styleId="1303">
    <w:name w:val="WW8Num103z2"/>
    <w:qFormat/>
    <w:rPr>
      <w:rFonts w:ascii="Wingdings" w:hAnsi="Wingdings" w:cs="Wingdings"/>
    </w:rPr>
  </w:style>
  <w:style w:type="character" w:styleId="1304">
    <w:name w:val="WW8Num103z3"/>
    <w:qFormat/>
    <w:rPr>
      <w:rFonts w:ascii="Symbol" w:hAnsi="Symbol" w:cs="Symbol"/>
    </w:rPr>
  </w:style>
  <w:style w:type="character" w:styleId="1305">
    <w:name w:val="WW8Num105z3"/>
    <w:qFormat/>
    <w:rPr>
      <w:rFonts w:ascii="Symbol" w:hAnsi="Symbol" w:cs="Symbol"/>
    </w:rPr>
  </w:style>
  <w:style w:type="character" w:styleId="1306">
    <w:name w:val="WW8Num106z1"/>
    <w:qFormat/>
    <w:rPr>
      <w:rFonts w:eastAsia="SimSun;宋体"/>
      <w:b/>
      <w:bCs/>
      <w:i w:val="0"/>
      <w:sz w:val="28"/>
      <w:szCs w:val="28"/>
      <w:lang w:val="en-US"/>
    </w:rPr>
  </w:style>
  <w:style w:type="character" w:styleId="1307">
    <w:name w:val="WW8Num106z2"/>
    <w:qFormat/>
    <w:rPr>
      <w:rFonts w:eastAsia="SimSun;宋体"/>
      <w:b/>
      <w:sz w:val="28"/>
      <w:lang w:val="en-US"/>
    </w:rPr>
  </w:style>
  <w:style w:type="character" w:styleId="1308">
    <w:name w:val="WW8Num106z3"/>
    <w:qFormat/>
  </w:style>
  <w:style w:type="character" w:styleId="1309">
    <w:name w:val="WW8Num109z1"/>
    <w:qFormat/>
    <w:rPr>
      <w:rFonts w:ascii="Courier New" w:hAnsi="Courier New" w:cs="Courier New"/>
    </w:rPr>
  </w:style>
  <w:style w:type="character" w:styleId="1310">
    <w:name w:val="WW8Num109z2"/>
    <w:qFormat/>
    <w:rPr>
      <w:rFonts w:ascii="Wingdings" w:hAnsi="Wingdings" w:cs="Wingdings"/>
    </w:rPr>
  </w:style>
  <w:style w:type="character" w:styleId="1311">
    <w:name w:val="WW8Num110z2"/>
    <w:qFormat/>
    <w:rPr>
      <w:b/>
    </w:rPr>
  </w:style>
  <w:style w:type="character" w:styleId="1312">
    <w:name w:val="WW8Num111z2"/>
    <w:qFormat/>
  </w:style>
  <w:style w:type="character" w:styleId="1313">
    <w:name w:val="WW8Num111z3"/>
    <w:qFormat/>
  </w:style>
  <w:style w:type="character" w:styleId="1314">
    <w:name w:val="WW8Num111z4"/>
    <w:qFormat/>
  </w:style>
  <w:style w:type="character" w:styleId="1315">
    <w:name w:val="WW8Num111z5"/>
    <w:qFormat/>
  </w:style>
  <w:style w:type="character" w:styleId="1316">
    <w:name w:val="WW8Num111z6"/>
    <w:qFormat/>
  </w:style>
  <w:style w:type="character" w:styleId="1317">
    <w:name w:val="WW8Num111z7"/>
    <w:qFormat/>
  </w:style>
  <w:style w:type="character" w:styleId="1318">
    <w:name w:val="WW8Num111z8"/>
    <w:qFormat/>
  </w:style>
  <w:style w:type="character" w:styleId="1319">
    <w:name w:val="WW8Num113z1"/>
    <w:qFormat/>
  </w:style>
  <w:style w:type="character" w:styleId="1320">
    <w:name w:val="WW8Num113z2"/>
    <w:qFormat/>
  </w:style>
  <w:style w:type="character" w:styleId="1321">
    <w:name w:val="WW8Num113z3"/>
    <w:qFormat/>
  </w:style>
  <w:style w:type="character" w:styleId="1322">
    <w:name w:val="WW8Num113z4"/>
    <w:qFormat/>
  </w:style>
  <w:style w:type="character" w:styleId="1323">
    <w:name w:val="WW8Num113z5"/>
    <w:qFormat/>
  </w:style>
  <w:style w:type="character" w:styleId="1324">
    <w:name w:val="WW8Num113z6"/>
    <w:qFormat/>
  </w:style>
  <w:style w:type="character" w:styleId="1325">
    <w:name w:val="WW8Num113z7"/>
    <w:qFormat/>
  </w:style>
  <w:style w:type="character" w:styleId="1326">
    <w:name w:val="WW8Num113z8"/>
    <w:qFormat/>
  </w:style>
  <w:style w:type="character" w:styleId="1327">
    <w:name w:val="WW8Num114z1"/>
    <w:qFormat/>
  </w:style>
  <w:style w:type="character" w:styleId="1328">
    <w:name w:val="WW8Num114z2"/>
    <w:qFormat/>
  </w:style>
  <w:style w:type="character" w:styleId="1329">
    <w:name w:val="WW8Num114z3"/>
    <w:qFormat/>
  </w:style>
  <w:style w:type="character" w:styleId="1330">
    <w:name w:val="WW8Num114z4"/>
    <w:qFormat/>
  </w:style>
  <w:style w:type="character" w:styleId="1331">
    <w:name w:val="WW8Num114z5"/>
    <w:qFormat/>
  </w:style>
  <w:style w:type="character" w:styleId="1332">
    <w:name w:val="WW8Num114z6"/>
    <w:qFormat/>
  </w:style>
  <w:style w:type="character" w:styleId="1333">
    <w:name w:val="WW8Num114z7"/>
    <w:qFormat/>
  </w:style>
  <w:style w:type="character" w:styleId="1334">
    <w:name w:val="WW8Num114z8"/>
    <w:qFormat/>
  </w:style>
  <w:style w:type="character" w:styleId="1335">
    <w:name w:val="WW8Num115z1"/>
    <w:qFormat/>
    <w:rPr>
      <w:rFonts w:eastAsia="SimSun;宋体"/>
      <w:b/>
      <w:bCs/>
      <w:sz w:val="28"/>
      <w:szCs w:val="28"/>
      <w:lang w:val="en-US"/>
    </w:rPr>
  </w:style>
  <w:style w:type="character" w:styleId="1336">
    <w:name w:val="WW8Num115z3"/>
    <w:qFormat/>
  </w:style>
  <w:style w:type="character" w:styleId="1337">
    <w:name w:val="WW8Num115z4"/>
    <w:qFormat/>
  </w:style>
  <w:style w:type="character" w:styleId="1338">
    <w:name w:val="WW8Num115z5"/>
    <w:qFormat/>
  </w:style>
  <w:style w:type="character" w:styleId="1339">
    <w:name w:val="WW8Num115z6"/>
    <w:qFormat/>
  </w:style>
  <w:style w:type="character" w:styleId="1340">
    <w:name w:val="WW8Num115z7"/>
    <w:qFormat/>
  </w:style>
  <w:style w:type="character" w:styleId="1341">
    <w:name w:val="WW8Num115z8"/>
    <w:qFormat/>
  </w:style>
  <w:style w:type="character" w:styleId="1342">
    <w:name w:val="WW8Num116z2"/>
    <w:qFormat/>
    <w:rPr>
      <w:rFonts w:ascii="Wingdings" w:hAnsi="Wingdings" w:cs="Wingdings"/>
    </w:rPr>
  </w:style>
  <w:style w:type="character" w:styleId="1343">
    <w:name w:val="WW8Num116z3"/>
    <w:qFormat/>
    <w:rPr>
      <w:rFonts w:ascii="Symbol" w:hAnsi="Symbol" w:cs="Symbol"/>
    </w:rPr>
  </w:style>
  <w:style w:type="character" w:styleId="1344">
    <w:name w:val="WW8Num117z1"/>
    <w:qFormat/>
    <w:rPr>
      <w:rFonts w:ascii="Courier New" w:hAnsi="Courier New" w:cs="Courier New"/>
    </w:rPr>
  </w:style>
  <w:style w:type="character" w:styleId="1345">
    <w:name w:val="WW8Num117z3"/>
    <w:qFormat/>
    <w:rPr>
      <w:rFonts w:ascii="Symbol" w:hAnsi="Symbol" w:cs="Symbol"/>
    </w:rPr>
  </w:style>
  <w:style w:type="character" w:styleId="1346">
    <w:name w:val="WW8Num118z2"/>
    <w:qFormat/>
    <w:rPr>
      <w:b/>
    </w:rPr>
  </w:style>
  <w:style w:type="character" w:styleId="1347">
    <w:name w:val="WW8Num119z2"/>
    <w:qFormat/>
    <w:rPr>
      <w:rFonts w:ascii="Wingdings" w:hAnsi="Wingdings" w:cs="Wingdings"/>
    </w:rPr>
  </w:style>
  <w:style w:type="character" w:styleId="1348">
    <w:name w:val="WW8Num119z3"/>
    <w:qFormat/>
    <w:rPr>
      <w:rFonts w:ascii="Symbol" w:hAnsi="Symbol" w:cs="Symbol"/>
    </w:rPr>
  </w:style>
  <w:style w:type="character" w:styleId="1349">
    <w:name w:val="WW8Num120z2"/>
    <w:qFormat/>
    <w:rPr>
      <w:b/>
    </w:rPr>
  </w:style>
  <w:style w:type="character" w:styleId="1350">
    <w:name w:val="WW8Num121z1"/>
    <w:qFormat/>
    <w:rPr>
      <w:rFonts w:ascii="Courier New" w:hAnsi="Courier New" w:cs="Courier New"/>
    </w:rPr>
  </w:style>
  <w:style w:type="character" w:styleId="1351">
    <w:name w:val="WW8Num121z2"/>
    <w:qFormat/>
    <w:rPr>
      <w:rFonts w:ascii="Wingdings" w:hAnsi="Wingdings" w:cs="Wingdings"/>
    </w:rPr>
  </w:style>
  <w:style w:type="character" w:styleId="1352">
    <w:name w:val="WW8Num122z2"/>
    <w:qFormat/>
    <w:rPr>
      <w:rFonts w:ascii="Wingdings" w:hAnsi="Wingdings" w:cs="Wingdings"/>
    </w:rPr>
  </w:style>
  <w:style w:type="character" w:styleId="1353">
    <w:name w:val="WW8Num122z3"/>
    <w:qFormat/>
    <w:rPr>
      <w:rFonts w:ascii="Symbol" w:hAnsi="Symbol" w:cs="Symbol"/>
    </w:rPr>
  </w:style>
  <w:style w:type="character" w:styleId="1354">
    <w:name w:val="WW8Num123z1"/>
    <w:qFormat/>
  </w:style>
  <w:style w:type="character" w:styleId="1355">
    <w:name w:val="WW8Num124z2"/>
    <w:qFormat/>
    <w:rPr>
      <w:rFonts w:ascii="Wingdings" w:hAnsi="Wingdings" w:cs="Wingdings"/>
    </w:rPr>
  </w:style>
  <w:style w:type="character" w:styleId="1356">
    <w:name w:val="WW8Num124z3"/>
    <w:qFormat/>
    <w:rPr>
      <w:rFonts w:ascii="Symbol" w:hAnsi="Symbol" w:cs="Symbol"/>
    </w:rPr>
  </w:style>
  <w:style w:type="character" w:styleId="1357">
    <w:name w:val="WW8Num125z2"/>
    <w:qFormat/>
    <w:rPr>
      <w:rFonts w:ascii="Wingdings" w:hAnsi="Wingdings" w:cs="Wingdings"/>
    </w:rPr>
  </w:style>
  <w:style w:type="character" w:styleId="1358">
    <w:name w:val="WW8Num125z3"/>
    <w:qFormat/>
    <w:rPr>
      <w:rFonts w:ascii="Symbol" w:hAnsi="Symbol" w:cs="Symbol"/>
    </w:rPr>
  </w:style>
  <w:style w:type="character" w:styleId="1359">
    <w:name w:val="Основной шрифт абзаца1"/>
    <w:qFormat/>
  </w:style>
  <w:style w:type="character" w:styleId="1360">
    <w:name w:val="Заголовок 1 Знак"/>
    <w:qFormat/>
    <w:rPr>
      <w:rFonts w:ascii="Cambria" w:hAnsi="Cambria" w:cs="Cambria" w:eastAsia="SimSun;宋体"/>
      <w:b/>
      <w:bCs/>
      <w:sz w:val="28"/>
      <w:szCs w:val="28"/>
      <w:lang w:val="en-US"/>
    </w:rPr>
  </w:style>
  <w:style w:type="character" w:styleId="1361">
    <w:name w:val="Заголовок 2 Знак"/>
    <w:qFormat/>
    <w:rPr>
      <w:rFonts w:ascii="Cambria" w:hAnsi="Cambria" w:cs="Cambria" w:eastAsia="SimSun;宋体"/>
      <w:color w:val="365F91"/>
      <w:sz w:val="26"/>
      <w:szCs w:val="26"/>
      <w:lang w:val="en-US"/>
    </w:rPr>
  </w:style>
  <w:style w:type="character" w:styleId="1362">
    <w:name w:val="Заголовок 3 Знак"/>
    <w:qFormat/>
    <w:rPr>
      <w:rFonts w:ascii="Cambria" w:hAnsi="Cambria" w:cs="Cambria" w:eastAsia="SimSun;宋体"/>
      <w:b/>
      <w:bCs/>
      <w:sz w:val="28"/>
      <w:szCs w:val="24"/>
      <w:lang w:val="en-US"/>
    </w:rPr>
  </w:style>
  <w:style w:type="character" w:styleId="1363">
    <w:name w:val="Заголовок 4 Знак"/>
    <w:qFormat/>
    <w:rPr>
      <w:rFonts w:ascii="Cambria" w:hAnsi="Cambria" w:cs="Cambria" w:eastAsia="SimSun;宋体"/>
      <w:i/>
      <w:iCs/>
      <w:color w:val="365F91"/>
      <w:sz w:val="24"/>
      <w:szCs w:val="24"/>
      <w:lang w:val="en-US"/>
    </w:rPr>
  </w:style>
  <w:style w:type="character" w:styleId="1364">
    <w:name w:val="Заголовок 5 Знак"/>
    <w:qFormat/>
    <w:rPr>
      <w:rFonts w:ascii="Cambria" w:hAnsi="Cambria" w:cs="Cambria" w:eastAsia="SimSun;宋体"/>
      <w:color w:val="365F91"/>
      <w:sz w:val="24"/>
      <w:szCs w:val="24"/>
      <w:lang w:val="en-US"/>
    </w:rPr>
  </w:style>
  <w:style w:type="character" w:styleId="1365">
    <w:name w:val="Заголовок 6 Знак"/>
    <w:qFormat/>
    <w:rPr>
      <w:rFonts w:ascii="Cambria" w:hAnsi="Cambria" w:cs="Cambria" w:eastAsia="SimSun;宋体"/>
      <w:color w:val="243F60"/>
      <w:sz w:val="24"/>
      <w:szCs w:val="24"/>
      <w:lang w:val="en-US"/>
    </w:rPr>
  </w:style>
  <w:style w:type="character" w:styleId="1366">
    <w:name w:val="Заголовок 7 Знак"/>
    <w:qFormat/>
    <w:rPr>
      <w:rFonts w:ascii="Cambria" w:hAnsi="Cambria" w:cs="Cambria" w:eastAsia="SimSun;宋体"/>
      <w:i/>
      <w:iCs/>
      <w:color w:val="243F60"/>
      <w:sz w:val="24"/>
      <w:szCs w:val="24"/>
      <w:lang w:val="en-US"/>
    </w:rPr>
  </w:style>
  <w:style w:type="character" w:styleId="1367">
    <w:name w:val="Заголовок 8 Знак"/>
    <w:qFormat/>
    <w:rPr>
      <w:rFonts w:ascii="Cambria" w:hAnsi="Cambria" w:cs="Cambria" w:eastAsia="SimSun;宋体"/>
      <w:color w:val="272727"/>
      <w:sz w:val="21"/>
      <w:szCs w:val="21"/>
      <w:lang w:val="en-US"/>
    </w:rPr>
  </w:style>
  <w:style w:type="character" w:styleId="1368">
    <w:name w:val="Заголовок 9 Знак"/>
    <w:qFormat/>
    <w:rPr>
      <w:rFonts w:ascii="Cambria" w:hAnsi="Cambria" w:cs="Cambria" w:eastAsia="SimSun;宋体"/>
      <w:i/>
      <w:iCs/>
      <w:color w:val="272727"/>
      <w:sz w:val="21"/>
      <w:szCs w:val="21"/>
      <w:lang w:val="en-US"/>
    </w:rPr>
  </w:style>
  <w:style w:type="character" w:styleId="1369">
    <w:name w:val="Текст сноски Знак"/>
    <w:qFormat/>
    <w:rPr>
      <w:rFonts w:ascii="Calibri" w:hAnsi="Calibri" w:cs="Times New Roman" w:eastAsia="Calibri"/>
      <w:sz w:val="20"/>
      <w:szCs w:val="20"/>
    </w:rPr>
  </w:style>
  <w:style w:type="character" w:styleId="1370">
    <w:name w:val="Символ сноски"/>
    <w:qFormat/>
    <w:rPr>
      <w:vertAlign w:val="superscript"/>
    </w:rPr>
  </w:style>
  <w:style w:type="character" w:styleId="1371">
    <w:name w:val="Заголовок Знак"/>
    <w:qFormat/>
    <w:rPr>
      <w:rFonts w:ascii="Cambria" w:hAnsi="Cambria" w:cs="Times New Roman" w:eastAsia="PMingLiU;新細明體"/>
      <w:color w:val="17365D"/>
      <w:spacing w:val="5"/>
      <w:sz w:val="52"/>
      <w:szCs w:val="52"/>
    </w:rPr>
  </w:style>
  <w:style w:type="character" w:styleId="1372">
    <w:name w:val="Нижний колонтитул Знак"/>
    <w:qFormat/>
    <w:rPr>
      <w:rFonts w:ascii="Calibri" w:hAnsi="Calibri" w:cs="Times New Roman" w:eastAsia="Calibri"/>
    </w:rPr>
  </w:style>
  <w:style w:type="character" w:styleId="1373">
    <w:name w:val="Текст выноски Знак"/>
    <w:qFormat/>
    <w:rPr>
      <w:rFonts w:ascii="Tahoma" w:hAnsi="Tahoma" w:cs="Tahoma"/>
      <w:sz w:val="16"/>
      <w:szCs w:val="16"/>
    </w:rPr>
  </w:style>
  <w:style w:type="character" w:styleId="1374">
    <w:name w:val="Верхний колонтитул Знак"/>
    <w:qFormat/>
    <w:rPr>
      <w:rFonts w:ascii="Times New Roman" w:hAnsi="Times New Roman" w:cs="Times New Roman"/>
      <w:sz w:val="24"/>
      <w:szCs w:val="24"/>
    </w:rPr>
  </w:style>
  <w:style w:type="character" w:styleId="1375">
    <w:name w:val="Знак примечания1"/>
    <w:qFormat/>
    <w:rPr>
      <w:sz w:val="16"/>
      <w:szCs w:val="16"/>
    </w:rPr>
  </w:style>
  <w:style w:type="character" w:styleId="1376">
    <w:name w:val="Текст примечания Знак"/>
    <w:qFormat/>
    <w:rPr>
      <w:rFonts w:ascii="Times New Roman" w:hAnsi="Times New Roman" w:cs="Times New Roman"/>
      <w:sz w:val="20"/>
      <w:szCs w:val="20"/>
    </w:rPr>
  </w:style>
  <w:style w:type="character" w:styleId="1377">
    <w:name w:val="Тема примечания Знак"/>
    <w:qFormat/>
    <w:rPr>
      <w:rFonts w:ascii="Times New Roman" w:hAnsi="Times New Roman" w:cs="Times New Roman"/>
      <w:b/>
      <w:bCs/>
      <w:sz w:val="20"/>
      <w:szCs w:val="20"/>
    </w:rPr>
  </w:style>
  <w:style w:type="character" w:styleId="1378">
    <w:name w:val="Strong Emphasis"/>
    <w:qFormat/>
    <w:rPr>
      <w:b/>
      <w:bCs/>
    </w:rPr>
  </w:style>
  <w:style w:type="character" w:styleId="1379">
    <w:name w:val="ilfuvd"/>
    <w:basedOn w:val="1359"/>
    <w:qFormat/>
  </w:style>
  <w:style w:type="character" w:styleId="1380">
    <w:name w:val="Emphasis"/>
    <w:qFormat/>
    <w:rPr>
      <w:i/>
      <w:iCs/>
    </w:rPr>
  </w:style>
  <w:style w:type="character" w:styleId="1381">
    <w:name w:val="Замещающий текст"/>
    <w:qFormat/>
    <w:rPr>
      <w:color w:val="808080"/>
    </w:rPr>
  </w:style>
  <w:style w:type="character" w:styleId="1382">
    <w:name w:val="Hyperlink"/>
    <w:rPr>
      <w:color w:val="0563C1"/>
      <w:u w:val="single"/>
    </w:rPr>
  </w:style>
  <w:style w:type="character" w:styleId="1383">
    <w:name w:val="FollowedHyperlink"/>
    <w:rPr>
      <w:color w:val="954F72"/>
      <w:u w:val="single"/>
    </w:rPr>
  </w:style>
  <w:style w:type="character" w:styleId="1384">
    <w:name w:val="Текст концевой сноски Знак"/>
    <w:qFormat/>
    <w:rPr>
      <w:rFonts w:ascii="Times New Roman" w:hAnsi="Times New Roman" w:cs="Times New Roman"/>
    </w:rPr>
  </w:style>
  <w:style w:type="character" w:styleId="1385">
    <w:name w:val="Символ концевой сноски"/>
    <w:qFormat/>
    <w:rPr>
      <w:vertAlign w:val="superscript"/>
    </w:rPr>
  </w:style>
  <w:style w:type="character" w:styleId="1386">
    <w:name w:val="Основной текст Знак"/>
    <w:qFormat/>
    <w:rPr>
      <w:rFonts w:ascii="Times New Roman" w:hAnsi="Times New Roman" w:cs="Times New Roman"/>
      <w:sz w:val="24"/>
      <w:szCs w:val="24"/>
      <w:lang w:eastAsia="zh-CN"/>
    </w:rPr>
  </w:style>
  <w:style w:type="character" w:styleId="1387">
    <w:name w:val="Абзац списка Знак"/>
    <w:qFormat/>
    <w:rPr>
      <w:sz w:val="22"/>
      <w:szCs w:val="22"/>
    </w:rPr>
  </w:style>
  <w:style w:type="character" w:styleId="1388">
    <w:name w:val="Footnote Characters"/>
    <w:qFormat/>
    <w:rPr>
      <w:vertAlign w:val="superscript"/>
    </w:rPr>
  </w:style>
  <w:style w:type="character" w:styleId="1389">
    <w:name w:val="Endnote Characters"/>
    <w:qFormat/>
    <w:rPr>
      <w:vertAlign w:val="superscript"/>
    </w:rPr>
  </w:style>
  <w:style w:type="character" w:styleId="1390">
    <w:name w:val="Footnote Anchor"/>
    <w:rPr>
      <w:vertAlign w:val="superscript"/>
    </w:rPr>
  </w:style>
  <w:style w:type="character" w:styleId="1391">
    <w:name w:val="Endnote Anchor"/>
    <w:rPr>
      <w:vertAlign w:val="superscript"/>
    </w:rPr>
  </w:style>
  <w:style w:type="paragraph" w:styleId="1392">
    <w:name w:val="Heading"/>
    <w:basedOn w:val="940"/>
    <w:next w:val="1393"/>
    <w:qFormat/>
    <w:pPr>
      <w:keepNext/>
      <w:spacing w:before="240" w:after="120"/>
    </w:pPr>
    <w:rPr>
      <w:rFonts w:ascii="Arial" w:hAnsi="Arial" w:cs="DejaVu Sans" w:eastAsia="DejaVu Sans"/>
      <w:sz w:val="28"/>
      <w:szCs w:val="28"/>
    </w:rPr>
  </w:style>
  <w:style w:type="paragraph" w:styleId="1393">
    <w:name w:val="Body Text"/>
    <w:basedOn w:val="940"/>
    <w:pPr>
      <w:spacing w:before="0" w:after="140" w:line="276" w:lineRule="auto"/>
    </w:pPr>
    <w:rPr>
      <w:lang w:eastAsia="zh-CN"/>
    </w:rPr>
  </w:style>
  <w:style w:type="paragraph" w:styleId="1394">
    <w:name w:val="List"/>
    <w:basedOn w:val="1393"/>
    <w:rPr>
      <w:rFonts w:cs="Mangal"/>
    </w:rPr>
  </w:style>
  <w:style w:type="paragraph" w:styleId="1395">
    <w:name w:val="Caption"/>
    <w:basedOn w:val="940"/>
    <w:qFormat/>
    <w:pPr>
      <w:spacing w:before="120" w:after="120"/>
      <w:suppressLineNumbers/>
    </w:pPr>
    <w:rPr>
      <w:i/>
      <w:iCs/>
      <w:sz w:val="24"/>
      <w:szCs w:val="24"/>
    </w:rPr>
  </w:style>
  <w:style w:type="paragraph" w:styleId="1396">
    <w:name w:val="Index"/>
    <w:basedOn w:val="940"/>
    <w:qFormat/>
    <w:pPr>
      <w:suppressLineNumbers/>
    </w:pPr>
  </w:style>
  <w:style w:type="paragraph" w:styleId="1397">
    <w:name w:val="Заголовок"/>
    <w:basedOn w:val="940"/>
    <w:next w:val="940"/>
    <w:qFormat/>
    <w:pPr>
      <w:contextualSpacing/>
      <w:spacing w:before="0" w:after="300"/>
      <w:pBdr>
        <w:bottom w:val="single" w:color="4F81BD" w:sz="8" w:space="4"/>
      </w:pBdr>
    </w:pPr>
    <w:rPr>
      <w:rFonts w:ascii="Cambria" w:hAnsi="Cambria" w:cs="Cambria" w:eastAsia="PMingLiU;新細明體"/>
      <w:color w:val="17365D"/>
      <w:spacing w:val="5"/>
      <w:sz w:val="52"/>
      <w:szCs w:val="52"/>
      <w:lang w:val="en-US"/>
    </w:rPr>
  </w:style>
  <w:style w:type="paragraph" w:styleId="1398">
    <w:name w:val="Название объекта"/>
    <w:basedOn w:val="940"/>
    <w:qFormat/>
    <w:pPr>
      <w:spacing w:before="120" w:after="120"/>
      <w:suppressLineNumbers/>
    </w:pPr>
    <w:rPr>
      <w:rFonts w:cs="Mangal"/>
      <w:i/>
      <w:iCs/>
      <w:sz w:val="24"/>
      <w:szCs w:val="24"/>
    </w:rPr>
  </w:style>
  <w:style w:type="paragraph" w:styleId="1399">
    <w:name w:val="Указатель1"/>
    <w:basedOn w:val="940"/>
    <w:qFormat/>
    <w:pPr>
      <w:suppressLineNumbers/>
    </w:pPr>
    <w:rPr>
      <w:rFonts w:cs="Mangal"/>
    </w:rPr>
  </w:style>
  <w:style w:type="paragraph" w:styleId="1400">
    <w:name w:val="Абзац списка"/>
    <w:basedOn w:val="940"/>
    <w:qFormat/>
    <w:pPr>
      <w:contextualSpacing/>
      <w:ind w:left="720" w:right="0" w:firstLine="0"/>
      <w:spacing w:before="0" w:after="200" w:line="276" w:lineRule="auto"/>
    </w:pPr>
    <w:rPr>
      <w:rFonts w:ascii="Calibri" w:hAnsi="Calibri" w:cs="Calibri" w:eastAsia="Calibri"/>
      <w:sz w:val="22"/>
      <w:szCs w:val="22"/>
    </w:rPr>
  </w:style>
  <w:style w:type="paragraph" w:styleId="1401">
    <w:name w:val="footnote text"/>
    <w:basedOn w:val="940"/>
    <w:rPr>
      <w:rFonts w:ascii="Calibri" w:hAnsi="Calibri" w:cs="Calibri"/>
      <w:sz w:val="20"/>
      <w:szCs w:val="20"/>
      <w:lang w:val="en-US"/>
    </w:rPr>
  </w:style>
  <w:style w:type="paragraph" w:styleId="1402">
    <w:name w:val="Верхний и нижний колонтитулы"/>
    <w:basedOn w:val="940"/>
    <w:qFormat/>
    <w:pPr>
      <w:tabs>
        <w:tab w:val="clear" w:pos="708" w:leader="none"/>
        <w:tab w:val="center" w:pos="4819" w:leader="none"/>
        <w:tab w:val="right" w:pos="9638" w:leader="none"/>
      </w:tabs>
      <w:suppressLineNumbers/>
    </w:pPr>
  </w:style>
  <w:style w:type="paragraph" w:styleId="1403">
    <w:name w:val="Header and Footer"/>
    <w:basedOn w:val="940"/>
    <w:qFormat/>
    <w:pPr>
      <w:tabs>
        <w:tab w:val="clear" w:pos="708" w:leader="none"/>
        <w:tab w:val="center" w:pos="4819" w:leader="none"/>
        <w:tab w:val="right" w:pos="9638" w:leader="none"/>
      </w:tabs>
      <w:suppressLineNumbers/>
    </w:pPr>
  </w:style>
  <w:style w:type="paragraph" w:styleId="1404">
    <w:name w:val="Footer"/>
    <w:basedOn w:val="940"/>
    <w:rPr>
      <w:rFonts w:ascii="Calibri" w:hAnsi="Calibri" w:cs="Calibri"/>
      <w:sz w:val="20"/>
      <w:szCs w:val="20"/>
      <w:lang w:val="en-US"/>
    </w:rPr>
  </w:style>
  <w:style w:type="paragraph" w:styleId="1405">
    <w:name w:val="Текст выноски"/>
    <w:basedOn w:val="940"/>
    <w:qFormat/>
    <w:rPr>
      <w:rFonts w:ascii="Tahoma" w:hAnsi="Tahoma" w:cs="Tahoma"/>
      <w:sz w:val="16"/>
      <w:szCs w:val="16"/>
      <w:lang w:val="en-US"/>
    </w:rPr>
  </w:style>
  <w:style w:type="paragraph" w:styleId="1406">
    <w:name w:val="Header"/>
    <w:basedOn w:val="940"/>
    <w:rPr>
      <w:lang w:val="en-US"/>
    </w:rPr>
  </w:style>
  <w:style w:type="paragraph" w:styleId="1407">
    <w:name w:val="Текст примечания1"/>
    <w:basedOn w:val="940"/>
    <w:qFormat/>
    <w:rPr>
      <w:sz w:val="20"/>
      <w:szCs w:val="20"/>
      <w:lang w:val="en-US"/>
    </w:rPr>
  </w:style>
  <w:style w:type="paragraph" w:styleId="1408">
    <w:name w:val="Тема примечания"/>
    <w:basedOn w:val="1407"/>
    <w:next w:val="1407"/>
    <w:qFormat/>
    <w:rPr>
      <w:b/>
      <w:bCs/>
    </w:rPr>
  </w:style>
  <w:style w:type="paragraph" w:styleId="1409">
    <w:name w:val="Название объекта1"/>
    <w:basedOn w:val="940"/>
    <w:next w:val="940"/>
    <w:qFormat/>
    <w:pPr>
      <w:jc w:val="right"/>
      <w:spacing w:before="0" w:after="200"/>
    </w:pPr>
    <w:rPr>
      <w:bCs/>
      <w:i/>
      <w:sz w:val="18"/>
      <w:szCs w:val="18"/>
    </w:rPr>
  </w:style>
  <w:style w:type="paragraph" w:styleId="1410">
    <w:name w:val="Рецензия"/>
    <w:qFormat/>
    <w:pPr>
      <w:widowControl/>
    </w:pPr>
    <w:rPr>
      <w:rFonts w:ascii="Times New Roman" w:hAnsi="Times New Roman" w:cs="Times New Roman" w:eastAsia="Calibri"/>
      <w:color w:val="auto"/>
      <w:sz w:val="24"/>
      <w:szCs w:val="24"/>
      <w:lang w:val="ru-RU" w:bidi="ar-SA" w:eastAsia="zh-CN"/>
    </w:rPr>
  </w:style>
  <w:style w:type="paragraph" w:styleId="1411">
    <w:name w:val="msonormal"/>
    <w:basedOn w:val="940"/>
    <w:qFormat/>
    <w:pPr>
      <w:spacing w:before="280" w:after="280"/>
    </w:pPr>
    <w:rPr>
      <w:rFonts w:eastAsia="Times New Roman"/>
    </w:rPr>
  </w:style>
  <w:style w:type="paragraph" w:styleId="1412">
    <w:name w:val="xl65"/>
    <w:basedOn w:val="940"/>
    <w:qFormat/>
    <w:pPr>
      <w:spacing w:before="280" w:after="280"/>
      <w:pBdr>
        <w:top w:val="single" w:color="000000" w:sz="4" w:space="0"/>
        <w:left w:val="single" w:color="000000" w:sz="4" w:space="0"/>
        <w:bottom w:val="single" w:color="000000" w:sz="4" w:space="0"/>
        <w:right w:val="single" w:color="000000" w:sz="4" w:space="0"/>
      </w:pBdr>
    </w:pPr>
    <w:rPr>
      <w:rFonts w:eastAsia="Times New Roman"/>
    </w:rPr>
  </w:style>
  <w:style w:type="paragraph" w:styleId="1413">
    <w:name w:val="xl66"/>
    <w:basedOn w:val="940"/>
    <w:qFormat/>
    <w:pPr>
      <w:jc w:val="center"/>
      <w:spacing w:before="280" w:after="280"/>
      <w:pBdr>
        <w:top w:val="single" w:color="000000" w:sz="4" w:space="0"/>
        <w:left w:val="single" w:color="000000" w:sz="4" w:space="0"/>
        <w:bottom w:val="single" w:color="000000" w:sz="4" w:space="0"/>
        <w:right w:val="single" w:color="000000" w:sz="4" w:space="0"/>
      </w:pBdr>
    </w:pPr>
    <w:rPr>
      <w:rFonts w:eastAsia="Times New Roman"/>
      <w:color w:val="000000"/>
    </w:rPr>
  </w:style>
  <w:style w:type="paragraph" w:styleId="1414">
    <w:name w:val="xl67"/>
    <w:basedOn w:val="940"/>
    <w:qFormat/>
    <w:pPr>
      <w:spacing w:before="280" w:after="280"/>
      <w:pBdr>
        <w:top w:val="single" w:color="000000" w:sz="4" w:space="0"/>
        <w:left w:val="single" w:color="000000" w:sz="4" w:space="0"/>
        <w:bottom w:val="single" w:color="000000" w:sz="4" w:space="0"/>
        <w:right w:val="single" w:color="000000" w:sz="4" w:space="0"/>
      </w:pBdr>
    </w:pPr>
    <w:rPr>
      <w:rFonts w:eastAsia="Times New Roman"/>
    </w:rPr>
  </w:style>
  <w:style w:type="paragraph" w:styleId="1415">
    <w:name w:val="endnote text"/>
    <w:basedOn w:val="940"/>
    <w:rPr>
      <w:sz w:val="20"/>
      <w:szCs w:val="20"/>
    </w:rPr>
  </w:style>
  <w:style w:type="paragraph" w:styleId="1416">
    <w:name w:val="Без интервала"/>
    <w:qFormat/>
    <w:pPr>
      <w:widowControl/>
    </w:pPr>
    <w:rPr>
      <w:rFonts w:ascii="Times New Roman" w:hAnsi="Times New Roman" w:cs="Times New Roman" w:eastAsia="Calibri"/>
      <w:color w:val="auto"/>
      <w:sz w:val="24"/>
      <w:szCs w:val="24"/>
      <w:lang w:val="ru-RU" w:bidi="ar-SA" w:eastAsia="zh-CN"/>
    </w:rPr>
  </w:style>
  <w:style w:type="paragraph" w:styleId="1417">
    <w:name w:val="Standard"/>
    <w:qFormat/>
    <w:pPr>
      <w:widowControl/>
    </w:pPr>
    <w:rPr>
      <w:rFonts w:ascii="Times New Roman" w:hAnsi="Times New Roman" w:cs="Times New Roman" w:eastAsia="Calibri"/>
      <w:color w:val="auto"/>
      <w:sz w:val="24"/>
      <w:szCs w:val="24"/>
      <w:lang w:val="ru-RU" w:bidi="ar-SA" w:eastAsia="zh-CN"/>
    </w:rPr>
  </w:style>
  <w:style w:type="paragraph" w:styleId="1418">
    <w:name w:val="Обычный (веб)"/>
    <w:basedOn w:val="940"/>
    <w:qFormat/>
    <w:pPr>
      <w:spacing w:before="280" w:after="280"/>
    </w:pPr>
    <w:rPr>
      <w:rFonts w:eastAsia="Times New Roman"/>
    </w:rPr>
  </w:style>
  <w:style w:type="paragraph" w:styleId="1419">
    <w:name w:val="List Paragraph"/>
    <w:basedOn w:val="940"/>
    <w:qFormat/>
    <w:pPr>
      <w:contextualSpacing/>
      <w:ind w:left="720" w:right="0" w:firstLine="0"/>
      <w:spacing w:before="0" w:after="200" w:line="276" w:lineRule="auto"/>
    </w:pPr>
    <w:rPr>
      <w:rFonts w:ascii="Calibri" w:hAnsi="Calibri" w:cs="Calibri" w:eastAsia="Times New Roman"/>
      <w:sz w:val="22"/>
      <w:szCs w:val="22"/>
    </w:rPr>
  </w:style>
  <w:style w:type="paragraph" w:styleId="1420">
    <w:name w:val="Table Paragraph"/>
    <w:basedOn w:val="940"/>
    <w:qFormat/>
    <w:pPr>
      <w:ind w:left="72" w:right="0" w:firstLine="0"/>
      <w:spacing w:before="1" w:after="0"/>
      <w:widowControl w:val="off"/>
    </w:pPr>
    <w:rPr>
      <w:rFonts w:eastAsia="Times New Roman"/>
      <w:sz w:val="22"/>
      <w:szCs w:val="22"/>
    </w:rPr>
  </w:style>
  <w:style w:type="paragraph" w:styleId="1421">
    <w:name w:val="Содержимое таблицы"/>
    <w:basedOn w:val="940"/>
    <w:qFormat/>
    <w:pPr>
      <w:suppressLineNumbers/>
    </w:pPr>
  </w:style>
  <w:style w:type="paragraph" w:styleId="1422">
    <w:name w:val="Заголовок таблицы"/>
    <w:basedOn w:val="1421"/>
    <w:qFormat/>
    <w:pPr>
      <w:jc w:val="center"/>
      <w:suppressLineNumbers/>
    </w:pPr>
    <w:rPr>
      <w:b/>
      <w:bCs/>
    </w:rPr>
  </w:style>
  <w:style w:type="paragraph" w:styleId="1423">
    <w:name w:val="Содержимое врезки"/>
    <w:basedOn w:val="940"/>
    <w:qFormat/>
  </w:style>
  <w:style w:type="paragraph" w:styleId="1424">
    <w:name w:val="Table Contents"/>
    <w:basedOn w:val="940"/>
    <w:qFormat/>
    <w:pPr>
      <w:widowControl w:val="off"/>
      <w:suppressLineNumbers/>
    </w:pPr>
  </w:style>
  <w:style w:type="paragraph" w:styleId="1425">
    <w:name w:val="Table Heading"/>
    <w:basedOn w:val="1424"/>
    <w:qFormat/>
    <w:pPr>
      <w:jc w:val="center"/>
      <w:suppressLineNumbers/>
    </w:pPr>
    <w:rPr>
      <w:b/>
      <w:bCs/>
    </w:rPr>
  </w:style>
  <w:style w:type="paragraph" w:styleId="1426">
    <w:name w:val="Frame Contents"/>
    <w:basedOn w:val="940"/>
    <w:qFormat/>
  </w:style>
  <w:style w:type="numbering" w:styleId="1427">
    <w:name w:val="WW8Num1"/>
    <w:qFormat/>
  </w:style>
  <w:style w:type="numbering" w:styleId="1428">
    <w:name w:val="WW8Num2"/>
    <w:qFormat/>
  </w:style>
  <w:style w:type="numbering" w:styleId="1429">
    <w:name w:val="WW8Num3"/>
    <w:qFormat/>
  </w:style>
  <w:style w:type="numbering" w:styleId="1430">
    <w:name w:val="WW8Num4"/>
    <w:qFormat/>
  </w:style>
  <w:style w:type="numbering" w:styleId="1431">
    <w:name w:val="WW8Num5"/>
    <w:qFormat/>
  </w:style>
  <w:style w:type="numbering" w:styleId="1432">
    <w:name w:val="WW8Num6"/>
    <w:qFormat/>
  </w:style>
  <w:style w:type="numbering" w:styleId="1433">
    <w:name w:val="WW8Num7"/>
    <w:qFormat/>
  </w:style>
  <w:style w:type="numbering" w:styleId="1434">
    <w:name w:val="WW8Num8"/>
    <w:qFormat/>
  </w:style>
  <w:style w:type="numbering" w:styleId="1435">
    <w:name w:val="WW8Num9"/>
    <w:qFormat/>
  </w:style>
  <w:style w:type="numbering" w:styleId="1436">
    <w:name w:val="WW8Num10"/>
    <w:qFormat/>
  </w:style>
  <w:style w:type="numbering" w:styleId="1437">
    <w:name w:val="WW8Num11"/>
    <w:qFormat/>
  </w:style>
  <w:style w:type="numbering" w:styleId="1438">
    <w:name w:val="WW8Num12"/>
    <w:qFormat/>
  </w:style>
  <w:style w:type="numbering" w:styleId="1439">
    <w:name w:val="WW8Num13"/>
    <w:qFormat/>
  </w:style>
  <w:style w:type="numbering" w:styleId="1440">
    <w:name w:val="WW8Num14"/>
    <w:qFormat/>
  </w:style>
  <w:style w:type="numbering" w:styleId="1441">
    <w:name w:val="WW8Num15"/>
    <w:qFormat/>
  </w:style>
  <w:style w:type="numbering" w:styleId="1442">
    <w:name w:val="WW8Num16"/>
    <w:qFormat/>
  </w:style>
  <w:style w:type="numbering" w:styleId="1443">
    <w:name w:val="WW8Num17"/>
    <w:qFormat/>
  </w:style>
  <w:style w:type="numbering" w:styleId="1444">
    <w:name w:val="WW8Num18"/>
    <w:qFormat/>
  </w:style>
  <w:style w:type="numbering" w:styleId="1445">
    <w:name w:val="WW8Num19"/>
    <w:qFormat/>
  </w:style>
  <w:style w:type="numbering" w:styleId="1446">
    <w:name w:val="WW8Num20"/>
    <w:qFormat/>
  </w:style>
  <w:style w:type="numbering" w:styleId="1447">
    <w:name w:val="WW8Num21"/>
    <w:qFormat/>
  </w:style>
  <w:style w:type="numbering" w:styleId="1448">
    <w:name w:val="WW8Num22"/>
    <w:qFormat/>
  </w:style>
  <w:style w:type="numbering" w:styleId="1449">
    <w:name w:val="WW8Num23"/>
    <w:qFormat/>
  </w:style>
  <w:style w:type="numbering" w:styleId="1450">
    <w:name w:val="WW8Num24"/>
    <w:qFormat/>
  </w:style>
  <w:style w:type="numbering" w:styleId="1451">
    <w:name w:val="WW8Num25"/>
    <w:qFormat/>
  </w:style>
  <w:style w:type="numbering" w:styleId="1452">
    <w:name w:val="WW8Num26"/>
    <w:qFormat/>
  </w:style>
  <w:style w:type="numbering" w:styleId="1453">
    <w:name w:val="WW8Num27"/>
    <w:qFormat/>
  </w:style>
  <w:style w:type="numbering" w:styleId="1454">
    <w:name w:val="WW8Num28"/>
    <w:qFormat/>
  </w:style>
  <w:style w:type="numbering" w:styleId="1455">
    <w:name w:val="WW8Num29"/>
    <w:qFormat/>
  </w:style>
  <w:style w:type="numbering" w:styleId="1456">
    <w:name w:val="WW8Num30"/>
    <w:qFormat/>
  </w:style>
  <w:style w:type="numbering" w:styleId="1457">
    <w:name w:val="WW8Num31"/>
    <w:qFormat/>
  </w:style>
  <w:style w:type="numbering" w:styleId="1458">
    <w:name w:val="WW8Num32"/>
    <w:qFormat/>
  </w:style>
  <w:style w:type="numbering" w:styleId="1459">
    <w:name w:val="WW8Num33"/>
    <w:qFormat/>
  </w:style>
  <w:style w:type="numbering" w:styleId="1460">
    <w:name w:val="WW8Num34"/>
    <w:qFormat/>
  </w:style>
  <w:style w:type="numbering" w:styleId="1461">
    <w:name w:val="WW8Num35"/>
    <w:qFormat/>
  </w:style>
  <w:style w:type="numbering" w:styleId="1462">
    <w:name w:val="WW8Num36"/>
    <w:qFormat/>
  </w:style>
  <w:style w:type="numbering" w:styleId="1463">
    <w:name w:val="WW8Num37"/>
    <w:qFormat/>
  </w:style>
  <w:style w:type="numbering" w:styleId="1464">
    <w:name w:val="WW8Num38"/>
    <w:qFormat/>
  </w:style>
  <w:style w:type="numbering" w:styleId="1465">
    <w:name w:val="WW8Num39"/>
    <w:qFormat/>
  </w:style>
  <w:style w:type="numbering" w:styleId="1466">
    <w:name w:val="WW8Num40"/>
    <w:qFormat/>
  </w:style>
  <w:style w:type="numbering" w:styleId="1467">
    <w:name w:val="WW8Num41"/>
    <w:qFormat/>
  </w:style>
  <w:style w:type="numbering" w:styleId="1468">
    <w:name w:val="WW8Num42"/>
    <w:qFormat/>
  </w:style>
  <w:style w:type="numbering" w:styleId="1469">
    <w:name w:val="WW8Num43"/>
    <w:qFormat/>
  </w:style>
  <w:style w:type="numbering" w:styleId="1470">
    <w:name w:val="WW8Num44"/>
    <w:qFormat/>
  </w:style>
  <w:style w:type="numbering" w:styleId="1471">
    <w:name w:val="WW8Num45"/>
    <w:qFormat/>
  </w:style>
  <w:style w:type="numbering" w:styleId="1472">
    <w:name w:val="WW8Num46"/>
    <w:qFormat/>
  </w:style>
  <w:style w:type="numbering" w:styleId="1473">
    <w:name w:val="WW8Num47"/>
    <w:qFormat/>
  </w:style>
  <w:style w:type="numbering" w:styleId="1474">
    <w:name w:val="WW8Num48"/>
    <w:qFormat/>
  </w:style>
  <w:style w:type="numbering" w:styleId="1475">
    <w:name w:val="WW8Num49"/>
    <w:qFormat/>
  </w:style>
  <w:style w:type="numbering" w:styleId="1476">
    <w:name w:val="WW8Num50"/>
    <w:qFormat/>
  </w:style>
  <w:style w:type="numbering" w:styleId="1477">
    <w:name w:val="WW8Num51"/>
    <w:qFormat/>
  </w:style>
  <w:style w:type="numbering" w:styleId="1478">
    <w:name w:val="WW8Num52"/>
    <w:qFormat/>
  </w:style>
  <w:style w:type="numbering" w:styleId="1479">
    <w:name w:val="WW8Num53"/>
    <w:qFormat/>
  </w:style>
  <w:style w:type="numbering" w:styleId="1480">
    <w:name w:val="WW8Num54"/>
    <w:qFormat/>
  </w:style>
  <w:style w:type="numbering" w:styleId="1481">
    <w:name w:val="WW8Num55"/>
    <w:qFormat/>
  </w:style>
  <w:style w:type="numbering" w:styleId="1482">
    <w:name w:val="WW8Num56"/>
    <w:qFormat/>
  </w:style>
  <w:style w:type="numbering" w:styleId="1483">
    <w:name w:val="WW8Num57"/>
    <w:qFormat/>
  </w:style>
  <w:style w:type="numbering" w:styleId="1484">
    <w:name w:val="WW8Num58"/>
    <w:qFormat/>
  </w:style>
  <w:style w:type="numbering" w:styleId="1485">
    <w:name w:val="WW8Num59"/>
    <w:qFormat/>
  </w:style>
  <w:style w:type="numbering" w:styleId="1486">
    <w:name w:val="WW8Num60"/>
    <w:qFormat/>
  </w:style>
  <w:style w:type="numbering" w:styleId="1487">
    <w:name w:val="WW8Num61"/>
    <w:qFormat/>
  </w:style>
  <w:style w:type="numbering" w:styleId="1488">
    <w:name w:val="WW8Num62"/>
    <w:qFormat/>
  </w:style>
  <w:style w:type="numbering" w:styleId="1489">
    <w:name w:val="WW8Num63"/>
    <w:qFormat/>
  </w:style>
  <w:style w:type="numbering" w:styleId="1490">
    <w:name w:val="WW8Num64"/>
    <w:qFormat/>
  </w:style>
  <w:style w:type="numbering" w:styleId="1491">
    <w:name w:val="WW8Num65"/>
    <w:qFormat/>
  </w:style>
  <w:style w:type="numbering" w:styleId="1492">
    <w:name w:val="WW8Num66"/>
    <w:qFormat/>
  </w:style>
  <w:style w:type="numbering" w:styleId="1493">
    <w:name w:val="WW8Num67"/>
    <w:qFormat/>
  </w:style>
  <w:style w:type="numbering" w:styleId="1494">
    <w:name w:val="WW8Num68"/>
    <w:qFormat/>
  </w:style>
  <w:style w:type="numbering" w:styleId="1495">
    <w:name w:val="WW8Num69"/>
    <w:qFormat/>
  </w:style>
  <w:style w:type="numbering" w:styleId="1496">
    <w:name w:val="WW8Num70"/>
    <w:qFormat/>
  </w:style>
  <w:style w:type="numbering" w:styleId="1497">
    <w:name w:val="WW8Num71"/>
    <w:qFormat/>
  </w:style>
  <w:style w:type="numbering" w:styleId="1498">
    <w:name w:val="WW8Num72"/>
    <w:qFormat/>
  </w:style>
  <w:style w:type="numbering" w:styleId="1499">
    <w:name w:val="WW8Num73"/>
    <w:qFormat/>
  </w:style>
  <w:style w:type="numbering" w:styleId="1500">
    <w:name w:val="WW8Num74"/>
    <w:qFormat/>
  </w:style>
  <w:style w:type="numbering" w:styleId="1501">
    <w:name w:val="WW8Num75"/>
    <w:qFormat/>
  </w:style>
  <w:style w:type="numbering" w:styleId="1502">
    <w:name w:val="WW8Num76"/>
    <w:qFormat/>
  </w:style>
  <w:style w:type="numbering" w:styleId="1503">
    <w:name w:val="WW8Num77"/>
    <w:qFormat/>
  </w:style>
  <w:style w:type="numbering" w:styleId="1504">
    <w:name w:val="WW8Num78"/>
    <w:qFormat/>
  </w:style>
  <w:style w:type="numbering" w:styleId="1505">
    <w:name w:val="WW8Num79"/>
    <w:qFormat/>
  </w:style>
  <w:style w:type="numbering" w:styleId="1506">
    <w:name w:val="WW8Num80"/>
    <w:qFormat/>
  </w:style>
  <w:style w:type="numbering" w:styleId="1507">
    <w:name w:val="WW8Num81"/>
    <w:qFormat/>
  </w:style>
  <w:style w:type="numbering" w:styleId="1508">
    <w:name w:val="WW8Num82"/>
    <w:qFormat/>
  </w:style>
  <w:style w:type="numbering" w:styleId="1509">
    <w:name w:val="WW8Num83"/>
    <w:qFormat/>
  </w:style>
  <w:style w:type="numbering" w:styleId="1510">
    <w:name w:val="WW8Num84"/>
    <w:qFormat/>
  </w:style>
  <w:style w:type="numbering" w:styleId="1511">
    <w:name w:val="WW8Num85"/>
    <w:qFormat/>
  </w:style>
  <w:style w:type="numbering" w:styleId="1512">
    <w:name w:val="WW8Num86"/>
    <w:qFormat/>
  </w:style>
  <w:style w:type="numbering" w:styleId="1513">
    <w:name w:val="WW8Num87"/>
    <w:qFormat/>
  </w:style>
  <w:style w:type="numbering" w:styleId="1514">
    <w:name w:val="WW8Num88"/>
    <w:qFormat/>
  </w:style>
  <w:style w:type="numbering" w:styleId="1515">
    <w:name w:val="WW8Num89"/>
    <w:qFormat/>
  </w:style>
  <w:style w:type="numbering" w:styleId="1516">
    <w:name w:val="WW8Num90"/>
    <w:qFormat/>
  </w:style>
  <w:style w:type="numbering" w:styleId="1517">
    <w:name w:val="WW8Num91"/>
    <w:qFormat/>
  </w:style>
  <w:style w:type="numbering" w:styleId="1518">
    <w:name w:val="WW8Num92"/>
    <w:qFormat/>
  </w:style>
  <w:style w:type="numbering" w:styleId="1519">
    <w:name w:val="WW8Num93"/>
    <w:qFormat/>
  </w:style>
  <w:style w:type="numbering" w:styleId="1520">
    <w:name w:val="WW8Num94"/>
    <w:qFormat/>
  </w:style>
  <w:style w:type="numbering" w:styleId="1521">
    <w:name w:val="WW8Num95"/>
    <w:qFormat/>
  </w:style>
  <w:style w:type="numbering" w:styleId="1522">
    <w:name w:val="WW8Num96"/>
    <w:qFormat/>
  </w:style>
  <w:style w:type="numbering" w:styleId="1523">
    <w:name w:val="WW8Num97"/>
    <w:qFormat/>
  </w:style>
  <w:style w:type="numbering" w:styleId="1524">
    <w:name w:val="WW8Num98"/>
    <w:qFormat/>
  </w:style>
  <w:style w:type="numbering" w:styleId="1525">
    <w:name w:val="WW8Num99"/>
    <w:qFormat/>
  </w:style>
  <w:style w:type="numbering" w:styleId="1526">
    <w:name w:val="WW8Num100"/>
    <w:qFormat/>
  </w:style>
  <w:style w:type="numbering" w:styleId="1527">
    <w:name w:val="WW8Num101"/>
    <w:qFormat/>
  </w:style>
  <w:style w:type="numbering" w:styleId="1528">
    <w:name w:val="WW8Num102"/>
    <w:qFormat/>
  </w:style>
  <w:style w:type="numbering" w:styleId="1529">
    <w:name w:val="WW8Num103"/>
    <w:qFormat/>
  </w:style>
  <w:style w:type="numbering" w:styleId="1530">
    <w:name w:val="WW8Num104"/>
    <w:qFormat/>
  </w:style>
  <w:style w:type="numbering" w:styleId="1531">
    <w:name w:val="WW8Num105"/>
    <w:qFormat/>
  </w:style>
  <w:style w:type="numbering" w:styleId="1532">
    <w:name w:val="WW8Num106"/>
    <w:qFormat/>
  </w:style>
  <w:style w:type="numbering" w:styleId="1533">
    <w:name w:val="WW8Num107"/>
    <w:qFormat/>
  </w:style>
  <w:style w:type="numbering" w:styleId="1534">
    <w:name w:val="WW8Num108"/>
    <w:qFormat/>
  </w:style>
  <w:style w:type="numbering" w:styleId="1535">
    <w:name w:val="WW8Num109"/>
    <w:qFormat/>
  </w:style>
  <w:style w:type="numbering" w:styleId="1536">
    <w:name w:val="WW8Num110"/>
    <w:qFormat/>
  </w:style>
  <w:style w:type="numbering" w:styleId="1537">
    <w:name w:val="WW8Num111"/>
    <w:qFormat/>
  </w:style>
  <w:style w:type="numbering" w:styleId="1538">
    <w:name w:val="WW8Num112"/>
    <w:qFormat/>
  </w:style>
  <w:style w:type="numbering" w:styleId="1539">
    <w:name w:val="WW8Num113"/>
    <w:qFormat/>
  </w:style>
  <w:style w:type="numbering" w:styleId="1540">
    <w:name w:val="WW8Num114"/>
    <w:qFormat/>
  </w:style>
  <w:style w:type="numbering" w:styleId="1541">
    <w:name w:val="WW8Num115"/>
    <w:qFormat/>
  </w:style>
  <w:style w:type="numbering" w:styleId="1542">
    <w:name w:val="WW8Num116"/>
    <w:qFormat/>
  </w:style>
  <w:style w:type="numbering" w:styleId="1543">
    <w:name w:val="WW8Num117"/>
    <w:qFormat/>
  </w:style>
  <w:style w:type="numbering" w:styleId="1544">
    <w:name w:val="WW8Num118"/>
    <w:qFormat/>
  </w:style>
  <w:style w:type="numbering" w:styleId="1545">
    <w:name w:val="WW8Num119"/>
    <w:qFormat/>
  </w:style>
  <w:style w:type="numbering" w:styleId="1546">
    <w:name w:val="WW8Num120"/>
    <w:qFormat/>
  </w:style>
  <w:style w:type="numbering" w:styleId="1547">
    <w:name w:val="WW8Num121"/>
    <w:qFormat/>
  </w:style>
  <w:style w:type="numbering" w:styleId="1548">
    <w:name w:val="WW8Num122"/>
    <w:qFormat/>
  </w:style>
  <w:style w:type="numbering" w:styleId="1549">
    <w:name w:val="WW8Num123"/>
    <w:qFormat/>
  </w:style>
  <w:style w:type="numbering" w:styleId="1550">
    <w:name w:val="WW8Num124"/>
    <w:qFormat/>
  </w:style>
  <w:style w:type="numbering" w:styleId="1551">
    <w:name w:val="WW8Num125"/>
    <w:qFormat/>
  </w:style>
  <w:style w:type="numbering" w:styleId="1552">
    <w:name w:val="WW8Num126"/>
    <w:qFormat/>
  </w:style>
  <w:style w:type="numbering" w:styleId="1553">
    <w:name w:val="WW8Num127"/>
    <w:qFormat/>
  </w:style>
  <w:style w:type="numbering" w:styleId="1554">
    <w:name w:val="WW8Num128"/>
    <w:qFormat/>
  </w:style>
  <w:style w:type="numbering" w:styleId="1555">
    <w:name w:val="WW8Num129"/>
    <w:qFormat/>
  </w:style>
  <w:style w:type="numbering" w:styleId="1556">
    <w:name w:val="WW8Num130"/>
    <w:qFormat/>
  </w:style>
  <w:style w:type="numbering" w:styleId="1557">
    <w:name w:val="WW8Num131"/>
    <w:qFormat/>
  </w:style>
  <w:style w:type="character" w:styleId="149992" w:default="1">
    <w:name w:val="Default Paragraph Font"/>
    <w:uiPriority w:val="1"/>
    <w:semiHidden/>
    <w:unhideWhenUsed/>
  </w:style>
  <w:style w:type="numbering" w:styleId="149993" w:default="1">
    <w:name w:val="No List"/>
    <w:uiPriority w:val="99"/>
    <w:semiHidden/>
    <w:unhideWhenUsed/>
  </w:style>
  <w:style w:type="table" w:styleId="149994"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image" Target="media/image1.png"/><Relationship Id="rId12" Type="http://schemas.openxmlformats.org/officeDocument/2006/relationships/hyperlink" Target="http://www.fipi.ru/" TargetMode="External"/><Relationship Id="rId13" Type="http://schemas.openxmlformats.org/officeDocument/2006/relationships/hyperlink" Target="http://www.examen.ru/" TargetMode="External"/><Relationship Id="rId14" Type="http://schemas.openxmlformats.org/officeDocument/2006/relationships/hyperlink" Target="http://minobr.astrobl.ru/osnovnaya-stranica/informacionnye-materialy" TargetMode="External"/><Relationship Id="rId15" Type="http://schemas.openxmlformats.org/officeDocument/2006/relationships/image" Target="media/image2.png"/><Relationship Id="rId16" Type="http://schemas.openxmlformats.org/officeDocument/2006/relationships/hyperlink" Target="http://www.fipi.ru/" TargetMode="External"/><Relationship Id="rId17" Type="http://schemas.openxmlformats.org/officeDocument/2006/relationships/hyperlink" Target="http://minobr.astrobl.ru/osnovnaya-stranica/informacionnye-materialy" TargetMode="External"/><Relationship Id="rId18" Type="http://schemas.openxmlformats.org/officeDocument/2006/relationships/image" Target="media/image3.png"/><Relationship Id="rId19" Type="http://schemas.openxmlformats.org/officeDocument/2006/relationships/image" Target="media/image4.emf"/><Relationship Id="rId20" Type="http://schemas.openxmlformats.org/officeDocument/2006/relationships/image" Target="media/image5.emf"/><Relationship Id="rId21" Type="http://schemas.openxmlformats.org/officeDocument/2006/relationships/image" Target="media/image6.emf"/><Relationship Id="rId22" Type="http://schemas.openxmlformats.org/officeDocument/2006/relationships/hyperlink" Target="http://minobr.astrobl.ru/osnovnaya-stranica/informacionnye-materialy" TargetMode="External"/><Relationship Id="rId23" Type="http://schemas.openxmlformats.org/officeDocument/2006/relationships/image" Target="media/image7.png"/><Relationship Id="rId24" Type="http://schemas.openxmlformats.org/officeDocument/2006/relationships/hyperlink" Target="http://minobr.astrobl.ru/osnovnaya-stranica/informacionnye-materialy" TargetMode="External"/><Relationship Id="rId25" Type="http://schemas.openxmlformats.org/officeDocument/2006/relationships/image" Target="media/image8.png"/><Relationship Id="rId26" Type="http://schemas.openxmlformats.org/officeDocument/2006/relationships/image" Target="media/image9.emf"/><Relationship Id="rId27" Type="http://schemas.openxmlformats.org/officeDocument/2006/relationships/package" Target="embeddings/Microsoft_Excel_Worksheet1.xlsx"/><Relationship Id="rId28" Type="http://schemas.openxmlformats.org/officeDocument/2006/relationships/image" Target="media/image10.emf"/><Relationship Id="rId29" Type="http://schemas.openxmlformats.org/officeDocument/2006/relationships/package" Target="embeddings/Microsoft_Excel_Worksheet2.xlsx"/><Relationship Id="rId30" Type="http://schemas.openxmlformats.org/officeDocument/2006/relationships/hyperlink" Target="http://minobr.astrobl.ru/osnovnaya-stranica/informacionnye-materialy" TargetMode="External"/><Relationship Id="rId31" Type="http://schemas.openxmlformats.org/officeDocument/2006/relationships/image" Target="media/image11.png"/><Relationship Id="rId32" Type="http://schemas.openxmlformats.org/officeDocument/2006/relationships/hyperlink" Target="http://minobr.astrobl.ru/osnovnaya-stranica/informacionnye-materialy" TargetMode="External"/><Relationship Id="rId33" Type="http://schemas.openxmlformats.org/officeDocument/2006/relationships/image" Target="media/image12.png"/><Relationship Id="rId34" Type="http://schemas.openxmlformats.org/officeDocument/2006/relationships/hyperlink" Target="http://minobr.astrobl.ru/osnovnaya-stranica/informacionnye-materialy" TargetMode="External"/><Relationship Id="rId35" Type="http://schemas.openxmlformats.org/officeDocument/2006/relationships/image" Target="media/image13.png"/><Relationship Id="rId36" Type="http://schemas.openxmlformats.org/officeDocument/2006/relationships/hyperlink" Target="http://minobr.astrobl.ru/osnovnaya-stranica/informacionnye-materialy" TargetMode="External"/><Relationship Id="rId37" Type="http://schemas.openxmlformats.org/officeDocument/2006/relationships/hyperlink" Target="http://minobr.astrobl.ru/osnovnaya-stranica/informacionnye-materialy" TargetMode="External"/><Relationship Id="rId38" Type="http://schemas.openxmlformats.org/officeDocument/2006/relationships/image" Target="media/image14.png"/><Relationship Id="rId39" Type="http://schemas.openxmlformats.org/officeDocument/2006/relationships/hyperlink" Target="http://minobr.astrobl.ru/osnovnaya-stranica/informacionnye-materialy" TargetMode="External"/><Relationship Id="rId40" Type="http://schemas.openxmlformats.org/officeDocument/2006/relationships/image" Target="media/image15.png"/><Relationship Id="rId41" Type="http://schemas.openxmlformats.org/officeDocument/2006/relationships/hyperlink" Target="http://minobr.astrobl.ru/osnovnaya-stranica/informacionnye-materialy" TargetMode="External"/><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hyperlink" Target="http://minobr.astrobl.ru/osnovnaya-stranica/informacionnye-materialy"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R7-Office/7.0.1.62</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Зинина Елена Андреевна</dc:creator>
  <cp:keywords> </cp:keywords>
  <dc:description/>
  <dc:language>en-US</dc:language>
  <cp:lastModifiedBy>Имя Фамилия</cp:lastModifiedBy>
  <cp:revision>9</cp:revision>
  <dcterms:created xsi:type="dcterms:W3CDTF">2021-09-02T08:20:00Z</dcterms:created>
  <dcterms:modified xsi:type="dcterms:W3CDTF">2022-07-19T10:21:17Z</dcterms:modified>
</cp:coreProperties>
</file>